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Woods v. Plewes, [2014] B.C.J. No. 350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M.D. 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7-10, 2013; January 27-30,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08-0572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318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Colleen Woods, Plaintiff, and Perry Plewes, Ricardo Draper, Patrick R. Konkin, and Arthur Brett,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Tort law — Defamation — Defamatory statements — What constitutes defamatory words — Professional misconduct — Privilege — Qualified privilege — When qualified privilege arises — Where maker and audience in common enterprise — Employer and employee — Excess of privilege — Excessive language — Malice — Burden of proof — Action for defamation dismissed — Plaintiff and defendant worked at university and were assigned to work together on project, but their relationship became untenable — Defendant prepared document detailing concerns to supervisors, who were also defendants — Document identified plaintiff and detailed defendant's difficulties with her and would tend to lower her reputation so were defamatory — However, document prepared in circumstances of employment and defence of qualified privilege attached — Defendant had legitimate interest in explaining problems, and other defendants had interest in hearing them — Defendant did not use excessive language or demonstrate ulterior motive or malice.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university employee for defamation. The defendant program analyst was also a university employee, and he and the plaintiff were assigned to work together on a project. However, the parties' relationship soon became untenable. The plaintiff was displeased with the defendant's absences, so he explained his medical condition and off-site job responsibilities, but the situation escalated. The defendant approached his supervisors, who were also named as defendants, to explain his concerns. The supervisors asked the defendant for written clarification, and he prepared the 26-page impugned document. The document outlined the defendant's issues with the plaintiff and he gave it to his supervisors, and agreed to share it with the plaintiff's supervisor and an HR representative, but was clear that it was not to be used in the plaintiff's performance review. The plaintiff's supervisor advised her of the "compliant", though the defendant did not make a formal complaint, which led to the plaintiff ultimately resigning from her position. The plaintiff argued the document was defamatory and the defendants argued the defence of qualified privilege applied.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document identified the plaintiff and was given to supervisors and HR to read. The document referred to the defendant's difficulties with the plaintiff's communication and management style and "poisoned work environment", though it also referred to her positive skills. The document provided detailed examples of the problems, a summary, and suggested solutions. These statements would tend to lower the plaintiff's reputation in the eyes of a reasonable person and were defamatory. However, the statements were made in the circumstances of employment to which the defence of qualified privilege applied. The statements were made by an employee to his supervisors to deal with workplace issues, which was a situation requiring free and candid exchange of information. The defendant had a legitimate personal interest in making the communication as he found the situation untenable, and the other defendants had a reciprocal interest in receiving the information about the issues. The form and details of the communication were not relevant to whether privilege attached. The defendant could not have protected his interest without providing details. While the document was long and sometimes emotional, it did not contain outrageous language or irrelevant statements. While the information was shared between departments, they both operated as the same university and all recipients had an interest in receiving the statements. The document was not published with malice. The defendant believed the contents were true and they detailed his own experience, if the defendant misapprehended some facts or repeated complaints he heard from other employees. The other defendants valued the defendant's work and had not reason to doubt the truth of the document. The defendant had no ulterior motive. He suggested possible solutions, had no intention to take over the plaintiff's position, emphasized he did not want her to suffer negative consequences, and restricted access to the document. The fact that the defendant may not have liked the plaintiff was not evidence of malice.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Counsel"/>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J.A.S. Legh.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M.R. Mark.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7" style="position:absolute;z-index:2517606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M.D. MACAULAY J."/>
            <w:bookmarkEnd w:id="5"/>
            <w:r>
              <w:rPr>
                <w:rFonts w:ascii="arial" w:eastAsia="arial" w:hAnsi="arial" w:cs="arial"/>
                <w:b/>
                <w:color w:val="000000"/>
                <w:sz w:val="30"/>
                <w:lang w:val="en-US" w:eastAsia="en-US" w:bidi="ar-SA"/>
              </w:rPr>
              <w:t>M.D. 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Woods, claims that the defendant, Plewes, assisted by the other named defendants, libelled her in March 2006 by writing and distributing a document containing defamatory statements about her. For the reasons that follow, I am satisfied that the communications in the document were subject to qualified privilege. In that regard, I reject the plaintiff's contention that any of the defendants, including Plewes, was motivated to publish by "actual malice" as defined in law. Accordingly, the plaintiff's claims are dismissed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material time, Plewes worked as a programmer analyst for Computing User Services ("COUS"), a department at the University of Victoria (the "university"). The defendant, Draper, was Plewes' immediate supervisor at the time. Draper reported to the defendant, Konkin, who has since died. Konkin, in turn, reported to the final defendant, Brett, who was, at the time, the head of COUS. COUS was closely related to, or eventually replaced by, Computing and Systems Services ("CASS"), although there was no change to the employment status or reporting of any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material time, Woods was an educational technology administrator ("ETA") with a Masters in educational technology. She worked at the Faculty of Education (the "faculty") in the university. Between December 2003 and April 2006, Woods was the administrator of the faculty Learning Commons project (the "project"). Woods worked under the supervision of the associate dean, Dr. Yvonne Martin-Newcombe. Martin-Newcombe, in turn, reported to the dean of the faculty, Dr. Bud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about March 2005, CASS and the faculty entered into an agreement under which COUS would provide information technology support for the faculty in relation to the project. Pursuant to the agreement, COUS agreed to "normally provide a Technical Analyst for micro-laboratory support to the faculty and staff in [the faculty] on a full-time basis." Commencing in 2005, Plewes was effectively seconded to the project and personally provided the bulk of the technological services that the faculty required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services are set out in the agreement and, in summary, include:</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Maintaining a hardware and software inventory database.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consultation services to the ETA, Woods, on ways of improving the services delivered to the faculty through the project, including assisting with policy development and planning for hardware and software acquisitions.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Meeting regularly with Woods to review issues surrounding the project and, as needed, attending departmental meetings with Woods in support of the project.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Woods with reports as required.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Producing documents relating to the work performed as required by Woods.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Maintaining the content of related project information web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Unfortunately, as matters progressed, both Woods and Plewes became dissatisfied with their relationship as set out in the agreement. Each perceived the other as primarily, if not totally, at fault. The respective manner in which each addressed the dissatisfaction provides the genesis for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During her evidence, Woods, who already knew Plewes as a result of previous work he had done for the faculty, described him generally as a malcontent, who felt he was underpaid; seemingly frustrated in his position; unwilling or unable to complete tasks; irritable about equipment requests; failing to attend necessary meetings; and chronically unavailable or absent when needed. Although Woods was involved in the process that resulted in Plewes providing services under the agreement, it is evident that she was not personally in favour of him being chosen.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 to Woods, Plewes quickly demonstrated similar problems in his position with the project. These included continued absenteeism, failing to attend meetings as required, and a general unwillingness to carry out tasks. Within a few months, Woods began compiling a list of notes and email messages from Plewes demonstrating that he was off-site or otherwise unavailable at times that she felt he should have been available. The list commences in the summer 2005 and carries forward through each month thereafter. In January 2006, Woods informed Martin-Newcombe of her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Insofar as the emails from Plewes, leading up to the time of the meeting between Woods and Martin-Newcombe, are concerned, most provide notice that Plewes was going to be off campus for personal reasons such as family emergencies, illness or medical appointments. In almost every instance, Plewes indicated that he was available by cell phone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According to Woods, Martin-Newcombe instructed her to arrange a meeting with Draper so the three of them could discuss the issues respecting Plewes. Although there was some contact with Draper, Woods did not feel that there was any meaningful follow-up on her concerns over the next couple of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Plewes has a different perspective than Woods. Although he was initially excited about working on the project, he became frustrated with Woods' personal communication style, which he described as difficult. He also believed that Woods frequently did not understand aspects of technology that he was more familiar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addition, Plewes felt Woods was unfairly critical of his work and abilities and that she either ignored or undervalued his input. Woods also frequently questioned whether Plewes was at work or doing his job, even though no one else had previously expressed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these questions had continued for some time, Plewes noticed that others in the faculty were also starting to inquire if he was available; this had not happened previously. All of this caused considerable stress for him, a condition that he is susceptible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 to Plewes, he attempted to partially resolve issues by telling Woods about his particular medical needs that required frequent attendances at his doctor's office. He also started copying her with the emails that he and other members of his department typically exchanged to indicate when they were off campus during normal business hours to let others know when and how to reach them if necessary. According to Plewes, this was standard procedure within his department as each member had to cover for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Plewes also pointed out that the nature of his work regularly required him to work on-site outside normal business hours to avoid tying up the hardware and sometimes this led to his taking time off during business hours, knowing that he was making up the time otherwise. In short, Plewes felt that he was performing his employment responsibilities as required and disagreed with Woods' contrary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Plewes learned of the approach to Draper and discussed the issues with him. According to Plewes, Draper was entirely satisfied with his explanation and only suggested that he keep formal track of his work outside normal business hours even though IT personnel did not ordinarily keep track of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 to Plewes, his frustrations with Woods and his stress level escalated to the point where their relationship was so dysfunctional that he felt he had to leave his position in the project. He started considering employment elsewhere but spoke to Draper because he hoped that there might be another position available within the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result of speaking to Draper, he and Draper then spoke to Konkin, and finally, the three of them spoke to Brett. In each case, Plewes attempted to explain the difficulties that he was having with Woods. At some point, one of the supervisors suggested that he clarify his reasons by recording them and then meet with them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Document and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Plewes then created the first 26 pages of the document on which Woods bases her defamation claim (the "document"). After drafting it, Plewes permitted each of the co-defendants to read the document and later, also permitted Martin-Newcombe and Brian Anscombe, a Human Resources representative at the university, to read it. Throughout this process, Plewes refused to make any formal complaint against Woods, although he did discuss possible solutions to the situation with Anscombe. As part of that discussion, he added a final two pages to the document. In the result, publication of the document was limited to those persons within the university that I have identified and, at most, a few others within the Human Resources department with whom Anscombe discussed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Plewes reviewed the initial document with the co-defendants, they decided to meet with Martin-Newcombe and discuss the contents with her. Before doing so, Plewes removed any reference to Woods from the first page of the document. According to him, this was because he did not want to present any formal complaint against Woods. Of course, he also knew that he was identifying and making negative statements about her in the rest of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Because he was not making a formal complaint, Plewes did not permit any of the co-defendants or Martin-Newcombe to keep a copy of the document. Eventually, Human Resources retained a copy of the final document but I am satisfied that Plewes, throughout, tried to ensure that no other persons would read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Coincidentally, at the same time that Plewes was documenting and presenting his issues, Martin-Newcombe was undertaking a performance review of Woods, a process that Woods herself had requested. Plewes expressly refused to allow the document to be used in that process. He explained during his evidence that his document was more about him than her and that, for the purpose of her performance review, he would have preferred to provide a more balanced account that included her strengths.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are discrepancies between Woods and Martin-Newcombe's evidence respecting the performance review and any possible use of the Plewes document for that purpose. After her meeting with the defendants, Martin-Newcombe told Woods about the document and, in doing so, referred to it as a "complaint", although she knew it was not a formal one. She also told Woods that she could not give her a copy of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 to Martin-Newcombe, she never suggested to Woods that the Plewes document had anything to do with the ongoing performance review. The performance review was solely for Woods' personal developmental benefit and was not intended to be in any way evaluative. Woods describes her conversation with Martin-Newcombe, and more importantly, what she thought Martin-Newcombe had "alluded" to, differently and more sinisterly.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whole of the evidence, I am satisfied that Woods has an unfortunate tendency to misinterpret what people, including Martin-Newcombe on this occasion, told her. As counsel for the defendants aptly put it in final submissions, some things go in white but come out black. This is only a slight variation of one of the concerns that Plewes claims to have found so frustrating. In this regard, I also accept Martin-Newcombe's evidence as to the unusual degree of caution that she employed in her daily interactions with Woods. This also is consistent with Plewes' own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Some other defence witnesses described Woods as controlling in her verbal interactions. One faculty member found it unhelpful when Woods sometimes sought to channel communications through her when the member knew that only Plewes had the necessary information. Another representative of COUS, who worked at the faculty, found it frustrating that Woods needed to feel she was right in circumstances where she was not sufficiently knowledgeable. As a result, he sometimes avoided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refer to these examples for two reasons: first, to explain my conclusions about the unreliability of some of the plaintiff's perceptions and, as a result, evidence; and second, to demonstrate that there is some confirmation of Plewes' perceptions about their interactions. I am not overlooking the limitations of the above. They do not lead me to conclude that the plaintiff is a bad person or that she was not, overall, a good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To the contrary, apart from the particular issues that she identified during her evidence, Martin-Newcombe otherwise described having a collaborative working relationship with Woods. Others, including the dean of the faculty, later wrote reference letters on behalf of Woods in 2007. In addition, the dean testified that Woods' work was professional; her performance "just fine." He also communicated to Martin-Newcombe, for the purpose of the performance review, that Woods' work was well and professionally done and that she was open to suggestions, helpful and creative.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Others wrote letters variously describing Woods as "very professional and obviously eager"; impressive "with her strong professionalism"; "helpful and knowledgeable"; "calm and respectful"; having "excellent interpersonal skills"; and "timely" in providing solutions. A faculty member who worked closely with Woods testified that she was competent; he got along with her; she was a good communicator with a good technology skill set; and finally, that he never observed her having any difficult interactions.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document, Plewes attempts to partially balance his criticisms of Woods, which I will discuss later, with the following remarks: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these statements are not made with the intention of, in any way, being demeaning, derogatory nor lessening the value [of] anyone in the Faculty of Education.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following statements ... are not made with the intention of, in any way, being demeaning, derogatory nor lessening the value of any of the other excellent skills that she possesses.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Before turning to the criticisms, I must complete the chronology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the Monday following her discussion with Martin-Newcombe, which occurred on a Friday, Woods wrote to the dean reciting her view of the discussion and seeking, among other things, to be relieved of her duties "involving direct contact with COUS employees." The dean responded the same day advising that he was reluctant to approve the request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assume that there will be a process for you and others to work through these matters and would like to know more about what the next steps to sorting these matters out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Four days later, Woods replied to the dean, stating in part: "Thus far, I have no details whatsoever about what the problem is, so I am unable to resolve anything" and goes on to renew her request. At about the same time, Woods reiterated her request that Martin-Newcombe ask COUS to "submit their written complaint as quickly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 to Woods, the situation was untenable and, within a few days, she submitted her resignation from the faculty. After doing so, she reconsidered and asked the dean to permit her to withdraw her resignation. On April 4, 2006, the dean wrote advising Woods that he, Martin-Newcombe and Anscombe had discussed the matter and decided not to accede to her request to withdraw the resignation. In the result, Woods left the university within one to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the further events leading up to Woods' resignation were unfolding, Plewes, likely at Martin-Newcombe's suggestion, met with Anscombe. According to Plewes, Anscombe suggested that he add a section to the document, later pages 27 and 28, to sum up the problems and suggest a resolution. He described the pages as a collaborative effort with Anscombe.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Anscombe described the creation of the additional pages somewhat differently. According to Anscombe, in chief, he wanted Plewes, who appeared upset, to tone down the document and to reword parts. In cross-examination, he stated that he wanted Plewes to focus more on outcomes.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Anscombe intended to meet with Martin-Newcombe to further discuss the issues, then likely meet with Woods to tell her what Plewes' concerns were, hear her side, and, hopefully, mediate a successful resolution. Anscombe was already aware that Woods had raised her own concerns about Plewes.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Anscombe did schedule a meeting with Woods but it never occurred because she submitted her resignation beforehand.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one other event from the relevant time period that Woods relies on as evidence of malice. Before leaving, Woods wrote an open message to faculty members in which she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of you with whom I have corresponded through email over the past few years should be aware that all of my in-box mail as well as my sent mail was eradicated from my computer two days before my leaving. Currently, I've not been able to find out who is in possession of my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According to Woods' trial evidence, her mail was "locked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Richard Rutherford is a senior systems analyst at the university. He became aware of the above message and wrote an email to Draper that included the following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[Plewes], [Woods] was busy deleting everything from her computer over the last couple of days so the inference that someone has taken/hidden is a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Rutherford has no recollection of an actual conversation with Plewes, although he agreed, in cross-examination, that he believed it to be accurate when he wrote the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Plewes denies any contact with Rutherford respecting the email deletion issue, although he testified that a colleague, Mark Cacovic, discussed it with him at the time. According to Plewes, he and Cacovic discussed the fact that computer users who are deleting documents may inadvertently delete a document folder that is tied to the operation of the email system. If that happens, the emails move to the trash bin but are automatically restored when the user next runs the email program as the program recreates the necessary document folder. Plewes denied making any other statements on the topic.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Cacovic also testified and gave similar evidence to Plewes respecting the process, as did Rutherford. According to Cacovic, Woods contacted him when she thought someone had deleted her emails. He located the email folder in the trash bin on the computer, moved it back to its proper place and re-launched the email program. Cacovic testified that there was no evidence that anyone had tampered with the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spite of that, according to Cacovic, Woods remained concerned that someone had sabotaged her computer. Cacovic must have tried to explain the situation to Woods but it is apparent from her conduct in sending out the open message to colleagues and her trial evidence that she was and is not prepared to accept the probable explanation, namely, that she inadverently deleted the document folder that is tied to the operation of the email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Returning to the statement that Rutherford attributed to Plewes, I am not persuaded on the whole of the evidence that Plewes made the statement. There is a distinct possibility that Rutherford was mistaken. Although Plewes saw Woods, before she left the university, take a shredder into her office and heard it operating, that had nothing to do with her computer. No one suggested that Plewes had access to Woods' computer or that he received any information about what Woods was doing on it apart from what Cacovic told him. I accept Plewes' evidence that his only discussion was with Cacovic as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Tort of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Against the background set out above, I turn next to Plewes' criticisms of Woods that she says are defamatory. In doing so, I keep in mind the following broad legal principles respecting defamation. A defamatory comment is one that would tend to lower the plaintiff's reputation in the eyes of a reasonable person. The words must refer to the plaintiff, and be published in the sense of being communicated to at least one person apart from the plaintiff. The plaintiff need not show that the defendant intended to do harm, or even that the defendant was careless, as defamation is a tort of strict liability. See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factual issue as to much of the above. The document refers to Woods; she is identified by name and, as well, by her position at the university and with the project. There is also no question as to publication. As I have already set out, Plewes permitted the co-defendants to read it, and all of the defendants met with Martin-Newcombe to discuss the document after she read it. Finally, Plewes also gave the document to Anscombe to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remaining question is whether the document would tend to lower the plaintiff's reputation in the eyes of a reasonable person. Near the beginning of the document, in the first six pages, Plewes describes difficulties that he attributes to Woods' "management and communication styles," which he says had created problems for him, his work and the work environment. Plewes also refers to a systemic pattern of behaviour on Woods' part that, using words that he attributes to someone else, created a "poisonous work environment." Plewes then identifies four "key issues" in his working relationship with Woods: isolation; changing priorities and redirecting his work; communication problems and their impacts; and finally, interference. In the balance of the first section, Plewes provides some detail to illustrate each of his points of concern. In the same section, Plewes also makes reference to Woods' "other excellent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following 19 pages is headed "Extended Discussion" and, under each of the same four issue headings, provides very detailed examples, coupled with their impact on him, and in some cases, his perception of the impact on the project and other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final two pages were added later, either after or at the time that Plewes met with Anscombe. In that section, the statements fall under the headings "Problem" and "Possible Solution" and three of the former are listed as follows: "Not treated as an equal or valued partner in the administration, development and running of the Learning Commons"; "Interference with the independence of the position"; and "Past incidences have harmed partnership relationships with the library."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have no difficulty concluding that the statements that allege that Woods' management and communication styles and systemic behaviour pattern created a "poisonous work environment," would tend to lower her reputation in the eyes of a reasonable person. I am satisfied that the statements in the document are defamatory. That is not, however, the end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rely on two defences: qualified privilege and, in the alternative, truth or justification. In my view, the defamatory statements were made in employment circumstances to which the privilege attaches and Plewes was not actuated by malice in making them. It is, accordingly, unnecessary for me to deal with the alternative justification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Where it applies, qualified privilege provides a complete defence to a claim in defamation. A defendant, who can claim that a communication was made on an occasion of qualified privilege, is protected from liability for publishing defamatory and untrue statements about the plaintiff: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144; </w:t>
      </w:r>
      <w:r>
        <w:rPr>
          <w:rFonts w:ascii="arial" w:eastAsia="arial" w:hAnsi="arial" w:cs="arial"/>
          <w:i/>
          <w:color w:val="000000"/>
          <w:sz w:val="20"/>
          <w:lang w:val="en-US" w:eastAsia="en-US" w:bidi="ar-SA"/>
        </w:rPr>
        <w:t>Botiuk v. Toronto Free Press Publications Ltd.,</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 xml:space="preserve"> at paras. 78-80.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privilege arises from the occasion on which a communication is made, not the communication itself. The Supreme Court of Canada has held that an occasion is subject to qualified privilege where: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person who makes a communication has an interest or duty, legal, social or moral, to make it to the person to whom it is made, and the person to whom it is so made has a corresponding duty or interest to receive it. The reciprocity is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143, quoting </w:t>
      </w:r>
      <w:r>
        <w:rPr>
          <w:rFonts w:ascii="arial" w:eastAsia="arial" w:hAnsi="arial" w:cs="arial"/>
          <w:i/>
          <w:color w:val="000000"/>
          <w:sz w:val="20"/>
          <w:lang w:val="en-US" w:eastAsia="en-US" w:bidi="ar-SA"/>
        </w:rPr>
        <w:t>Adam v. Ward</w:t>
      </w:r>
      <w:r>
        <w:rPr>
          <w:rFonts w:ascii="arial" w:eastAsia="arial" w:hAnsi="arial" w:cs="arial"/>
          <w:color w:val="000000"/>
          <w:sz w:val="20"/>
          <w:lang w:val="en-US" w:eastAsia="en-US" w:bidi="ar-SA"/>
        </w:rPr>
        <w:t>, [1917] A.C. 309 (H.L.) at 334. The privilege has the effect of rebutting the normal inference, arising from defamatory publications, that the statements were published with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privilege is not absolute. It will be defeated if the defendant's dominant motive for publishing the statement was actual or express malice, or the limits of the duty or interest were exceeded: see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at paras. 79-80.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say that the document was published on an occasion of qualified privilege, that the limits of the duty were not exceeded, and that there is no evidence of malice. The plaintiff, on the other hand, takes the position that no qualified privilege attaches to the occasion, but says that if it does, the limits of the duty were exceeded and the defendants were motivated by malice in publishing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 document published on an occasion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Courts in this province have held that communications regarding employment are, generally speaking, made on occasions of qualified privilege. In </w:t>
      </w:r>
      <w:r>
        <w:rPr>
          <w:rFonts w:ascii="arial" w:eastAsia="arial" w:hAnsi="arial" w:cs="arial"/>
          <w:i/>
          <w:color w:val="000000"/>
          <w:sz w:val="20"/>
          <w:lang w:val="en-US" w:eastAsia="en-US" w:bidi="ar-SA"/>
        </w:rPr>
        <w:t>M.D.A. Marine Design Associates Ltd. v. British Columbia Ferry Services Inc.</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2008 BCSC 1432</w:t>
        </w:r>
      </w:hyperlink>
      <w:r>
        <w:rPr>
          <w:rFonts w:ascii="arial" w:eastAsia="arial" w:hAnsi="arial" w:cs="arial"/>
          <w:color w:val="000000"/>
          <w:sz w:val="20"/>
          <w:lang w:val="en-US" w:eastAsia="en-US" w:bidi="ar-SA"/>
        </w:rPr>
        <w:t xml:space="preserve"> at para. 25, the court affirmed that communications between "appropriate company personnel, involving the ordinary business affairs of the company" are protected by the privilege. See also </w:t>
      </w:r>
      <w:r>
        <w:rPr>
          <w:rFonts w:ascii="arial" w:eastAsia="arial" w:hAnsi="arial" w:cs="arial"/>
          <w:i/>
          <w:color w:val="000000"/>
          <w:sz w:val="20"/>
          <w:lang w:val="en-US" w:eastAsia="en-US" w:bidi="ar-SA"/>
        </w:rPr>
        <w:t>Dawydiuk v. Insurance Corporation of British Columbia</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2009 BCSC 1259</w:t>
        </w:r>
      </w:hyperlink>
      <w:r>
        <w:rPr>
          <w:rFonts w:ascii="arial" w:eastAsia="arial" w:hAnsi="arial" w:cs="arial"/>
          <w:color w:val="000000"/>
          <w:sz w:val="20"/>
          <w:lang w:val="en-US" w:eastAsia="en-US" w:bidi="ar-SA"/>
        </w:rPr>
        <w:t xml:space="preserve">, rev'd on another point, </w:t>
      </w:r>
      <w:hyperlink r:id="rId16" w:history="1">
        <w:r>
          <w:rPr>
            <w:rFonts w:ascii="arial" w:eastAsia="arial" w:hAnsi="arial" w:cs="arial"/>
            <w:i/>
            <w:color w:val="0077CC"/>
            <w:sz w:val="20"/>
            <w:u w:val="single"/>
            <w:shd w:val="clear" w:color="auto" w:fill="FFFFFF"/>
            <w:lang w:val="en-US" w:eastAsia="en-US" w:bidi="ar-SA"/>
          </w:rPr>
          <w:t>2010 BCCA 353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defence of qualified privilege is meant to promote the giving and receiving of uninhibited communications in circumstances where the public interest requires a free exchange of information: </w:t>
      </w:r>
      <w:r>
        <w:rPr>
          <w:rFonts w:ascii="arial" w:eastAsia="arial" w:hAnsi="arial" w:cs="arial"/>
          <w:i/>
          <w:color w:val="000000"/>
          <w:sz w:val="20"/>
          <w:lang w:val="en-US" w:eastAsia="en-US" w:bidi="ar-SA"/>
        </w:rPr>
        <w:t>Cimolai v. Hall et al,</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2005 BCSC 31</w:t>
        </w:r>
      </w:hyperlink>
      <w:r>
        <w:rPr>
          <w:rFonts w:ascii="arial" w:eastAsia="arial" w:hAnsi="arial" w:cs="arial"/>
          <w:color w:val="000000"/>
          <w:sz w:val="20"/>
          <w:lang w:val="en-US" w:eastAsia="en-US" w:bidi="ar-SA"/>
        </w:rPr>
        <w:t xml:space="preserve"> at para. 77, aff'd </w:t>
      </w:r>
      <w:hyperlink r:id="rId18" w:history="1">
        <w:r>
          <w:rPr>
            <w:rFonts w:ascii="arial" w:eastAsia="arial" w:hAnsi="arial" w:cs="arial"/>
            <w:i/>
            <w:color w:val="0077CC"/>
            <w:sz w:val="20"/>
            <w:u w:val="single"/>
            <w:shd w:val="clear" w:color="auto" w:fill="FFFFFF"/>
            <w:lang w:val="en-US" w:eastAsia="en-US" w:bidi="ar-SA"/>
          </w:rPr>
          <w:t>2007 BCCA 225</w:t>
        </w:r>
      </w:hyperlink>
      <w:r>
        <w:rPr>
          <w:rFonts w:ascii="arial" w:eastAsia="arial" w:hAnsi="arial" w:cs="arial"/>
          <w:color w:val="000000"/>
          <w:sz w:val="20"/>
          <w:lang w:val="en-US" w:eastAsia="en-US" w:bidi="ar-SA"/>
        </w:rPr>
        <w:t>. That protection is necessary in the workplace, as candid communication between company personnel is necessary for effective business operations. Employees and employers alike have an interest and duty in exchanging information that touches on the proper functioning of the business, including relations between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facts in this case are similar to those in </w:t>
      </w:r>
      <w:r>
        <w:rPr>
          <w:rFonts w:ascii="arial" w:eastAsia="arial" w:hAnsi="arial" w:cs="arial"/>
          <w:i/>
          <w:color w:val="000000"/>
          <w:sz w:val="20"/>
          <w:lang w:val="en-US" w:eastAsia="en-US" w:bidi="ar-SA"/>
        </w:rPr>
        <w:t>Cimolai</w:t>
      </w:r>
      <w:r>
        <w:rPr>
          <w:rFonts w:ascii="arial" w:eastAsia="arial" w:hAnsi="arial" w:cs="arial"/>
          <w:color w:val="000000"/>
          <w:sz w:val="20"/>
          <w:lang w:val="en-US" w:eastAsia="en-US" w:bidi="ar-SA"/>
        </w:rPr>
        <w:t>, where the court held that qualified privilege applied to a number of frank communications between hospital staff dealing with workplace conflict and personnel issues. The plaintiff in that case was a doctor who was employed at a hospital. The defendants were also employees at another department in the hospital. The plaintiff and the defendants were required to work together on various projects and tasks and the defendants found the plaintiff difficult -- even impossible -- to work with. They produced a number of documents discussing their conflict with the plaintiff and distributed them to hospital administration. Those documents, like the Plewes document, contained a detailed list of concerns about the plaintiff's work and behaviour, including the allegation that he was "poisoning the work environment"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trial judge found that all of these communications were protected by qualified privilege, noting that "[t]he situation was quintessentially one which the privilege seeks to protect" (para. 3). The Court of Appeal agreed, noting that as the communications were between hospital employees and dealt with issues of hospital functioning, it was "clearly an occasion of qualified privilege"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For similar reasons, I find that the occasion in the present case is also protected by qualified privilege. The impugned statements were made by an employee to his supervisors and dealt with workplace issues. It is another classic example of an occasion requiring a free and candid exchange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Plewes had a legitimate personal interest in making the communication, that is, providing an explanation to his employers for why he no longer found his position tenable, and the recipients had a reciprocal interest in receiving it. The COUS defendants and Martin-Newcombe all testified that they had an interest in receiving information about issues or tensions between employees under their supervision. Indeed, Plewes' supervisors requested that he write down his concerns in order to clarify the problems he was experiencing. Anscombe, whose job in Human Resources required him to address and alleviate workplace conflict, also had a clear duty to receive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argues that the privilege does not arise because the document, in content, went beyond the scope of what was requested by the COUS supervisors. I do not agree. This argument conflates the application of qualified privilege to the occasion of the communication with the loss of the privilege if the communication exceeded the limits of the occasion or was motivated by malice. It is the occasion of the communication that gives rise to the protection, not the details of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also reject the plaintiff's contention that qualified privilege does not apply because Plewes treated the document as private, rather than as a university document. Doing so affected the extent of publication but nothing else of significance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form of the communication is not a factor in determining whether the privilege attaches. Whether recorded in a human resources form, an email to his supervisors, or as a "private" document, this was still a communication between an employee and his supervisors addressing workplace issues that, broadly speaking, engaged the university's business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the document exceed the limits of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 communication may exceed the limits of the duty in two ways. First, the publication may include information that is not "reasonably appropriate" in the context of the protected duty or interest: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147,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at para. 80. The privilege will be lost if the defamatory statements are irrelevant, unnecessary or unconnected with the purpose of the publication: see </w:t>
      </w:r>
      <w:r>
        <w:rPr>
          <w:rFonts w:ascii="arial" w:eastAsia="arial" w:hAnsi="arial" w:cs="arial"/>
          <w:i/>
          <w:color w:val="000000"/>
          <w:sz w:val="20"/>
          <w:lang w:val="en-US" w:eastAsia="en-US" w:bidi="ar-SA"/>
        </w:rPr>
        <w:t>Urbanowski v. Harkins et al</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2006 BCSC 1741</w:t>
        </w:r>
      </w:hyperlink>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Second, the communication exceeds the limit of the duty if it is sent to recipients who have no interest in it or duty to receive it. See for example </w:t>
      </w:r>
      <w:r>
        <w:rPr>
          <w:rFonts w:ascii="arial" w:eastAsia="arial" w:hAnsi="arial" w:cs="arial"/>
          <w:i/>
          <w:color w:val="000000"/>
          <w:sz w:val="20"/>
          <w:lang w:val="en-US" w:eastAsia="en-US" w:bidi="ar-SA"/>
        </w:rPr>
        <w:t>Urbanowski</w:t>
      </w:r>
      <w:r>
        <w:rPr>
          <w:rFonts w:ascii="arial" w:eastAsia="arial" w:hAnsi="arial" w:cs="arial"/>
          <w:color w:val="000000"/>
          <w:sz w:val="20"/>
          <w:lang w:val="en-US" w:eastAsia="en-US" w:bidi="ar-SA"/>
        </w:rPr>
        <w:t xml:space="preserve"> at para. 46 and </w:t>
      </w:r>
      <w:r>
        <w:rPr>
          <w:rFonts w:ascii="arial" w:eastAsia="arial" w:hAnsi="arial" w:cs="arial"/>
          <w:i/>
          <w:color w:val="000000"/>
          <w:sz w:val="20"/>
          <w:lang w:val="en-US" w:eastAsia="en-US" w:bidi="ar-SA"/>
        </w:rPr>
        <w:t>Dawydiuk</w:t>
      </w:r>
      <w:r>
        <w:rPr>
          <w:rFonts w:ascii="arial" w:eastAsia="arial" w:hAnsi="arial" w:cs="arial"/>
          <w:color w:val="000000"/>
          <w:sz w:val="20"/>
          <w:lang w:val="en-US" w:eastAsia="en-US" w:bidi="ar-SA"/>
        </w:rPr>
        <w:t xml:space="preserve"> (C.A.)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 submits that the impugned document goes beyond what was reasonably appropriate for Plewes to communicate in the circumstances, as many of the comments were personal in nature and were irrelevant to the purpose of explaining Plewes' concerns. The plaintiff says that the situation is similar to that in </w:t>
      </w:r>
      <w:r>
        <w:rPr>
          <w:rFonts w:ascii="arial" w:eastAsia="arial" w:hAnsi="arial" w:cs="arial"/>
          <w:i/>
          <w:color w:val="000000"/>
          <w:sz w:val="20"/>
          <w:lang w:val="en-US" w:eastAsia="en-US" w:bidi="ar-SA"/>
        </w:rPr>
        <w:t>Urbanowski</w:t>
      </w:r>
      <w:r>
        <w:rPr>
          <w:rFonts w:ascii="arial" w:eastAsia="arial" w:hAnsi="arial" w:cs="arial"/>
          <w:color w:val="000000"/>
          <w:sz w:val="20"/>
          <w:lang w:val="en-US" w:eastAsia="en-US" w:bidi="ar-SA"/>
        </w:rPr>
        <w:t>, where Fisher J. found that a number of statements in the defendant's defamatory emails went beyond what was reasonably necessary for the legitimate purpose of the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Urbanowski</w:t>
      </w:r>
      <w:r>
        <w:rPr>
          <w:rFonts w:ascii="arial" w:eastAsia="arial" w:hAnsi="arial" w:cs="arial"/>
          <w:color w:val="000000"/>
          <w:sz w:val="20"/>
          <w:lang w:val="en-US" w:eastAsia="en-US" w:bidi="ar-SA"/>
        </w:rPr>
        <w:t xml:space="preserve"> does not assist the plaintiff here. The defendant in that case, the owner of an automobile repair company, sent two emails to the Insurance Corporation of British Columbia requesting payment of an account. In doing so, he alleged that the plaintiff had twice defrauded him, in part via the unauthorized use of his credit card. The court accepted the communications were made in pursuit of a legitimate private interest, the payment of a debt, and, as such, were subject to qualified privilege. However, Fisher J. went on to find:</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statements in both e-mails referring to the plaintiff's unauthorized use of Mr. Harkins' credit card, and more importantly, the statements in the first e-mail that the plaintiff had defrauded the defendants twice, along with the reference to the police, went beyond what was reasonably necessary or appropriate for the defendants to assert their interest in being paid. Before Mr. Harkins sent the first e-mail, the police had advised him that the matter was civil, and the plaintiff had written him a detailed letter explaining his understanding of the situation. There was never an issue that False Creek Collision would be paid by ICBC; it was a matter of sorting out the details. It was not necessary for Mr. Harkins to continue to defame the plaintiff in order to deal with the payment for the vehicle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this excerpt indicates, it was possible for the defendant to reach his goal and protect his interests without any reference to the defamatory material. There was no logical connection between the comments made and the purpose being pursued. That is not the case here. In content, the document is limited to describing the difficulties Plewes encountered with Woods and their effect upon him and the working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writing the document, Plewes sought to explain why he found his working conditions untenable. There is a clear connection between the content and the purpose of the document. Plewes could not have protected his interests without providing details of his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document is certainly long, detailed, and sometimes emotional in its tone. However, while excessive language may be intrinsic evidence of malice, the language used here is not sufficiently outrageous to find that the information given exceeded the limits of the duty. I do not accept that any of the statements in the document are unnecessary or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also says that the defendants exceeded the limits of the duty in sharing the document with Martin-Newcombe. In taking this position the plaintiff submits that COUS and the faculty are separate entities, connected only by a contractual relationship, so that once the document went outside COUS it was outside of the employee-employer relationship and therefore beyond the bounds of the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university's internal departmental and faculty organization does not negate the fact that all the individuals who published or received were university employees who were communicating with regard to the interests of the university. The plaintiff herself, when concerned about Plewes' absenteeism, communicated those concerns both to members of COUS and the faculty. The relationship between COUS and the faculty, however it might technically be described, was one that operated under the aegis of the university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Even if I accepted that the entities are only linked by contract, I would still find that the communication to Martin-Newcombe was made on an occasion of qualified privilege. The privilege does not arise out of the particular label that applies to the relationship between the parties, so as to require that it be an "employee" and an "employer." Instead, it is meant to protect legitimate societal interests in candid communication, wherever they may arise. A narrow focus on the contractual relationship between the parties would defeat that goal. Martin-Newcombe had an interest in receiving communications about any difficulties arising in the relationship between COUS and the faculty, including personnel disputes. Martin-Newcombe herself testified to that effect, stating that she had an interest in Plewes' communication because Woods was under her supervision and she had a responsibility for ensuring the proper functioning of the faculty. I therefore find that the defendants did not exceed the limits of the duty in providing the document to Martin-Newcombe.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 document motivated by actual or express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Smith v.</w:t>
      </w:r>
      <w:r>
        <w:rPr>
          <w:rFonts w:ascii="arial" w:eastAsia="arial" w:hAnsi="arial" w:cs="arial"/>
          <w:color w:val="000000"/>
          <w:sz w:val="20"/>
          <w:lang w:val="en-US" w:eastAsia="en-US" w:bidi="ar-SA"/>
        </w:rPr>
        <w:t xml:space="preserve"> Cross, </w:t>
      </w:r>
      <w:hyperlink r:id="rId20" w:history="1">
        <w:r>
          <w:rPr>
            <w:rFonts w:ascii="arial" w:eastAsia="arial" w:hAnsi="arial" w:cs="arial"/>
            <w:i/>
            <w:color w:val="0077CC"/>
            <w:sz w:val="20"/>
            <w:u w:val="single"/>
            <w:shd w:val="clear" w:color="auto" w:fill="FFFFFF"/>
            <w:lang w:val="en-US" w:eastAsia="en-US" w:bidi="ar-SA"/>
          </w:rPr>
          <w:t>2007 BCSC 1757</w:t>
        </w:r>
      </w:hyperlink>
      <w:r>
        <w:rPr>
          <w:rFonts w:ascii="arial" w:eastAsia="arial" w:hAnsi="arial" w:cs="arial"/>
          <w:color w:val="000000"/>
          <w:sz w:val="20"/>
          <w:lang w:val="en-US" w:eastAsia="en-US" w:bidi="ar-SA"/>
        </w:rPr>
        <w:t xml:space="preserve"> at para. 43, aff'd </w:t>
      </w:r>
      <w:hyperlink r:id="rId21" w:history="1">
        <w:r>
          <w:rPr>
            <w:rFonts w:ascii="arial" w:eastAsia="arial" w:hAnsi="arial" w:cs="arial"/>
            <w:i/>
            <w:color w:val="0077CC"/>
            <w:sz w:val="20"/>
            <w:u w:val="single"/>
            <w:shd w:val="clear" w:color="auto" w:fill="FFFFFF"/>
            <w:lang w:val="en-US" w:eastAsia="en-US" w:bidi="ar-SA"/>
          </w:rPr>
          <w:t>2009 BCCA 529</w:t>
        </w:r>
      </w:hyperlink>
      <w:r>
        <w:rPr>
          <w:rFonts w:ascii="arial" w:eastAsia="arial" w:hAnsi="arial" w:cs="arial"/>
          <w:color w:val="000000"/>
          <w:sz w:val="20"/>
          <w:lang w:val="en-US" w:eastAsia="en-US" w:bidi="ar-SA"/>
        </w:rPr>
        <w:t>, there are four ways of establishing malice in the defamation context. The privilege will be defeated where the defendant published the statement: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it was false;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reckless indifference as to whether it was true or false;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dominant purpose of injuring the plaintiff because of spite or animosity;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 other dominant purpose which is improper, indirect, or unrelated to the privileged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145 and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Evidence of malice may be found in the defamatory statement itself, or in the defendant's conduct before and after publishing the statement: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paras. 193-194.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onus of proving malice lies with the plaintiff and, as the British Columbia Court of Appeal has said, it "is not an easy burden to discharge" (</w:t>
      </w:r>
      <w:r>
        <w:rPr>
          <w:rFonts w:ascii="arial" w:eastAsia="arial" w:hAnsi="arial" w:cs="arial"/>
          <w:i/>
          <w:color w:val="000000"/>
          <w:sz w:val="20"/>
          <w:lang w:val="en-US" w:eastAsia="en-US" w:bidi="ar-SA"/>
        </w:rPr>
        <w:t>Cimolai</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defendant is protected against the claim that he knew the statements were false or that he was recklessly indifferent to their truth so long as he had an "honest belief" in the truth of the statements. An "honest belief can be formed on the slimmest of evidence": </w:t>
      </w:r>
      <w:r>
        <w:rPr>
          <w:rFonts w:ascii="arial" w:eastAsia="arial" w:hAnsi="arial" w:cs="arial"/>
          <w:i/>
          <w:color w:val="000000"/>
          <w:sz w:val="20"/>
          <w:lang w:val="en-US" w:eastAsia="en-US" w:bidi="ar-SA"/>
        </w:rPr>
        <w:t>Mann v. International Association of Machinists and Aerospace Workers</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2012 BCSC 181</w:t>
        </w:r>
      </w:hyperlink>
      <w:r>
        <w:rPr>
          <w:rFonts w:ascii="arial" w:eastAsia="arial" w:hAnsi="arial" w:cs="arial"/>
          <w:color w:val="000000"/>
          <w:sz w:val="20"/>
          <w:lang w:val="en-US" w:eastAsia="en-US" w:bidi="ar-SA"/>
        </w:rPr>
        <w:t xml:space="preserve"> at para. 99. A defendant who arrives at an honest belief in the truth of the statements through carelessness,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impulsiveness, irrationality, foolishness or a misapprehension of the facts is still protected by qualified privilege (see </w:t>
      </w:r>
      <w:r>
        <w:rPr>
          <w:rFonts w:ascii="arial" w:eastAsia="arial" w:hAnsi="arial" w:cs="arial"/>
          <w:i/>
          <w:color w:val="000000"/>
          <w:sz w:val="20"/>
          <w:lang w:val="en-US" w:eastAsia="en-US" w:bidi="ar-SA"/>
        </w:rPr>
        <w:t>Botiuk</w:t>
      </w:r>
      <w:r>
        <w:rPr>
          <w:rFonts w:ascii="arial" w:eastAsia="arial" w:hAnsi="arial" w:cs="arial"/>
          <w:color w:val="000000"/>
          <w:sz w:val="20"/>
          <w:lang w:val="en-US" w:eastAsia="en-US" w:bidi="ar-SA"/>
        </w:rPr>
        <w:t xml:space="preserve"> at para. 96,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at para.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Where the plaintiff alleges an improper motive, the bar is just as high. It is not sufficient to show that the defendant knew that the statement would injure the plaintiff, or even that the defendant </w:t>
      </w:r>
      <w:r>
        <w:rPr>
          <w:rFonts w:ascii="arial" w:eastAsia="arial" w:hAnsi="arial" w:cs="arial"/>
          <w:i/>
          <w:color w:val="000000"/>
          <w:sz w:val="20"/>
          <w:lang w:val="en-US" w:eastAsia="en-US" w:bidi="ar-SA"/>
        </w:rPr>
        <w:t>wanted</w:t>
      </w:r>
      <w:r>
        <w:rPr>
          <w:rFonts w:ascii="arial" w:eastAsia="arial" w:hAnsi="arial" w:cs="arial"/>
          <w:color w:val="000000"/>
          <w:sz w:val="20"/>
          <w:lang w:val="en-US" w:eastAsia="en-US" w:bidi="ar-SA"/>
        </w:rPr>
        <w:t xml:space="preserve"> to injure the plaintiff. As long as the defendant was still motivated by the protected duty or interest, the occasion is privileged. The privilege will only be defeated where the primary or dominant motive was an improper one: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xml:space="preserve"> at para. 107. In </w:t>
      </w:r>
      <w:r>
        <w:rPr>
          <w:rFonts w:ascii="arial" w:eastAsia="arial" w:hAnsi="arial" w:cs="arial"/>
          <w:i/>
          <w:color w:val="000000"/>
          <w:sz w:val="20"/>
          <w:lang w:val="en-US" w:eastAsia="en-US" w:bidi="ar-SA"/>
        </w:rPr>
        <w:t>Cimolai</w:t>
      </w:r>
      <w:r>
        <w:rPr>
          <w:rFonts w:ascii="arial" w:eastAsia="arial" w:hAnsi="arial" w:cs="arial"/>
          <w:color w:val="000000"/>
          <w:sz w:val="20"/>
          <w:lang w:val="en-US" w:eastAsia="en-US" w:bidi="ar-SA"/>
        </w:rPr>
        <w:t xml:space="preserve"> at para. 41 the Court of Appeal affirmed the following statement from the House of Lords in </w:t>
      </w:r>
      <w:r>
        <w:rPr>
          <w:rFonts w:ascii="arial" w:eastAsia="arial" w:hAnsi="arial" w:cs="arial"/>
          <w:i/>
          <w:color w:val="000000"/>
          <w:sz w:val="20"/>
          <w:lang w:val="en-US" w:eastAsia="en-US" w:bidi="ar-SA"/>
        </w:rPr>
        <w:t>Horrocks v. Lowe</w:t>
      </w:r>
      <w:r>
        <w:rPr>
          <w:rFonts w:ascii="arial" w:eastAsia="arial" w:hAnsi="arial" w:cs="arial"/>
          <w:color w:val="000000"/>
          <w:sz w:val="20"/>
          <w:lang w:val="en-US" w:eastAsia="en-US" w:bidi="ar-SA"/>
        </w:rPr>
        <w:t>, [1975] A.C. 135 (H.L.):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Qualified privilege would be illusory, and the public interest that it is meant to serve defeated, if the protection which it affords were lost merely because a person, although acting in compliance with a duty or in protection of a legitimate interest, disliked the person whom he defamed or was indignant at what he believed to be that person's conduct and welcomed the opportunity of exposing it.</w:t>
      </w:r>
      <w:r>
        <w:rPr>
          <w:rFonts w:ascii="arial" w:eastAsia="arial" w:hAnsi="arial" w:cs="arial"/>
          <w:color w:val="000000"/>
          <w:sz w:val="20"/>
          <w:lang w:val="en-US" w:eastAsia="en-US" w:bidi="ar-SA"/>
        </w:rPr>
        <w:t xml:space="preserve"> It is only where his desire to comply with the relevant duty or to protect the relevant interest plays no significant part in his motives for publishing what he believes to be true that "express malice" can properly be found.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says that all the categories of malice are established here. She submits that Plewes knew the document was false; that the other defendants published it with reckless indifference to its truth; and that Plewes published it for a dominant and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am not persuaded that the defendants published the document with actual or express malice. To begin, I accept Plewes' testimony that he believed, and still believes, that the contents of the document were true. Most of the document is a catalogue of his own experiences working with Woods; even accepting that he misapprehended some of the underlying facts, for example, that the project failed because of Woods' inadequacies, that would not displace Plewes' honest belief in the truth of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As to those portions of the document that deal with other employees' perceptions of Woods, Plewes testified that these were based on conversations with the employees in question or on "rumours" filtered through third parties. As indicated in </w:t>
      </w:r>
      <w:r>
        <w:rPr>
          <w:rFonts w:ascii="arial" w:eastAsia="arial" w:hAnsi="arial" w:cs="arial"/>
          <w:i/>
          <w:color w:val="000000"/>
          <w:sz w:val="20"/>
          <w:lang w:val="en-US" w:eastAsia="en-US" w:bidi="ar-SA"/>
        </w:rPr>
        <w:t>Mann</w:t>
      </w:r>
      <w:r>
        <w:rPr>
          <w:rFonts w:ascii="arial" w:eastAsia="arial" w:hAnsi="arial" w:cs="arial"/>
          <w:color w:val="000000"/>
          <w:sz w:val="20"/>
          <w:lang w:val="en-US" w:eastAsia="en-US" w:bidi="ar-SA"/>
        </w:rPr>
        <w:t>, an honest belief can be based on gossip or suspicion. Again, I accept that Plewes honestly believed that the complaints he reported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suggests that Brett, Konkin and Draper were recklessly indifferent to the truth of the document because they did not "take any time to substantiate" its contents. But an honest belief does not require an inquiry into the truth. Draper testified that although he had not had any negative experiences with Woods himself, he had "no reason to think the document was inaccurate." He had worked with Plewes for a number of years and considered him a valued, competent employee. In the circumstances, keeping in mind that none of the defendants sought disciplinary action or other consequences for Woods, it was reasonable for them to take Plewes at his word. I do not accede to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also submits that Plewes published the document for the dominant purpose of injuring the plaintiff because of spite or animosity, or the improper purpose of increasing the scope of his own work duties while eliminating the oversight of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According to the plaintiff, Plewes attacked her in response to her documenting his absenteeism. Further, he was not doing the work he wanted to do in the project, and saw the plaintiff as the source of this restriction. The plaintiff says that Plewes wanted to take over Woods' own position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making these submissions, the plaintiff mainly relies on the intrinsic evidence of the document itself. She says that the document clearly expresses Plewes' interest in performing the plaintiff's work, as he indicates that he wants to report directly to the Associate Dean, exercise his own judgment on tasks, exclude the plaintiff from meetings, and generally take on a leading role in the Learning Commons project. The plaintiff also points to the style of the document itself, what counsel described as a "diatribe of attacks", as evidence of malicious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this regard, the plaintiff also relied on Rutherford's statement that Plewes had told him that Woods was "busy deleting everything off her computer" as further evidence that he was motivated to injure the plaintiff. As stated above, I am not persuaded that Plewes made this statement and have not considered it as potential evidence of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defendants, on the other hand, say that Plewes had no ulterior or improper motive; his object was to explain legitimate workplace concerns and their effect on his own position. They say that the portions of the document where Plewes states that he does not want Woods to suffer any negative consequences from his report show that he was not motivated to injure Woods.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his testimony Plewes denied that he wanted to take over Woods' position or assume greater power in the Learning Commons project. He testified that he was not interested in the portions of the job that did not deal with technology and that he did not want to take on Woods' administrative responsibilities. After Woods left, his job remained much as it had in the past and he did not apply for Woods' vacated position, although he did have to assume some of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 also testified that the portions of the document that refer to independence in his position and a leading role in the Learning Commons were drafted as possible solutions to his feeling that his input was undervalued or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Having considered the document itself and Plewes' testimony, I am not persuaded that Plewes drafted the document with the ulterior motive of increasing his own authority or replacing Woods' position. The "solutions" portion of the document says that while "equal and valued partnership was inferred and stated when I applied and accepted the position, this has clearly not been the case." The listed solutions appear to be an attempt to align the position with Plewes' understanding of his own role, rather than an attempt to increase his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While the document does use some inflammatory language and, on occasion, attacks Woods' professional competence, I find, as was the case in </w:t>
      </w:r>
      <w:r>
        <w:rPr>
          <w:rFonts w:ascii="arial" w:eastAsia="arial" w:hAnsi="arial" w:cs="arial"/>
          <w:i/>
          <w:color w:val="000000"/>
          <w:sz w:val="20"/>
          <w:lang w:val="en-US" w:eastAsia="en-US" w:bidi="ar-SA"/>
        </w:rPr>
        <w:t>Cimolai,</w:t>
      </w:r>
      <w:r>
        <w:rPr>
          <w:rFonts w:ascii="arial" w:eastAsia="arial" w:hAnsi="arial" w:cs="arial"/>
          <w:color w:val="000000"/>
          <w:sz w:val="20"/>
          <w:lang w:val="en-US" w:eastAsia="en-US" w:bidi="ar-SA"/>
        </w:rPr>
        <w:t xml:space="preserve"> that these statements were simply "part of the narrative of a dysfunctional situation" ((C.A.) at para. 49). These expressions are not sufficient to support a claim in malice, particularly when balanced against the portions of the document where Plewes emphasizes Woods' positive qualities and states that he does not want her to suffer negative consequences as a result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fact that Plewes did not like Woods, and did not appreciate her tracking his presence on campus, is not sufficient to establish malice or intent to injure. It is noteworthy that Plewes refused to make a formal complaint, a process which might have resulted in sanctions or disciplinary action for Woods. He also tried to restrict access to the document. If Plewes wanted to injure Woods or hoped to take her job, one might expect him to have distributed the document more widely or to have lodged an official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accept that Plewes' dominant purpose in drafting the document was to explain why he no longer found his position tenable. He told his supervisors that in the current working conditions he feared for his health and wanted to resign. It appears he hoped that an alternate position might become available that would not raise the same difficulties. He may have also hoped that some solution could be reached that would have allowed him to stay in his current position; certainly, that appears to have been one of Draper's goals in bringing the document to Martin-Newcombe's attention. All these motivations are legitimately subsumed within the duty or interest giving rising to the privileged occasion. They are not indirect or ulterior motives that fall outside the legitimate interest motivating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conclude that the document was published on an occasion of qualified privilege and without express or actual malice. As such, the plaintiff's claim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conclude that the defence of qualified privilege applies to the document published by the defendants. The plaintiff's claim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defendants have been successful in this action and, in the ordinary course, should be entitled to costs. Counsel did not address this issue, however, and for that reason, I grant leave to speak to costs. If there is no need to do so, the defendants will be entitled to a single set of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M.D. 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8" style="position:absolute;z-index:2518108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
          <w:headerReference w:type="default" r:id="rId24"/>
          <w:footerReference w:type="even" r:id="rId25"/>
          <w:footerReference w:type="default" r:id="rId26"/>
          <w:headerReference w:type="first" r:id="rId27"/>
          <w:footerReference w:type="first" r:id="rId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 w:history="1">
        <w:r>
          <w:rPr>
            <w:rFonts w:ascii="arial" w:eastAsia="arial" w:hAnsi="arial" w:cs="arial"/>
            <w:b/>
            <w:bCs/>
            <w:i/>
            <w:color w:val="0077CC"/>
            <w:kern w:val="32"/>
            <w:sz w:val="28"/>
            <w:szCs w:val="32"/>
            <w:u w:val="single"/>
            <w:shd w:val="clear" w:color="auto" w:fill="FFFFFF"/>
            <w:lang w:val="en-US" w:eastAsia="en-US" w:bidi="ar-SA"/>
          </w:rPr>
          <w:t>Young v. McLellan, [2004] B.C.J. No. 1559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Vickers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04 0098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1559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995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133 A.C.W.S. (3d) 625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Eric Young and Marlene Young, plaintiffs, and Anne McLellan and Her Majesty the Queen in Right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Civil procedure — Pleadings — Striking out pleadings or allegations — Grounds — False, frivolous, vexatious or abuse of process — Criminal law — Controlled drugs and substances — Possession or trafficking — Medical exemption — Government law — Crown — Actions by and against — Crown Capacity of Crown to sue or be sued — Tort law — Defamation — Abuse of public office.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 w:name="Case Summary_0"/>
            <w:bookmarkEnd w:id="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 motion brought by the defendant, McLellan to have the plaintiff Young's statement of claim struck. In the alternative they sought an order substituting the Majesty the Queen, and striking McLellan from the action. Further, they sought an order to have Young provide particulars on any alleged misrepresentations and defamatory statements that had been alleged and for an extension of time to file their statement of defence. Young had multiple sclerosis and was given a medical exemption to use and grow cannabis to treat his disease. There were a number of changes to the exemption rules under the Controlled Drugs and Substances Act making it more difficult for Young to obtain the exemptions. Young was angry about these changes and spoke to an employee at Health Canada. He threatened to bomb Health Canada offices. The police were informed of the threat. Young also filed a petition that his rights under the Canadian Charter of Rights and Freedoms, 1982 had been infringed. The petition made the same claims as the statement of claim and sought damages. The statement of claim pleaded that McLellan had breached her fiduciary duty and abused her public office, that Health Canada had defamed Young and invaded his privacy. Finally, Young claimed intentional infliction of nervous shock. This was tied to his claim for defamation. He denied making the bomb threat.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 w:name="Holdings of Court_0"/>
            <w:bookmarkEnd w:id="8"/>
            <w:r>
              <w:rPr>
                <w:rFonts w:ascii="arial" w:eastAsia="arial" w:hAnsi="arial" w:cs="arial"/>
                <w:color w:val="000000"/>
                <w:sz w:val="20"/>
                <w:lang w:val="en-US" w:eastAsia="en-US" w:bidi="ar-SA"/>
              </w:rPr>
              <w:t>HELD: Motion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statement of claim was struck in part and Young was given an opportunity to amend it. McLellan owed no fiduciary duty to Young. McLellan exercised an administrative function in the public interest under the Act which did not give rise to a fiduciary obligation to Young. Particulars regarding the allegation of defamation were ordered.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 w:name="Legislation Cited"/>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0"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ss. 7, 12,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Liability and Proceedings Act, </w:t>
      </w:r>
      <w:hyperlink r:id="rId30" w:history="1">
        <w:r>
          <w:rPr>
            <w:rFonts w:ascii="arial" w:eastAsia="arial" w:hAnsi="arial" w:cs="arial"/>
            <w:i/>
            <w:color w:val="0077CC"/>
            <w:sz w:val="20"/>
            <w:u w:val="single"/>
            <w:shd w:val="clear" w:color="auto" w:fill="FFFFFF"/>
            <w:lang w:val="en-US" w:eastAsia="en-US" w:bidi="ar-SA"/>
          </w:rPr>
          <w:t>R.S.C. 1985, c. C-50, ss. 23</w:t>
        </w:r>
      </w:hyperlink>
      <w:r>
        <w:rPr>
          <w:rFonts w:ascii="arial" w:eastAsia="arial" w:hAnsi="arial" w:cs="arial"/>
          <w:color w:val="000000"/>
          <w:sz w:val="20"/>
          <w:lang w:val="en-US" w:eastAsia="en-US" w:bidi="ar-SA"/>
        </w:rPr>
        <w:t>, 23(1), 23(2).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Controlled Drugs and Substances Act, </w:t>
      </w:r>
      <w:hyperlink r:id="rId31" w:history="1">
        <w:r>
          <w:rPr>
            <w:rFonts w:ascii="arial" w:eastAsia="arial" w:hAnsi="arial" w:cs="arial"/>
            <w:i/>
            <w:color w:val="0077CC"/>
            <w:sz w:val="20"/>
            <w:u w:val="single"/>
            <w:shd w:val="clear" w:color="auto" w:fill="FFFFFF"/>
            <w:lang w:val="en-US" w:eastAsia="en-US" w:bidi="ar-SA"/>
          </w:rPr>
          <w:t>S.C. 1996, c.19, s. 56</w:t>
        </w:r>
      </w:hyperlink>
      <w:r>
        <w:rPr>
          <w:rFonts w:ascii="arial" w:eastAsia="arial" w:hAnsi="arial" w:cs="arial"/>
          <w:color w:val="000000"/>
          <w:sz w:val="20"/>
          <w:lang w:val="en-US" w:eastAsia="en-US" w:bidi="ar-SA"/>
        </w:rPr>
        <w:t xml:space="preserve">. Marihuana Medical Access Regulation, </w:t>
      </w:r>
      <w:hyperlink r:id="rId32" w:history="1">
        <w:r>
          <w:rPr>
            <w:rFonts w:ascii="arial" w:eastAsia="arial" w:hAnsi="arial" w:cs="arial"/>
            <w:i/>
            <w:color w:val="0077CC"/>
            <w:sz w:val="20"/>
            <w:u w:val="single"/>
            <w:shd w:val="clear" w:color="auto" w:fill="FFFFFF"/>
            <w:lang w:val="en-US" w:eastAsia="en-US" w:bidi="ar-SA"/>
          </w:rPr>
          <w:t>SOR 2001-227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hyperlink r:id="rId33" w:history="1">
        <w:r>
          <w:rPr>
            <w:rFonts w:ascii="arial" w:eastAsia="arial" w:hAnsi="arial" w:cs="arial"/>
            <w:i/>
            <w:color w:val="0077CC"/>
            <w:sz w:val="20"/>
            <w:u w:val="single"/>
            <w:shd w:val="clear" w:color="auto" w:fill="FFFFFF"/>
            <w:lang w:val="en-US" w:eastAsia="en-US" w:bidi="ar-SA"/>
          </w:rPr>
          <w:t>R.S.B.C. 1996, c. 373, ss. 1</w:t>
        </w:r>
      </w:hyperlink>
      <w:r>
        <w:rPr>
          <w:rFonts w:ascii="arial" w:eastAsia="arial" w:hAnsi="arial" w:cs="arial"/>
          <w:color w:val="000000"/>
          <w:sz w:val="20"/>
          <w:lang w:val="en-US" w:eastAsia="en-US" w:bidi="ar-SA"/>
        </w:rPr>
        <w:t>(1), 1(2), 2(2), 2(2)(b).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hyperlink r:id="rId34" w:history="1">
        <w:r>
          <w:rPr>
            <w:rFonts w:ascii="arial" w:eastAsia="arial" w:hAnsi="arial" w:cs="arial"/>
            <w:i/>
            <w:color w:val="0077CC"/>
            <w:sz w:val="20"/>
            <w:u w:val="single"/>
            <w:shd w:val="clear" w:color="auto" w:fill="FFFFFF"/>
            <w:lang w:val="en-US" w:eastAsia="en-US" w:bidi="ar-SA"/>
          </w:rPr>
          <w:t>R.S.C. 1985, c. P-21 s. 74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 w:name="Counsel_0"/>
      <w:bookmarkEnd w:id="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Eric Young and Marlene Young: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Manning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 w:name="Judgment_0"/>
      <w:bookmarkEnd w:id="11"/>
      <w:r>
        <w:pict>
          <v:line id="_x0000_s1032" style="position:absolute;z-index:2518118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 w:name="VICKERS J."/>
            <w:bookmarkEnd w:id="12"/>
            <w:r>
              <w:rPr>
                <w:rFonts w:ascii="arial" w:eastAsia="arial" w:hAnsi="arial" w:cs="arial"/>
                <w:b/>
                <w:color w:val="000000"/>
                <w:sz w:val="30"/>
                <w:lang w:val="en-US" w:eastAsia="en-US" w:bidi="ar-SA"/>
              </w:rPr>
              <w:t>VICKERS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motion that the writ of summons and statement of claim be struck for failure to disclose a reasonable cause of action pursuant to Rule 19(24) and on the grounds that they are an abuse of the Court's process or, in the alternative, for an order that: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 of Canada be substituted as defendant for Her Majesty the Queen in Right of Canada;</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Anne McLellan be struck as a party to this action;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be required to provide further particulars of any alleged misrepresentations;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be required to provide further particulars of specifically which allegedly defamatory statements made by the defendants are false;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be given an extension of time of 30 days to file and serve their Statements of Defence after the date of the resulting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convenient to set out in full, the plaintiffs' statement of claim,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husband and wife and reside at 3945 Morgan St. Victoria, BC, V8X 1Z8.</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becoming ill Plaintiff Eric Young was an assistant professor in Computer Engineering and Plaintiff Marlene Young was a visual artist.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Eric Young was diagnosed with multiple sclerosis in February 1996 after experiencing left side paralysis.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Eric Young experiences many of the horrible, often invisible, symptoms of this life threatening chronic progressive incurable brain disease, including but not limited to, weakness, fatigue, lack of concentration, anorexia, vision loss, balance problems, spasticity, pain, seizures.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Eric Young successfully controls his symptoms and the progression of multiple sclerosis using cannabis sativa, without side effects, replacing a cocktail of far less effective toxic pharmaceutical drugs.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15, 1999, Plaintiff Eric Young's general practitioner prescribed cannabis to treat his multiple sclerosis.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 Anne McLellan was educated as a lawyer and served as the Minister of Health from January 2002 to December 2003, and the Minister of Justice and Attorney General of Canada from June 1997 to January 2002.</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in Right of Canada (the Crown) is responsible for the conduct of officers, employees, and agents of Health Canada which includes the Office of the Director General of the Drug Strategy and Controlled Substances Programme and the Office of Cannabis Medical Access.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Health Canada's "mission and vision"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"Health Canada is the federal department responsible for helping the people of Canada maintain and improve their health.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Health Canada strives to improve the health of all Canada's people, while respecting individual choices and circumstances, and therefore seeks to put Canada among the countries with the healthiest people in the world."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context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September 1, 1999, Plaintiff Eric Young applied for a personal use exemption pursuant to s. 56 of the Controlled Drugs and Substances Act, </w:t>
      </w:r>
      <w:hyperlink r:id="rId35" w:history="1">
        <w:r>
          <w:rPr>
            <w:rFonts w:ascii="arial" w:eastAsia="arial" w:hAnsi="arial" w:cs="arial"/>
            <w:i/>
            <w:color w:val="0077CC"/>
            <w:sz w:val="20"/>
            <w:u w:val="single"/>
            <w:shd w:val="clear" w:color="auto" w:fill="FFFFFF"/>
            <w:lang w:val="en-US" w:eastAsia="en-US" w:bidi="ar-SA"/>
          </w:rPr>
          <w:t>S.C. 1996, c. 19</w:t>
        </w:r>
      </w:hyperlink>
      <w:r>
        <w:rPr>
          <w:rFonts w:ascii="arial" w:eastAsia="arial" w:hAnsi="arial" w:cs="arial"/>
          <w:color w:val="000000"/>
          <w:sz w:val="20"/>
          <w:lang w:val="en-US" w:eastAsia="en-US" w:bidi="ar-SA"/>
        </w:rPr>
        <w:t>, (CDSA), to possess and cultivate cannabis for medical purpose.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 56 personal use exemption requires the support of a general practitioner.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10, 2000, Plaintiff Eric Young was exempted from the CDSA to possess and cultivate cannabis for his medical purpose.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12, 2001, Plaintiff Marlene Young was exempted from the CDSA to possess and cultivate cannabis for her husband's medical purpose.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fiduciary relationships between each Defendant and the Plaintiffs because of the elements of power, discretion, and influence on the part of the Defendants, the fiduciary, and reliance, vulnerability, trust, and confidence on the part of the Plaintiffs, the beneficiary.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 56 personal use exemption is valid for a specified period of time, with six months renewals and most recently annual renewals.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expiry of a personal use exemption, the patient is required to reapply, by resubmitting information, to maintain access to his/her medicine.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56 of the CDSA gives sole discretion to the Minister of Health to grant exemptions from the CDSA.</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July 31, 2000, the Ontario Court of Appeal held in R. v. Parker, </w:t>
      </w:r>
      <w:hyperlink r:id="rId36" w:history="1">
        <w:r>
          <w:rPr>
            <w:rFonts w:ascii="arial" w:eastAsia="arial" w:hAnsi="arial" w:cs="arial"/>
            <w:i/>
            <w:color w:val="0077CC"/>
            <w:sz w:val="20"/>
            <w:u w:val="single"/>
            <w:shd w:val="clear" w:color="auto" w:fill="FFFFFF"/>
            <w:lang w:val="en-US" w:eastAsia="en-US" w:bidi="ar-SA"/>
          </w:rPr>
          <w:t>146 C.C.C. (3d) 193</w:t>
        </w:r>
      </w:hyperlink>
      <w:r>
        <w:rPr>
          <w:rFonts w:ascii="arial" w:eastAsia="arial" w:hAnsi="arial" w:cs="arial"/>
          <w:color w:val="000000"/>
          <w:sz w:val="20"/>
          <w:lang w:val="en-US" w:eastAsia="en-US" w:bidi="ar-SA"/>
        </w:rPr>
        <w:t>, that provisions of the CDSA were unconstitutional, due to the unfettered discretion given to the Health Minister by s. 56 with respect to personal use exemptions for medicinal cannabis, and suspended the invalidity for one year.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July 30, 2001, the Marihuana Medical Access Regulations, </w:t>
      </w:r>
      <w:hyperlink r:id="rId32" w:history="1">
        <w:r>
          <w:rPr>
            <w:rFonts w:ascii="arial" w:eastAsia="arial" w:hAnsi="arial" w:cs="arial"/>
            <w:i/>
            <w:color w:val="0077CC"/>
            <w:sz w:val="20"/>
            <w:u w:val="single"/>
            <w:shd w:val="clear" w:color="auto" w:fill="FFFFFF"/>
            <w:lang w:val="en-US" w:eastAsia="en-US" w:bidi="ar-SA"/>
          </w:rPr>
          <w:t>SOR 2001-227</w:t>
        </w:r>
      </w:hyperlink>
      <w:r>
        <w:rPr>
          <w:rFonts w:ascii="arial" w:eastAsia="arial" w:hAnsi="arial" w:cs="arial"/>
          <w:color w:val="000000"/>
          <w:sz w:val="20"/>
          <w:lang w:val="en-US" w:eastAsia="en-US" w:bidi="ar-SA"/>
        </w:rPr>
        <w:t>, (MMAR), came into force legitimizing the use of cannabis for medicinal purposes.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MMAR allowed for a six month extension of a valid s. 56 personal use exemption after which time the patient must qualify under a new stricter rule which requires a specialist, not a general practitioner as for a s. 56 personal use exemption, to sign the application form for a category two patient like Plaintiff Eric Young.</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numerous attempts and the support of his general practitioner, Plaintiff Eric Young, like others, has been unable to find a specialist that will sign the form required to qualify for the MMAR.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24, 2002, Plaintiff Eric Young launched a challenge, yet to be answered, questioning the constitutionality of the MMAR, S.C.B.C. Victoria Registry no. 02 3057.</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7, 2003, the Court of Appeal for Ontario held that the MMAR were not constitutional and struck them down in part.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granting of a s. 56 exemption remains at the sole discretion of the Minister of Health.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conduct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renewals of the Plaintiffs' exemptions have been issued either on, close to, or after the expiry date.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initial exemption of Plaintiff Marlene Young and the Plaintiffs' renewals have often contained material errors, e.g. incorrect name or dosage.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19, 2002, after being unable to reach the Office of Cannabis Medical Access (OCMA), the Plaintiffs called the Office of the Director General of the Drug Strategy and Controlled Substances Programme, Dr. Gomber, as their exemptions were expiring March 11, 2002, and Plaintiff Eric Young could not find a specialist to sign the required form.</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Eric Young spoke with Roxanne Vezina, employee of Dr. Gomber's office, inquiring about the procedure to follow for a holder of a s. 56 personal use exemption if they cannot find a specialist.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Afterwards Ms. Vezina spoke with Carol Langlois, an employee of Health Canada, and wrote him an email containing false and defamatory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359"/>
        <w:gridCol w:w="66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Phone message-Eric Young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Eric Young called to speak to the EA of the DG - Jody Gomber on February 19th, 2002 at around 11 AM.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Cindy was not at her desk therefore I answered her phone. A gentleman mentioned that he would like the DG to make it so that his wife and himself are exempt for life under Section 45. OR if not for just a year.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is infuriated that no doctors will sign his application under MMAR and that we are asking him to re-apply.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phone call became derogatory (profanity) towards Cheryle Anderson who he claims has been rude and of no use. He mentioned repeadedly [sic] that Health Canada only deserves to see him die and that he would fly down to Parliament Hill or Ottawa and starve himself to die. He was very rude and aggitated [sic]. After 1 1/2 hour of constant complaining he said the only way to make Health Canada stand up and take notice is to bomb OCMA and all of HC. I mentioned this to Carol Langlois who will discuss it with all concerning [sic] parties. At this point Mr. Young will only speak to Cindy Cripps-Prawak to get a solution. He would like her to call him back "this (profanity) year".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Hope this summary is helpful, please call on me if you have any questions.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Roxane J. Vézina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946-1470"</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this email, Ray Sabourin, of the Safety, Emergency and Security Management Division with Health Canada, called the RCMP and the Saanich Police and later sent a fax to the Saanich Police at 17:49 pm (EST) alleging that Plaintiff Eric Young made a bomb threat.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Mr. Sabourin disclosed private medical information to the RCMP and the Saanich Police, without consent, about Plaintiff Eric Young's exemption, said information being irrelevant to the alleged purpose of the call.</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24, 2002, Lloyd Duhaime, counsel for the Plaintiffs at the time, wrote to Defendant Anne McLellan requesting an apology but Defendant Anne McLellan ignored the request or refused to apologize and retract the accusation.</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many occasions Defendant Anne McLellan spoke negatively about cannabis as medicine, including but not limited to, on August 19, 2002, when Defendant Anne McLellan answered a question while giving a speech at the annual meeting of the Canadian Medical Association and misrepresented the medicinal use of cannabis.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27, 2002, the Plaintiffs were told by Valerie Lasher, Acting Director of the OCMA, that Defendant Anne McLellan denied to extend their exemptions, which were due to expire on September 11, 2002, after, at the request of Glen Rosenfeld, Health Canada counsel, Plaintiff Eric Young wrote to Defendant Anne McLellan, the Health Minister, and to the Deputy Health Minister's Office, providing documentation of support from his general practitioner.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Eric Young initiated a motion in the Supreme Court of British Columbia, within his constitutional challenge, S.C.B.C. Victoria Registry no. 02 3057, seeking interim constitutional exemptions.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5, 2002, exemptions were issued to the Plaintiffs a day before the motion seeking interim constitutional exemptions was to be heard.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21, 2003, after the OCMA refused to confirm that the Plaintiffs' exemptions would be extended, the Plaintiffs initiated another interim application to maintain their exemptions which were due to expire on September 11, 2003.</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28, 2003, Defendant Anne McLellan "renewed" the Plaintiffs' exemption and, without giving notice, withdrew Plaintiff Eric Young's exemption for cultivating thereby exposing him to criminal prosecution by forcing him to live without protection.</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Later that day, after the Plaintiffs refused to adjourn the motion, Defendant Anne McLellan restored Plaintiff Eric Young's exemption for cultivating.</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before September 5, 2003, employees of Health Canada electronically reproduced photographs of the Plaintiffs against the Plaintiffs' request that the photographs not be reproduced.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only managed to maintain their exemptions through legal actions.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 Anne McLellan acted outside her jurisdiction when she denied in whole or in part to extend the Plaintiff's exemptions.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 Anne McLellan deliberately denied to extend in whole or in part the Plaintiffs' exemptions.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 Anne McLellan was aware that she was acting outside her jurisdiction and that this was likely to harm Plaintiff Eric Young by withdrawing his successful palliative care and the ensuing emotional stress and mental anxiety to the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Causes of action</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19, 2002, Ms. Vezina and Mr. Sabourin, employees of Health Canada, made oral and written defamatory statements about Plaintiff Eric Young to other Health Canada employees, the RCMP, and the Saanich Police.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19, 2002, Mr. Sabourin invaded the Plaintiffs' privacy rights when he disclosed, without consent, medical information irrelevant to the alleged purpose of the call to the RCMP and the Saanich Police.</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 Anne McLellan committed misfeasance of office, on many occasions, when she, with the intent to harm the Plaintiffs, intentionally committed an illegal act, that is the refusal to extend in whole or in part the Plaintiffs' exemptions.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employees of Health Canada and Defendant Anne McLellan at the time when the Plaintiffs' exemptions were up for renewal was intended to harm the Plaintiff by inflicting nervous shock.</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employees of Health Canada and Defendant Anne McLellan at the time when the Plaintiffs' exemptions were up for renewal was in breach of their fiduciary duty.</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 Anne McLellan breached her fiduciary duty by misrepresenting the medicinal use of cannabis.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Defendant Anne McLellan and employees of Health Canada over a period of more than 4 years, as set out above, has caused severe emotional stress and mental anxiety to both Plaintiffs resulting in bouts of depression to the point of suicidal thoughts.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incurred financial losses to maintain their exemptions through legal actions.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the written and oral defamatory statements of Mr. Sabourin, the RCMP and the Saanich Police Department databases contain false information about Plaintiff Eric Young with respect to February 19, 2002.</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suffered loss of dignity and a complete loss of trust in government.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as follows: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compensatory damages against both Defendants for severe psychological harm from their conduct, as set out above:</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$10,000 for pain and suffering;</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$20,000 for emotional stress and mental anxiety;</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$40,000 for loss of enjoyment of life; and general damages;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aggravated and punitive damages against the Crown:</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$10,000 for invasion of privacy;</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$5,000,000 for defamation; and</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$10,000,000 for breach of fiduciary duty;</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and punitive damages against Defendant Anne McLellan:</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$500,000 for misfeasance of office; and</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$1,000,000 for breach of fiduciary duty;</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Place of the trial: Victoria Courthouse, 850 Burdett, Victoria,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for the defendants sought particulars on February 5, 2004, as follows:</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29</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allegation in paragraph 29 of the Statement of Claim that the email contained "false and defamatory statements", please provide particulars to identify which statements are alleged to be false and defamatory.</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33</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allegation in paragraph 33 of the Statement of Claim that the Defendant Anne McLellan "misrepresented the medicinal use of cannabis", please provide particulars to identify:</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representation was made;</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whom the representation was made;</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representation was made;</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particulars of the precise nature and extent of the untruth.</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also provide the same particulars in respect of each of the "many occasions" that you allege misrepresentations were made by the Defendant Anne McLellan in paragraph 33;</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also provide particulars with respect to the specific representation or representations relied upon by each Plaintiff including:</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Plaintiff relied on which representation or representations by the Defendant Anne McLellan;</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each Plaintiff relied on that, or those, representations;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in which each Plaintiff relied on that, or those, representations;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impact on each Plaintiff as a result of relying on each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response, the defendants declined to provide particulars and said that all statements in the allegedly defamatory email pleaded in paragraph 29 of the statement of claim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June 25, 2002 the plaintiff Eric Young filed a petition seeking a declaration that the petitioner's rights as set out in s. 7, 12 or 15 of the Canadian Charter of Rights and Freedoms have been infringed. On May 15, 2003 an amended petition was filed. This amended document added Marlene Young as a petitioner. In addition to the relief sought in the original petition, the petitions sought an order that Cannabis Sativa and its derivatives be removed from the Controlled Drugs and Substances Act (CDSA), or in the alternative, the Marihuana Medical Access Regulations (MMAR) be struck down, or in the alternative, that the petitioners be granted constitutional exemptions. The petitioners also seek a mandatory injunction that Health Canada undertake a public education campaign with complete and accurate information about Cannabis Sativa as medicine. The petitioners also seek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Many of the matters pleaded in the amended petition are found in the statement of claim. The petition sets out in paragraph 57 and 58 that the respondent Canada made a false allegation of a bomb threat and without the consent of the petitioner, disclosed private medical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petitioners now advise that they intend to discontinue the petition proceedings and to amend the statement of claim in this action to raise the constitutional issues. The reason for not filing a notice of discontinuance was because they are about to apply for another annual extension of their personal exemption to possess and cultivate cannabis for medical purposes. While I am unable to understand the explanation, they are of the view that discontinuance of the petition proceedings would, in some way, imperil their application to grant the exemption for another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 similar situation, involving a duplication of proceedings arose in Great Pacific Contracting Ltd. v. Harwyn Properties Ltd. </w:t>
      </w:r>
      <w:hyperlink r:id="rId37" w:history="1">
        <w:r>
          <w:rPr>
            <w:rFonts w:ascii="arial" w:eastAsia="arial" w:hAnsi="arial" w:cs="arial"/>
            <w:i/>
            <w:color w:val="0077CC"/>
            <w:sz w:val="20"/>
            <w:u w:val="single"/>
            <w:shd w:val="clear" w:color="auto" w:fill="FFFFFF"/>
            <w:lang w:val="en-US" w:eastAsia="en-US" w:bidi="ar-SA"/>
          </w:rPr>
          <w:t>(1981), 29 B.C.L.R. 145</w:t>
        </w:r>
      </w:hyperlink>
      <w:r>
        <w:rPr>
          <w:rFonts w:ascii="arial" w:eastAsia="arial" w:hAnsi="arial" w:cs="arial"/>
          <w:color w:val="000000"/>
          <w:sz w:val="20"/>
          <w:lang w:val="en-US" w:eastAsia="en-US" w:bidi="ar-SA"/>
        </w:rPr>
        <w:t xml:space="preserve"> (S.C.). Spencer L.J.S.C.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10 The same relief already having been sought in an extant proceeding, it was in my opinion vexatious and an abuse of the process of the Court to seek that relief by a separate action. See Paterson v. Jaikumar (1979), 10 B.C.L.R. P-48 and Earl Poulett v. Viscount Hill, [1893] 1 Ch. 277. Those cases go so far as saying that where the same relief can be obtained in the first action the plaintiffs are not entitled to bring a second action for it while the first is still pending. They appear to extend to cases where the same relief has not actually been claimed but can be claimed. As I have pointed out in the case at Bar the same relief actually is claimed.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12 I am satisfied that this is a clear case where the same relief is sought in two separate proceedings. Accordingly the last of the two, that is the writ and statement of claim must be struck out. An order will go accordingly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are unrepresented and while the rules cannot be changed for them, it is a factor I have borne in mind in this matter. I am not prepared to strike out the writ of summons in this action at this time. I am, however, going to make an order that these proceedings be stayed until such time as the claim for damages in the petition proceedings remains alive. When the claim for damages is withdrawn or the petition discontinued these proceedings may continue, subject to the decision that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Not without difficulty, I have concluded that the statement of claim attempts to plead the following causes of action.</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 paragraphs 14, 49 and 50;</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 paragraphs 29, 32, 45 and 53;</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Invasion of privacy: paragraph 46;</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public office: paragraphs 42, 43, 44 and 47;</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Infliction of nervous shock: paragraph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do not see a claim for misrepresentation in the statement of claim. The plaintiffs make reference to misrepresentations by Minister McLellan concerning the medical use of cannabis, but this is more in the nature of pleading evidence. There is no plea to the effect that they relied on the representations of the Minister to their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parties to an action must frame their pleadings with certainty and clarity: Yewdale v. Insurance Corp. of B.C. et al., </w:t>
      </w:r>
      <w:hyperlink r:id="rId38" w:history="1">
        <w:r>
          <w:rPr>
            <w:rFonts w:ascii="arial" w:eastAsia="arial" w:hAnsi="arial" w:cs="arial"/>
            <w:i/>
            <w:color w:val="0077CC"/>
            <w:sz w:val="20"/>
            <w:u w:val="single"/>
            <w:shd w:val="clear" w:color="auto" w:fill="FFFFFF"/>
            <w:lang w:val="en-US" w:eastAsia="en-US" w:bidi="ar-SA"/>
          </w:rPr>
          <w:t>[1994] B.C.J. No. 1892</w:t>
        </w:r>
      </w:hyperlink>
      <w:r>
        <w:rPr>
          <w:rFonts w:ascii="arial" w:eastAsia="arial" w:hAnsi="arial" w:cs="arial"/>
          <w:color w:val="000000"/>
          <w:sz w:val="20"/>
          <w:lang w:val="en-US" w:eastAsia="en-US" w:bidi="ar-SA"/>
        </w:rPr>
        <w:t xml:space="preserve"> (S.C.); Homalco Indian Band v. British Columbia </w:t>
      </w:r>
      <w:hyperlink r:id="rId39"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 On a motion to strike the pleading, pursuant to Rule 19(24) the test is whether or not it is plain and obvious that the action is bound to fail: Hunt v. Carey,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If there are any doubts they should be resolved in allowing the pleading to stand: Citizens for Foreign Aid Reform Inc. v. Canadian Jewish Congress </w:t>
      </w:r>
      <w:hyperlink r:id="rId40"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Guerin v. Canada, </w:t>
      </w:r>
      <w:hyperlink r:id="rId41"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Dickson J. said at page 385: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fiduciary duties generally arise only with regard to obligations originating in a private law context. Public law duties, the performance of which requires the exercise of discretion, do not typically give rise to a fiduciary relationship. As the "political trust" cases indicate, the Crown is not normally viewed as a fiduciary in the exercise of its legislative or administrative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exemption provision in s. 56 of the Controlled Drug and Substances Act, </w:t>
      </w:r>
      <w:hyperlink r:id="rId35" w:history="1">
        <w:r>
          <w:rPr>
            <w:rFonts w:ascii="arial" w:eastAsia="arial" w:hAnsi="arial" w:cs="arial"/>
            <w:i/>
            <w:color w:val="0077CC"/>
            <w:sz w:val="20"/>
            <w:u w:val="single"/>
            <w:shd w:val="clear" w:color="auto" w:fill="FFFFFF"/>
            <w:lang w:val="en-US" w:eastAsia="en-US" w:bidi="ar-SA"/>
          </w:rPr>
          <w:t>S.C. 1996 c. 19</w:t>
        </w:r>
      </w:hyperlink>
      <w:r>
        <w:rPr>
          <w:rFonts w:ascii="arial" w:eastAsia="arial" w:hAnsi="arial" w:cs="arial"/>
          <w:color w:val="000000"/>
          <w:sz w:val="20"/>
          <w:lang w:val="en-US" w:eastAsia="en-US" w:bidi="ar-SA"/>
        </w:rPr>
        <w: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Minister may, on such terms and conditions as the Minister deems necessary, exempt any person or class of persons or any controlled substance or precursor or any class thereof from the application of all or any of the provisions of this Act or the regulations if, in the opinion of the Minister, the exemption is necessary for a medical or scientific purpose or is otherwise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conclude that this section requires the Minister to exercise an administrative function, in the public interest. It does not give rise to a fiduciary obligation to those persons in receipt of a s. 56 exemption.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Rogers v. Faught </w:t>
      </w:r>
      <w:hyperlink r:id="rId42" w:history="1">
        <w:r>
          <w:rPr>
            <w:rFonts w:ascii="arial" w:eastAsia="arial" w:hAnsi="arial" w:cs="arial"/>
            <w:i/>
            <w:color w:val="0077CC"/>
            <w:sz w:val="20"/>
            <w:u w:val="single"/>
            <w:shd w:val="clear" w:color="auto" w:fill="FFFFFF"/>
            <w:lang w:val="en-US" w:eastAsia="en-US" w:bidi="ar-SA"/>
          </w:rPr>
          <w:t>(2001), 5 C.C.L.T. (3d) 109</w:t>
        </w:r>
      </w:hyperlink>
      <w:r>
        <w:rPr>
          <w:rFonts w:ascii="arial" w:eastAsia="arial" w:hAnsi="arial" w:cs="arial"/>
          <w:color w:val="000000"/>
          <w:sz w:val="20"/>
          <w:lang w:val="en-US" w:eastAsia="en-US" w:bidi="ar-SA"/>
        </w:rPr>
        <w:t xml:space="preserve"> (Ont. Sup. Ct.), Cameron J. said at para.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Fiduciary duties generally arise only with regard to obligations originating in a private law context. Public law duties, the performance of which requires the exercise of discretion, do not typically give rise to a fiduciary relationship: Guerin v. Canada </w:t>
      </w:r>
      <w:hyperlink r:id="rId41" w:history="1">
        <w:r>
          <w:rPr>
            <w:rFonts w:ascii="arial" w:eastAsia="arial" w:hAnsi="arial" w:cs="arial"/>
            <w:i/>
            <w:color w:val="0077CC"/>
            <w:sz w:val="20"/>
            <w:u w:val="single"/>
            <w:shd w:val="clear" w:color="auto" w:fill="FFFFFF"/>
            <w:lang w:val="en-US" w:eastAsia="en-US" w:bidi="ar-SA"/>
          </w:rPr>
          <w:t>(1984), 13 D.L.R. (4th) 321</w:t>
        </w:r>
      </w:hyperlink>
      <w:r>
        <w:rPr>
          <w:rFonts w:ascii="arial" w:eastAsia="arial" w:hAnsi="arial" w:cs="arial"/>
          <w:color w:val="000000"/>
          <w:sz w:val="20"/>
          <w:lang w:val="en-US" w:eastAsia="en-US" w:bidi="ar-SA"/>
        </w:rPr>
        <w:t xml:space="preserve"> (S.C.C.) at p. 342; Farm Credit Corp. v. Pipe </w:t>
      </w:r>
      <w:hyperlink r:id="rId43" w:history="1">
        <w:r>
          <w:rPr>
            <w:rFonts w:ascii="arial" w:eastAsia="arial" w:hAnsi="arial" w:cs="arial"/>
            <w:i/>
            <w:color w:val="0077CC"/>
            <w:sz w:val="20"/>
            <w:u w:val="single"/>
            <w:shd w:val="clear" w:color="auto" w:fill="FFFFFF"/>
            <w:lang w:val="en-US" w:eastAsia="en-US" w:bidi="ar-SA"/>
          </w:rPr>
          <w:t>(1993), 16 O.R. (3d) 49</w:t>
        </w:r>
      </w:hyperlink>
      <w:r>
        <w:rPr>
          <w:rFonts w:ascii="arial" w:eastAsia="arial" w:hAnsi="arial" w:cs="arial"/>
          <w:color w:val="000000"/>
          <w:sz w:val="20"/>
          <w:lang w:val="en-US" w:eastAsia="en-US" w:bidi="ar-SA"/>
        </w:rPr>
        <w:t xml:space="preserve"> (C.A.) at p. 60-61. The obligations owed by the Colleges to the public and their members are inconsistent with a fiduciary relationship or obligation to a patient or client of a member because the interests of the public, a member and a member of the public are bound to conflict. The primary obligation is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in the course of argument, alleged malice in the actions of McLellan. Malice is not pleaded. Even if it was it would not change the fact that no fiduciary duty arises in the administration of the duties imposed by s.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For these reasons the plea of breach of fiduciary duty cannot succeed. Accordingly paragraphs 14, 49 and 50 of the statement of claim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Paragraph 29 reproduces an email transmission that the plaintiffs allege is defamatory. They have declined to provide particulars and have said the entire transmission is false. Mr. Young conceded in the course of argument that the entire transmission is not false. I decline to strike this plea of defamation. There will be an order that the defendants provide particulars as demanded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have pleaded invasion of privacy arising out of the transmission of certain medical information to the Saanich police following an alleged bomb threat by the plaintiff, Eric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relevant provisions of the Privacy Act,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xml:space="preserve"> read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 a tort, actionable without proof of damage, for a person, wilfully and without a claim of right, to violate the privacy of another.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degree of privacy to which a person is entitled in a situation or in relation to a matter is that which is reasonable in the circumstances, giving due regard to the lawful interests of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act or conduct is not a violation of privacy if any of the following applies: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or conduct was incidental to the exercise of a lawful right of defence of person or property;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Section 74 of the Privacy Act, </w:t>
      </w:r>
      <w:hyperlink r:id="rId44" w:history="1">
        <w:r>
          <w:rPr>
            <w:rFonts w:ascii="arial" w:eastAsia="arial" w:hAnsi="arial" w:cs="arial"/>
            <w:i/>
            <w:color w:val="0077CC"/>
            <w:sz w:val="20"/>
            <w:u w:val="single"/>
            <w:shd w:val="clear" w:color="auto" w:fill="FFFFFF"/>
            <w:lang w:val="en-US" w:eastAsia="en-US" w:bidi="ar-SA"/>
          </w:rPr>
          <w:t>R.S.C. 1985, c. P-21</w:t>
        </w:r>
      </w:hyperlink>
      <w:r>
        <w:rPr>
          <w:rFonts w:ascii="arial" w:eastAsia="arial" w:hAnsi="arial" w:cs="arial"/>
          <w:color w:val="000000"/>
          <w:sz w:val="20"/>
          <w:lang w:val="en-US" w:eastAsia="en-US" w:bidi="ar-SA"/>
        </w:rPr>
        <w: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Notwithstanding any other Act of Parliament, no civil or criminal proceedings lie against the head of any government institution, or against any person acting on behalf or under the direction of the head of a government institution, and no proceedings lie against the Crown or any government institution, for the disclosure in good faith of any personal information pursuant to this Act, for any consequences that flow from that disclosure, or for the failure to give any notice required under this Act if reasonable care is taken to give the required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pleading of invasion of privacy is not properly framed because it fails to allege that the violation was "wilfully and without a claim of right." The pleading will have to be amended to make this allegation and state clearly the material facts relied upon by the plaintiffs to support this plea. The defendants are entitled to know the private information that was allegedly transmitted to the police. S. 2(2) of the British Columbia legislation raises a defence to be pleaded in the statement of defence. As well s. 74 of the federal Privacy Act is a defence based on a good faith transmission of information. I am not prepared at this stage to strike this pleading, preferring to give the plaintiffs the opportunity to make a proper pleading and provide sufficient particularity in that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Powder Mountain Resorts Ltd. v. British Columbia, </w:t>
      </w:r>
      <w:hyperlink r:id="rId45" w:history="1">
        <w:r>
          <w:rPr>
            <w:rFonts w:ascii="arial" w:eastAsia="arial" w:hAnsi="arial" w:cs="arial"/>
            <w:i/>
            <w:color w:val="0077CC"/>
            <w:sz w:val="20"/>
            <w:u w:val="single"/>
            <w:shd w:val="clear" w:color="auto" w:fill="FFFFFF"/>
            <w:lang w:val="en-US" w:eastAsia="en-US" w:bidi="ar-SA"/>
          </w:rPr>
          <w:t>[2001] B.C.J. No. 2172</w:t>
        </w:r>
      </w:hyperlink>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Newbury J.A. said for the majority at paragraph 7 and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Absent some ruling to the contrary by Supreme Court of Canada, it may, I think, now be accepted that the tort of abuse of public office will be made out in Canada where a public official is shown either to have exercised power for the specific purpose of injuring the plaintiff (i.e., to have acted in "bad faith in the sense of the exercise of public power for an improper or ulterior motive") or to have acted "unlawfully with a mind of reckless indifference to the illegality of his act" and to the probability of injury to the plaintiff. (See Lord Steyn in Three Rivers, [2000] 3 All E.R. 1, at 8.) Thus there remains what in theory at least is a clear line between this tort on the one hand, and what on the other hand may be called negligent excess of power - i.e., an act committed without knowledge of (or subjective recklessness as to) its unlawfulness and the probable consequences for the plaintiff. The actionability of such conduct, based on "recklessness . . . used in an objective sense" was rejected by their Lordships in Three Rivers (see Lord Steyn at 9-10; Lord Hutton at 37-39; Lord Hobhouse at 44; and Lord Millett at 49), and has been rejected as well by the High Court of Australia (see Northern Territory of Australia v. Mengel (1995) 185 C.L.R. 307), and the Court of Appeal of New Zealand (see Garrett v. Attorney General [1997] 2 N.Z.L.R. 332). Perhaps the opinion of Lord Millett in Three Rivers sums up most succinctly the elements of the two branches of the tort: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If the plaintiff can establish the official's subjective intention to exercise the power of his office in order to cause him injury, he does not need to establish that the official exceeded the terms of the powers conferred upon him. If, on the other hand, the plaintiff can establish that the official appreciated that he was acting in excess of the powers conferred upon him and that his conduct would cause injury to the plaintiff, the inference that he acted dishonestly or for an improper purpose will be exceedingly difficult and usually impossible to rebut. Moreover . . ., the consequences of his actions will usually be obvious enough to the official concerned, who can then be taken to have intended the damage he caused. I also agree . . . that intention includes subjective recklessness, that is to say . . . 'a conscious disregard for the interests of those who will be affected by' the exercise of the power. [at 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abuse of public office remains an intentional tort requiring proof of bad faith, it will in the minds of most observers carry the 'stench of dishonesty'. This court has suggested that where bad faith on the part of a public official is alleged, clear proof commensurate with the seriousness of the wrong should be provided: see MacMillan Bloedel Ltd. v. Galiano Island Trust Committee </w:t>
      </w:r>
      <w:hyperlink r:id="rId46" w:history="1">
        <w:r>
          <w:rPr>
            <w:rFonts w:ascii="arial" w:eastAsia="arial" w:hAnsi="arial" w:cs="arial"/>
            <w:i/>
            <w:color w:val="0077CC"/>
            <w:sz w:val="20"/>
            <w:u w:val="single"/>
            <w:shd w:val="clear" w:color="auto" w:fill="FFFFFF"/>
            <w:lang w:val="en-US" w:eastAsia="en-US" w:bidi="ar-SA"/>
          </w:rPr>
          <w:t>(1995) 10 B.C.L.R. (3d) 121</w:t>
        </w:r>
      </w:hyperlink>
      <w:r>
        <w:rPr>
          <w:rFonts w:ascii="arial" w:eastAsia="arial" w:hAnsi="arial" w:cs="arial"/>
          <w:color w:val="000000"/>
          <w:sz w:val="20"/>
          <w:lang w:val="en-US" w:eastAsia="en-US" w:bidi="ar-SA"/>
        </w:rPr>
        <w:t xml:space="preserve"> per Finch J.A. (as he then was) at 181-2. (Lve. to app. to S.C.C. dism'd., </w:t>
      </w:r>
      <w:hyperlink r:id="rId47" w:history="1">
        <w:r>
          <w:rPr>
            <w:rFonts w:ascii="arial" w:eastAsia="arial" w:hAnsi="arial" w:cs="arial"/>
            <w:i/>
            <w:color w:val="0077CC"/>
            <w:sz w:val="20"/>
            <w:u w:val="single"/>
            <w:shd w:val="clear" w:color="auto" w:fill="FFFFFF"/>
            <w:lang w:val="en-US" w:eastAsia="en-US" w:bidi="ar-SA"/>
          </w:rPr>
          <w:t>[1995] S.C.C.A. No. 439</w:t>
        </w:r>
      </w:hyperlink>
      <w:r>
        <w:rPr>
          <w:rFonts w:ascii="arial" w:eastAsia="arial" w:hAnsi="arial" w:cs="arial"/>
          <w:color w:val="000000"/>
          <w:sz w:val="20"/>
          <w:lang w:val="en-US" w:eastAsia="en-US" w:bidi="ar-SA"/>
        </w:rPr>
        <w:t xml:space="preserve">). In First National Properties Ltd. v. McMinn </w:t>
      </w:r>
      <w:hyperlink r:id="rId48" w:history="1">
        <w:r>
          <w:rPr>
            <w:rFonts w:ascii="arial" w:eastAsia="arial" w:hAnsi="arial" w:cs="arial"/>
            <w:i/>
            <w:color w:val="0077CC"/>
            <w:sz w:val="20"/>
            <w:u w:val="single"/>
            <w:shd w:val="clear" w:color="auto" w:fill="FFFFFF"/>
            <w:lang w:val="en-US" w:eastAsia="en-US" w:bidi="ar-SA"/>
          </w:rPr>
          <w:t>(2001) 198 D.L.R. (4th) 443</w:t>
        </w:r>
      </w:hyperlink>
      <w:r>
        <w:rPr>
          <w:rFonts w:ascii="arial" w:eastAsia="arial" w:hAnsi="arial" w:cs="arial"/>
          <w:color w:val="000000"/>
          <w:sz w:val="20"/>
          <w:lang w:val="en-US" w:eastAsia="en-US" w:bidi="ar-SA"/>
        </w:rPr>
        <w:t>, we also stated that courts should be cautious in dealing with the tort because it is an exception to the normal disinterest of the civil law in the motive underlying conduct, as opposed to the conduct itself: see Bradford Corp. v. Pickles [1895] A.C. 587 (H.L.). (The criminal law distinguishes between "motive" and "intention" but that distinction seems inoperative in the present context.) Motive is of course notoriously difficult to discern, and one may act for more than one motive.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Thus this is an intentional tort, requiring proof of bad faith. In paragraph 47 of the statement of claim, the plaintiffs allege that the defendant McLellan "committed misfeasance of office when she, on many occasions, with the intent to harm the plaintiffs, intentionally committed an illegal act, that is the refusal to extend in whole of in part the Plaintiffs' exemptions."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note that a refusal to extend an exemption is not an illegal act but an act contemplated by the discretion implicit in s. 56. It is noteworthy as well to record that at all material times the plaintiffs have been the recipient of s. 56 exemptions and are currently the holders of such an exemption.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 material facts are pleaded to support the plea of abuse of office and accordingly the plea cannot stand. Paragraphs 42, 43, 44 and 47 are struck from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final tort alleged is infliction of nervous shock. As I read the statement of claim and from the arguments made by Eric Young, the plaintiffs seem to be saying they sustained nervous shock on two occasions. The first arose when the police arrived and accused Eric Young, falsely he says, of making a bomb threat. This is tied directly to the defamation plea. The second occasion of nervous shock came with an alleged delay in renewing the s. 56 exemption. In that regard the pleadings seem to say that the extension of the exemption was made about 2 weeks before expiry. As this is a discretionary decision I failed to see what duty was owed the plaintiffs to advise them of their extension any earlier than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Rhodes Estate v. C.N.R. </w:t>
      </w:r>
      <w:hyperlink r:id="rId49" w:history="1">
        <w:r>
          <w:rPr>
            <w:rFonts w:ascii="arial" w:eastAsia="arial" w:hAnsi="arial" w:cs="arial"/>
            <w:i/>
            <w:color w:val="0077CC"/>
            <w:sz w:val="20"/>
            <w:u w:val="single"/>
            <w:shd w:val="clear" w:color="auto" w:fill="FFFFFF"/>
            <w:lang w:val="en-US" w:eastAsia="en-US" w:bidi="ar-SA"/>
          </w:rPr>
          <w:t>(1990), 50 B.C.L.R. (2d) 273</w:t>
        </w:r>
      </w:hyperlink>
      <w:r>
        <w:rPr>
          <w:rFonts w:ascii="arial" w:eastAsia="arial" w:hAnsi="arial" w:cs="arial"/>
          <w:color w:val="000000"/>
          <w:sz w:val="20"/>
          <w:lang w:val="en-US" w:eastAsia="en-US" w:bidi="ar-SA"/>
        </w:rPr>
        <w:t xml:space="preserve"> (C.A.), Taylor J.A. points out that this claim is founded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involves an act where it is foreseeable that it would cause mental anguish or nervous shock. Wallace J.A. at page 291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Nervous shock cases, unaccompanied by physical injury, differ significantly from the traditional case of tortuous conduct inflicting direct physical injury and they necessitate a different approach in fixing liability. The difference arises from the fact that generally the plaintiff's psychiatric injury is alleged to have been caused by observing, experiencing, or being informed of the injury or death to a third party (usually a close relative). In this sense, the injury is the indirect result of a direct physical injury to a third party. When one appreciates that grief, sorrow or reactive depression are not compensable, the problems of determining foreseeability and causation of such psychiatric illness are clearly apparent. Accordingly, to resolve the issues of foreseeability and causation, some factors beyond the psychiatric illness sustained by the plaintiff and the foreseeability of injury must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the pleadings do not disclose any tortious conduct of which it could be said that nervous shock, or a psychological or psychiatric condition was a foreseeable result. There will be an order striking paragraph 48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Ann McLellan is not properly a party in these proceedings. All of her actions were in a representative capacity. There are no allegations in the statement of claim that she did any of the matters alleged in a personal capacity: Cairns v. Farm Credit Corp. </w:t>
      </w:r>
      <w:hyperlink r:id="rId50" w:history="1">
        <w:r>
          <w:rPr>
            <w:rFonts w:ascii="arial" w:eastAsia="arial" w:hAnsi="arial" w:cs="arial"/>
            <w:i/>
            <w:color w:val="0077CC"/>
            <w:sz w:val="20"/>
            <w:u w:val="single"/>
            <w:shd w:val="clear" w:color="auto" w:fill="FFFFFF"/>
            <w:lang w:val="en-US" w:eastAsia="en-US" w:bidi="ar-SA"/>
          </w:rPr>
          <w:t>(1991), 49 F.T.R. 308</w:t>
        </w:r>
      </w:hyperlink>
      <w:r>
        <w:rPr>
          <w:rFonts w:ascii="arial" w:eastAsia="arial" w:hAnsi="arial" w:cs="arial"/>
          <w:color w:val="000000"/>
          <w:sz w:val="20"/>
          <w:lang w:val="en-US" w:eastAsia="en-US" w:bidi="ar-SA"/>
        </w:rPr>
        <w:t xml:space="preserve">; Air India Flight 182 Disaster Claimants v. Air India </w:t>
      </w:r>
      <w:hyperlink r:id="rId51" w:history="1">
        <w:r>
          <w:rPr>
            <w:rFonts w:ascii="arial" w:eastAsia="arial" w:hAnsi="arial" w:cs="arial"/>
            <w:i/>
            <w:color w:val="0077CC"/>
            <w:sz w:val="20"/>
            <w:u w:val="single"/>
            <w:shd w:val="clear" w:color="auto" w:fill="FFFFFF"/>
            <w:lang w:val="en-US" w:eastAsia="en-US" w:bidi="ar-SA"/>
          </w:rPr>
          <w:t>(1987), 44 D.L.R. (4th) 317</w:t>
        </w:r>
      </w:hyperlink>
      <w:r>
        <w:rPr>
          <w:rFonts w:ascii="arial" w:eastAsia="arial" w:hAnsi="arial" w:cs="arial"/>
          <w:color w:val="000000"/>
          <w:sz w:val="20"/>
          <w:lang w:val="en-US" w:eastAsia="en-US" w:bidi="ar-SA"/>
        </w:rPr>
        <w:t xml:space="preserve"> (Ont. H.C). There will be an order striking Anne McLellan as a defendant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Her Majesty the Queen in Right of Canada is not properly named as a defendant. The Crown Liability and Proceedings Act, </w:t>
      </w:r>
      <w:hyperlink r:id="rId30" w:history="1">
        <w:r>
          <w:rPr>
            <w:rFonts w:ascii="arial" w:eastAsia="arial" w:hAnsi="arial" w:cs="arial"/>
            <w:i/>
            <w:color w:val="0077CC"/>
            <w:sz w:val="20"/>
            <w:u w:val="single"/>
            <w:shd w:val="clear" w:color="auto" w:fill="FFFFFF"/>
            <w:lang w:val="en-US" w:eastAsia="en-US" w:bidi="ar-SA"/>
          </w:rPr>
          <w:t>R.S.C. 1985, c. C-50, s. 23</w:t>
        </w:r>
      </w:hyperlink>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against the Crown may be taken in the name of the Attorney General of Canada or, in the case of an agency of the Crown against which proceedings are by an Act of Parliament authorized to be taken in the name of the agency, in the name of that agency.</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proceedings are taken against the Crown, the document originating the proceedings shall be served on the Crown by serving it on the Deputy Attorney General of Canada or the chief executive officer of the agency in whose name the proceedings are taken, as the case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appreciate the use of the word "may" in that provision. In that regard, I agree with the conclusions reached by Sulyma J., in Dix v. Canada, </w:t>
      </w:r>
      <w:hyperlink r:id="rId52" w:history="1">
        <w:r>
          <w:rPr>
            <w:rFonts w:ascii="arial" w:eastAsia="arial" w:hAnsi="arial" w:cs="arial"/>
            <w:i/>
            <w:color w:val="0077CC"/>
            <w:sz w:val="20"/>
            <w:u w:val="single"/>
            <w:shd w:val="clear" w:color="auto" w:fill="FFFFFF"/>
            <w:lang w:val="en-US" w:eastAsia="en-US" w:bidi="ar-SA"/>
          </w:rPr>
          <w:t>[2001] A.J. No. 410</w:t>
        </w:r>
      </w:hyperlink>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2001 ABQB 256</w:t>
        </w:r>
      </w:hyperlink>
      <w:r>
        <w:rPr>
          <w:rFonts w:ascii="arial" w:eastAsia="arial" w:hAnsi="arial" w:cs="arial"/>
          <w:color w:val="000000"/>
          <w:sz w:val="20"/>
          <w:lang w:val="en-US" w:eastAsia="en-US" w:bidi="ar-SA"/>
        </w:rPr>
        <w:t>. There will be an order striking the defendant Her Majesty the Queen in Right of Canada and substituting therefore, The Attorney General of Canada, thus amending the style of cause to read Eric Young and Marlene Young v. The Attorney General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summary, I make the following orders:</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these proceedings be stayed as long as the claim for damages in the petition proceedings remains alive. When the claim for damages is withdrawn or the petition discontinued these proceedings may continue, taking into account the orders that follow;</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14, 49 and 50 of the statement of claim are struck;</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provide particulars of paragraph 29 of the statement of claim as demanded by the defendants;</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 alleging an invasion of privacy will be amended to plead the statutory elements and state clearly the material facts relied upon by the plaintiffs to support this plea;</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42, 43, 44 and 47 are struck from the statement of claim;</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48 of the statement of claim is struck;</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Anne McLellan is struck as a named defendant in these proceedings; and,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 of Canada is substituted as a defendant in the place of Her Majesty the Queen in Right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addition, there will be an order that the defendant have a period of 30 days from receipt of the amended statement of claim and particulars, to file the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is entitled to recover the costs of this motion,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Finally, I want to recommend that this case have the benefit of a case management judge. When the pleadings are closed this request may be made in the usual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VICKERS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Brooks v. Habib, [2019] B.C.J. No. 1579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4-8, 11-14, July 10-11, August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21, 2018;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August 30, September 18,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M147891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1579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1398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Nicholai Brooks, Plaintiff, and Gulalai Habib and Sadeed Habib,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(431 paras.)</w:t>
      </w:r>
    </w:p>
    <w:p>
      <w:pPr>
        <w:jc w:val="both"/>
        <w:rPr>
          <w:rFonts w:ascii="arial" w:eastAsia="arial" w:hAnsi="arial" w:cs="arial"/>
          <w:sz w:val="20"/>
          <w:lang w:val="en-US" w:eastAsia="en-US" w:bidi="ar-SA"/>
        </w:rPr>
      </w:pPr>
      <w:bookmarkStart w:id="13" w:name="Counsel_1"/>
      <w:bookmarkEnd w:id="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C.J. Bow, C. Dowma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K.M. Finnan.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 w:name="Judgment_1"/>
      <w:bookmarkEnd w:id="14"/>
      <w:r>
        <w:pict>
          <v:line id="_x0000_s1035" style="position:absolute;z-index:251711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Background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January - June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Move to California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Neck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 Medical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Experts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Lisa Caillier</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Gayle Goldstein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Robin Rickards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Defendant's Experts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Scott Paquette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Douglas Graeb</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Gabriel Hirsch</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Response Report of Dr. Heran to Dr. Paquette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Adverse Inference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Comments on Credibility and Reliability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Conclusion on Mr. Brooks'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Proposed Amendment to Response to Civil Claim</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 Is the proposed amendment inconsistent with the pleadings already filed or the evidence rendered?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(ii) Would the amendment have changed the whole course of the trial if sought at the outset?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(iii) Would the trial be unfair to the opposite party if the amendment is granted?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(iv) Is the amendment necessary so the Court can determine the real issues before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Framework -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Neck Surgery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Second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Third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Canadian Expenses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U.S. Expenses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Rawlings reimbursement claim</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Additional Premiums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FOREIGN MONEY CLAIMS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 w:name="D.J. DARDI J."/>
            <w:bookmarkEnd w:id="15"/>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Nicholai Brooks, alleges he was injured in a motor vehicle accident on January 5, 2013 (the "First Accident"). The defendants, Gulalai Habib and Sadeed Habib, have admitted liability for the First Accident. At issue is the assessment of Mr. Brooks'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Habib hit the rear end of the motor vehicle in which Mr. Brooks was a passenger. At the time of the collision Mr. Brooks' wife, Holly Vredenburg, was driving and he was sitting in the right front passenger seat. It is uncontroversial that the defendants' vehicle sustained no damage. There was minor damage to Mr. Brooks'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Brooks and his wife moved to California in July 2013. Mr. Brooks was subsequently involved in another rear-end accident on December 5, 2013 (the "Second Accident"). There is pending litigation in California regarding the second accident. Before the Second Accident, Mr. Brooks was scheduled for cervical fusion surgery and underwent that surgery on December 19, 2013 (the "Neck Surgery"). Mr. Brooks was involved in another rear-end accident in California on March 23, 2016 (the "Third Accident"). Mr. Brooks has not pursued any legal action regarding the Third Accident and in this action, he is not seeking any compensation for any temporary aggravation he may have sustained in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Brooks alleges that he suffers from chronic pain in his neck, upper back and shoulder blades as a result of the First Accident. He contends that he also suffers from chronic post-traumatic headaches, right-sided C6 radiculopathy, disturbed sleep, jaw pain, post-traumatic stress disorder ("PTSD"), adjustment disorder, and somatic symptom disorder. He maintains that his injuries were aggravated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broad terms, Mr. Brooks alleges that the injuries he sustained to his neck, upper back, and shoulder girdle in the First and Second Accident are indivisible. However, he acknowledges that the Second Accident caused divisible injuries to his shoulder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central issue is causation. The primary contention of the defendants is that Mr. Brooks has failed to prove his case; their submissions are anchored in an attack on the credibility of Mr. Brooks'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case was hard-fought on all fronts. The parties are far apart on the various heads of damages, including non-pecuniary damages, loss of future earning capacity, loss of housekeeping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Before addressing the damages analysis, I will summarize the pertinent facts established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At this point, it is appropriate to make a preliminary comment on the extensive clinical records that were adduced into evidence pursuant to the parties' document agreement. The clinical records were admitted as business records pursuant to s. 42(2)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It is well established on the authorities that the statements in the records attributed to Mr. Brooks are admissible for the fact that they were made but not for their truth. The observations of his medical condition made by the doctors and other healthcare professionals, the results of the tests performed or ordered by them, medical advice given, and the treatments provided and prescribed by the healthcare professionals are admissible as such. The weight of the authorities holds that a clinical record may be used to prove the fact that a certain diagnosis (which qualifies as an opinion) was made and recorded, but not to prove the accuracy or validity of the diagnosis: </w:t>
      </w:r>
      <w:r>
        <w:rPr>
          <w:rFonts w:ascii="arial" w:eastAsia="arial" w:hAnsi="arial" w:cs="arial"/>
          <w:i/>
          <w:color w:val="000000"/>
          <w:sz w:val="20"/>
          <w:lang w:val="en-US" w:eastAsia="en-US" w:bidi="ar-SA"/>
        </w:rPr>
        <w:t>Seaman v. Crook</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2003 BCSC 464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with these principles in mind that I have assessed the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these Reasons, the summary of facts reflects evidence that was either not in dispute, or, where it was in dispute, the factual findings I have made based on the consideration of the evidence as a whole. I have explained the reasoning underlying my findings where the evidence conflicted in a significant way on material points, or a party has urged that a particular inference be drawn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will address the facts in the following order:</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Background;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Accident;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 June 2013;</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Move to California;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Accident;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Surgery and Post Surgery;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Medical Evidence;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 on Mr. Brooks' 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My findings on these matters will then guide the determination of Mr. Brooks'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Brooks is 37 years old and currently resides in a home in Eastvale, California with his wife and their young daughter, who was born in September 2017. He married Ms. Vredenburg in 2005. They purchased their home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Brooks grew up in Quesnel, British Columbia. After his graduation in 1999, he attended various post-secondary institutions, where he completed various computer systems and management courses. He obtained a Bachelor of Technology degree from the British Columbia Institute of Technology in 2004. Following graduation, Mr. Brooks worked as a computer technician for the local school district in Dease Lake,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2006 until he moved to California in late June 2013, Mr. Brooks worked at Ritchie Brothers Auctioneering ("Ritchie Brothers") in the Lower Mainland as a software systems integrator. He eventually became a project supervisor. The preponderance of the evidence supports a finding that Mr. Brooks excelled in this position. He frequently worked overtime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Brooks' work in the internet technology field, was largely sedentary and computer-focused. From 2007 until the First Accident, he saw his wife's chiropractor Dr. Peter Douwes for what he described as "maintenance treatments" for his postural issues and associated discomfort in his neck and back. I will return to his chiropractic treatments later in these Reasons. I note that prior to the First Accident, Mr. Brooks did not see his family doctor for any neck or back-related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Brooks also attended ten physiotherapy treatments in the summer of 2012. The records indicate that he reported chronic mid-back pain and tight calf muscles from his prolonged posture sitting at a computer. He also reported elbow and hand pain. On June 25, 2012, on my reading of the records he reported that he was "much better" (and not that his neck was better, as was suggested to Dr. Caillier in cross-examination) and on August 29, 2012, that he was much improved. On July 18, 2012, he underwent intramuscular stimulation treatment on various muscles in his upper body (including trapezius, rhomboids, deltoids and triceps, as well as his cervical paraspinals from C4-C6), his lumbar spine and his calf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Prior to the First Accident, Mr. Brooks occasionally enjoyed tennis and outdoor recreational activities that included skiing, kayaking, camping and hiking. He also exercised in the gym occasionally. He and his wife enjoyed various leisure activities, including attending the movie theatre. Since his wife suffered from a constellation of health issues, including having been diagnosed with fibromyalgia, Mr. Brooks assumed the majority of the household duties, including purchasing groceries, vacuuming, cooking, laundry and sweeping.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preponderance of the evidence supports a finding that prior to the First Accident, Mr. Brooks was not restricted in any of his recreational or leisure activities or in performing household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Prior to the First Accident, Mr. Brooks occasionally suffered from some anxiety that manifested itself in hair pulling and nail biting. However, he did not experience any anxiety relating to driving.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approximately 5:00 p.m. on January 5, 2013, the defendant, Gulalai Habib was driving westbound in her vehicle on Imperial Street in Burnaby. After passing through the intersection, she collided with the rear-end of Mr. Brooks' vehicle. It was stopped as they were waiting to turn left off Imperial Street into the parking lot of an auto parts store. As I stated earlier, Mr. Brooks' wife was driving and he was sitting in the front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paragraph, I summarize Mr. Brooks' description of the First Accident. Immediately preceding the collision, Mr. Brooks heard the sound of squealing tires and he turned his head over his left shoulder to look out the rear window. Upon impact, the back of Mr. Brooks' head hit the headrest. He immediately experienced the onset of a headache and became disoriented.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Brooks and his wife subsequently pulled in the parking lot to exchange information with Ms. Habib. Mr. Brooks felt pain at the base of his skull and into the top of his neck. The pain in his neck persisted and he described that in the following days, he developed increasing stiffness in his neck and pain in his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Brooks and his wife reported the First Accident to ICBC and brought the car to a claim centre. The estimate for the damage of the repair to the bumper was $538.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preponderance of the evidence I accept supports a finding that Mr. Brooks' head was rotated to the left at the time of impact. I reject the defendants' submission that Mr. Brooks fabricated this aspect of his testimony in an effort to substantiate his assertion that he sustained a significant neck injury in a minor motor vehicle accident. Ms. Vredenburg, who was in the vehicle, credibly corroborated that immediately prior to impact, Mr. Brooks had turned his head to look over his left shoulder. Mr. Brooks consistently reported this to the various health care professionals he saw, including Dr. Ozgur, Dr. Caillier, and Dr. Hirsch. The fact that Dr. Douwes recorded in his Accident Report - in answer to the question in a standard form - that Mr. Brooks had not been aware of the impending collision is of no moment. The question is open to interpretation and there is no indication in the evidence of precisely what question Dr. Douwes put to Mr. Brooks at the material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January - June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uncontroverted evidence of Mr. Brooks is that he had been in a previous car accident in 2006. As a result of that accident, he had experienced some neck pain for some weeks. However, after a matter of weeks, he made a full recovery. I accept his evidence that he expected he would have a similar experience following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weeks following the First Accident, Mr. Brooks' neck, upper back, and shoulders were sore and he described experiencing a "whiplash" strain and stiffness in his neck. He took over-the-counter medication to alleviate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Brooks reported the First Accident to his chiropractor, Dr. Douwes, on January 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Douwes had treated Mr. Brooks from April 2007 to December 2012 for neck and back symptoms. His treatment included manipulations of all areas of Mr. Brooks' spine. Dr. Douwes also provided Mr. Brooks with nutrition and exercise advice. Mr. Brooks maintains that his back and neck symptoms prior to the First Accident were related to his sedentary job, which required extended hours working on a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Brooks' counsel points out in the six months preceeding the First Accident, Dr. Douwes' records indicate only four visits. This is in contrast to the six months following the First Accident, during which Dr. Douwes' records indicate 21 visits for treatment. All of these post-accident visits were noted as ICBC-related.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Douwes, whose clinical notes were admitted into evidence, testified at trial. However, the Court did not have the benefit of any expert opinion from Dr. Douwes. Accordingly, as I stated earlier, any opinions contained in Dr. Douwes' records are not admissible for the validity of those opinions. The statements made by Mr. Brooks and recorded by Dr. Douwes are admissible for the fact that they were made but not for the truth of those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Douwes made various reports to ICBC regarding the injuries Mr. Brooks sustained in the First Accident. On January 9, 2013, Dr. Douwes recorded that Mr. Brooks reported symptoms of a stiff and sore neck and upper back after the accident. On January 9, 2013, Dr. Douwes noted palpatory tenderness in the cervical and thoracic spine and that Mr. Brooks had pain on flexion and extension of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January 23, 2013, Dr. Douwes' report indicates that he treated Mr. Brooks for Grade II neck/upper back musculoskeletal injury. In both his May 2 and July 3, 2013 reports, Dr. Douwes recorded complaints of neck and upper back soreness. On May 5, 2013, he noted palpatory tenderness on the cervical and thoracic spine. In his testimony, Dr. Douwes observed that after the First Accident, Mr. Brooks' neck and upper back muscles were more sensitive on palpation than they had been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Brooks and his wife have the same family doctor, Dr. Chodyra, whose clinical records were produced at trial. She did not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Brooks attended his wife's first appointment with Dr. Chodyra regarding her accident related injuries. The three of them discussed the fact that Mr. Brooks had been in the car at the time of the collision. Mr. Brooks had subsequent appointments with Dr. Chodyra for his allergy shots but they did not discuss his accident 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Mr. Brooks' injuries did not improve, he booked an appointment with Dr. Chodyra on March 2, 2013. Dr. Chodyra noted that his neck range of motion was near normal with the sensation of tightness on lateral neck flexion. She also noted that his posterior shoulders were tender on palpation. Dr. Chodyra referred Mr. Brooks for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Brooks saw Dr. Chodyra again on March 8, 2013, and she noted "pain with L neck rotations and bilateral lateral flexion" and upper back and posterior shoulder symptoms. Mr. Brooks attended appointments with Dr. Chodyra on April 27, June 17 and June 19, 2013. On April 27, 2013, she noted "ongoing upper back, neck and shoulders [sic] pain following MVA". On June 19, 2013, she again noted "ongoing neck and upper back pain". She diagnosed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Chodyra also prescribed Mr. Brooks both anti-inflammatory and muscle relaxant medications for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From February through June 2013, Mr. Brooks also attended physiotherapy sessions at Impulse Sports Therapeutics. Initially, Mr. Brooks' stated objective in seeking physiotherapy treatments in February 2013 was primarily to strengthen his postural muscles in his mid-back in order to obtain more long-term relief from his postural issues. On February 28, 2013, the physiotherapist noted that the rotation of Mr. Brooks' left cervical spine was restricted. Extension and flexion were also slightly reduced. On March 7, 2013, the physiotherapist noted that Mr. Brooks presented with neck pain and that "left side flexion of his cervical spine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By March 14, 2013, Mr. Brooks' file for his physiotherapy sessions was changed to an ICBC file. The clinical records indicate that Mr. Brooks reported neck and thoracic pain from his car accident. At this appointment, the physiotherapist noted "overall decrease muscle tone in his cervical spine". Mr. Brooks had 22 further physiotherapy treatments for his neck and upper back before he moved to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After the First Accident, Mr. Brooks began to experience anxiety symptoms and panic attacks while driving, particularly when he was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After the First Accident, Mr. Brooks experienced pain and difficulties lifting heavier items and performing his household duties. He drove to the interior of British Columbia in March 2013, to attend a wedding, and again in May 2013, to see his family before he left for California. I accept his evidence that he experienced significant discomfort on both occasions. His leisure activities, such as attending the movie theatre, were negatively impacted and his concentration was compromised because of his discomfort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Brooks became irritable and impatient. His marital relationship which was strained before the First Accident became increasingly strained. His intimate relationship with his wife was adversely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Vredenburg, whose evidence I accept, recounted to the Court that after the First Accident, Mr. Brooks became distracted, difficult to communicate with and not fully "present" in their relationship. She observed him being agitated and unpleasant when he was engaged in activities that cause him discomfort and pain. She credibly described her observations regarding Mr. Brooks' diminished ability to relax. She described him as constantly shifting positions, even when watching a movie.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After the First Accident, Mr. Brooks also suffered from headaches on an intermittent basis and on occasion, his sleep was disrupted.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Brooks maintains that his bruxism became worse after the First Accident. He had a night guard for approximately three years prior to the First Accident but wore it only occasionally. He maintains that after the First Accident, he had to wear the night guard every night and that he developed jaw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addition to his chiropractic and physiotherapy treatments, prior to moving to California in late June 2013, Mr. Brooks underwent trigger point injections for his persistent neck pain. He did not find these treatments effective in alleviating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From the First Accident until he resigned in June 2013 from Ritchie Brothers, Mr. Brooks did not miss any days of work on account of his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Move to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late 2012, Mr. Brooks and his wife decided to relocate to California, where his wife had been raised, in order that they could purchase a home. Prior to leaving Canada, Mr. Brooks had secured employment at HireRight Inc. in California. Arrangements were made for him to commence employment in July 2013. He continues to be employed by HireRight Inc. in California as a senior systems application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Brooks and his wife moved to California at the end of June 2013. They had packed up their non-essential items well in advance of the move. In 2013, they hired professional movers who assisted them in finishing their packing. Mr. Brooks and his wife then drove to California with only their personal belongings and suitcases. Mr. Brooks, who continued to be symptomatic from his injury, did most of the driving, which took three days. He found it difficult and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Upon arrival in California, Mr. Brooks initially attempted to help with the move but asserts that his condition deteriorated. He experienced shooting pains from his neck into his shoulders. His wife described him during this time period as increasingly agitated, impatient and short-tempered.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Brooks attended between four and six chiropractic sessions in July 2013 in California, for which he paid privately.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commenced his new employment in July 2013. Mr. Brooks' health care insurance offered through his new employer became effective August 1, 2013. To the extent the defence alleges it was earlier, I find Mr. Brooks' evidence on the point harmonizes with the preponderance of the reasonable probabilities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August 2013, shortly after his medical coverage became effective, Mr. Brooks saw Dr. Samuel Park, a primary care physician in California. According to Mr. Brooks, he sought medical advice because the symptoms from his whiplash injury were persisting and he wanted a referral for physiotherapy. Dr. Park referred him for physiotherapy treatments and an MRI scan of his neck. Dr. Park also prescribed Mr. Brooks a muscle relaxant, an anti-inflammatory medication and Cymbalta for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Mr. Brooks attended physiotherapy treatments on August 12, 2013, the physiotherapist noted a decreased range of motion in Mr. Brooks' cervical spine. From August 14, 2013 to September 9, 2013, Mr. Brooks attended five further physiotherapy treatments for his neck and upper back. The clinical records note that Mr. Brooks continued to have a decreased range of motion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Park subsequently informed Mr. Brooks that the MRI had revealed a jumped facet joint and possible fracture at C5-C6 levels of the spine. Dr. Park then ordered a follow-up CT scan, as recommended by the radiologist. On September 4, 2013, after reviewing the report from the CT scan, Dr. Park informed Mr. Brooks that the imaging likely showed a congenital abnormality and not a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Brooks understandably was very concerned. According to Mr. Brooks, he faxed Dr. Chodyra a copy of the CT report and, in a subsequent telephone call, she recommended that Mr. Brooks consult a neurosurgeon in California for a second opinion. The objective evidence shows that a copy of the report was in Dr. Chodyra's file with a fax cover sheet from Mr. Brooks thanking her for reviewing it and stating that his neck had not "gotten any better even after 6-7 months of 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After conducting research on various websites, including perusing reviews of neurosurgeons, Mr. Brooks decided to see the head neurosurgeon at the Brain and Spine Center at the Hoag Hospital in California. Mr. Brooks had his first consultation with Dr. Burak Ozgur on September 16,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Ozgur examined Mr. Brooks and after reviewing the MRI and CT scan, ordered additional imaging of the cervical spine. He also recommended that Mr. Brooks hold off on any further physiotherapy treatments. At their second appointment on November 4, 2013, Dr. Ozgur noted subjective and objective weakness in Brooks' right bicep. He recommended that Mr. Brooks undergo spinal surgery. Mr. Brooks, who was continuing to experience pain in his neck, upper back, and shoulders, took some time to consider his options. He subsequently decided to proceed with the surgery recommended by Dr. Ozgur. The surgery was scheduled for December 19,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common ground that Dr. Ozgur diagnosed a unilateral right C5-6 jumped facet and right C6 pars fracture. Although his clinical records were admitted at trial, Dr. Ozgur did not provide any opinion evidence at trial. Accordingly, his diagnosis is admissible for the fact that it was made, but not for the validity of that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Unfortunately, on December 2, 2013, Mr. Brooks was involved in another motor vehicle accident in California. The vehicle he was driving was hit in the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Brooks described the Second Accident as being less forceful than the First Accident. On the way home, Mr. Brooks began to feel unwell and in addition to his neck pain, he developed a headache and pain in his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day after the Second Accident, Mr. Brooks went to see Dr. Park. At this appointment, because of his impending neck surgery, Dr. Park did not prescribe any medication but recommended that Mr. Brooks take a hot bath. On two occasions, after Mr. Brooks had taken a hot bath, the whole of Mr. Brooks' right arm went numb.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December 19, 2013, Dr. Park told Mr. Brooks to stop the warm baths and prescribed him steroid medication and Tylenol 3. Dr. Park noted spasm tenderness and a decreased range of motion in Mr. Brooks' neck and back and that he was experiencing radiating pain in his right upper extremities.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When Mr. Brooks reported the Second Accident to Dr. Ozgur's office, a further MRI was ordered. The MRI did not reveal any significant changes.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Neck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Neck Surgery proceeded as scheduled on December 19, 2013. Dr. Ozgur performed a front and back cervical fusion with an anterior cervical discectomy at C5/C6 and a posterior unilateral instrumentation. There was a reconstruction at C5/C6 with a cage and plate.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After the Neck Surgery, Mr. Brooks wore a neck brace for three weeks. He described suffering severe pain in the interscapular area between his shoulder blades immediately following the surgery. He was restricted to not carrying more than five pounds. He took oxycodone narcotic pain medication for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After the Neck Surgery, Mr. Brooks was also prescribed a bone growth simulator to wear to ensure the fusion would be successful. Mr. Brooks was allergic to the pads on the device and he endured the resulting allergic reaction during the three months he was required to wear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Brooks was also referred to a pain management specialist who prescribed a variety of pain medications. I accept that some of the pain medication affected his cognition and ability to concentrate. During his recovery, Mr. Brooks worked at home before returning to work in the office in February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Once he was cleared to do so, Mr. Brooks attended 38 post-operative physiotherapy treatments between April 1 and August 12,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Brooks underwent two or three nerve ablations in 2014 and 2015. While he found that the pain in his left shoulder blade significantly diminished after the treatment, he found the procedure itself very painful and that the effectiveness of the pain relief was of limited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Brooks attended a rehabilitation centre from September 2014 through to September 2016, where he had sessions of active physical therapy for his neck and upper back. He also was given an exercise program to do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Brooks had physical therapy relating to his bruxism and jaw complaints from December 2015 until March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After the Neck Surgery, Mr. Brooks developed some unusual symptoms (sudden severe pain in his shoulder precipitated by a simultaneous cervical rotation to the right with either yawning or laughing). Dr. Ozgur referred him to a neurologist. He underwent a comprehensive neurological consultation with Dr. Schumacher on April 24, 2014. The results of the nerve conduction studies were abnormal. There was no follow-up appointment with Dr. Schumacher.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Brooks also suffered from pain, numbness and tingling in the top of his shoulders. He eventually had arthroscopic debridement surgery on each shoulder. He underwent those surgeries on November 2, 2016 and February 1, 2017. The surgeries resolved the majority of his symptoms in his shoulder joints. In this action, Mr. Brooks is not seeking any relief associated with his shoulder joint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Brooks had 18 counselling sessions with a clinical psychologist from December 2013 to November 2014. The clinical notes show that the primary focus of the therapy sessions was his marriage. He commenced attending sessions with another clinical psychologist, Dr. Darrington in 2014. He continues to see her for his marital issues, interpersonal difficulties with his family, and issues relating to his anxiety, including anxiety relating to driving and what he described as his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Although Mr. Brooks acknowledged that the Neck Surgery improved his neck symptoms, he says that the surgery did not alleviate all of his symptoms; he continues to experience pain in his neck and shoulder blades.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I mentioned, Mr. Brooks was involved in the Third Accident on March 23, 2016. He maintains that he had recovered from the temporary aggravation of his symptoms by June 2016. In this action, he is not seeking any compensation for any temporary aggravation he may have sustained in the Third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Brooks relied on the expert evidence of Dr. Caillier, Dr. Goldstein, and Dr. Rickards. Each of the doctors attended for cross-examination at trial. The key portions of the reports are summarized below:</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Lisa Caillier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Caillier is a physical medicine and rehabilitation specialist who assessed Mr. Brooks on August 14, 2015. In her report dated November 30, 2015, she opined that the First Accident caused a soft tissue musculoligamentous injury to Mr. Brooks' neck, upper back and posterior shoulder girdle region. Additionally, she opined that the First Accident caused headaches, disrupted sleep, physical deconditioning and difficulties engaging in certain activities that required sustained posturing or "are repetitive in nature through the shoulder region". She opined that the Second Accident aggravated his pre-existing neck pain, headaches and right upper extremity symptoms and negatively impacted his physical conditioning and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Caillier opined that Mr. Brooks' current chronic neck pain is both soft tissue as well as mechanical in nature. In her opinion he also suffers from chronic soft tissue pain in the upper back and shoulder girdle region, as well as radiating symptoms into his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Caillier opined that "but for the accident of July 5, 2013, as well as further aggravation by the December 2, 2013 motor vehicle accident he would likely not have his current symptomatic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is Dr. Caillier's opinion that the First Accident rendered the congenital abnormalities in Mr. Brooks' spine symptomatic. She states that while it is possible that without the First Accident the congenital or pre-existing abnormalities could have resulted in future neck complaints, it is not known when, or if, that would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Insofar as Mr. Brooks' prognosis,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 Given the chronicity of his neck, upper back, and shoulder girdle pain as well right radiating arm complaints, the likelihood of Mr. Brooks becoming symptoms free is poor. He is likely to have ongoing pain now and into the future. He is not going to become pain free.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is still the opportunity for his pain to be better managed provided he benefits from recommendations made. However, even with benefit from recommendations made, he will likely continue to have pain on a daily basis dependent upon his activity level and the duration of the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is increased susceptibility and vulnerability to worsening of pain should he sustain future trauma to the neck, back, and shoulder girdle region.</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Gayle Goldstein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Goldstein, who has a doctoral degree in clinical psychology, is a registered psychologist in British Columbia. At the request of his counsel, she conducted a clinical interview of Mr. Brooks on October 15, 2016, and spoke to his wife regarding her observations of him. She prepared a report dated November 21, 2016. At trial, I ordered that certain contents of her report be expurgated on the basis that certain portions were not properly admissible opinion evidence that she was qualified to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her report, Dr. Goldstein opined that Mr. Brooks met the diagnostic criteria for PTSD, somatic symptom disorder, specific phobia related to driving as a passenger, adjustment disorder with mixed disturbance of emotions and conduct. In submissions, his counsel advised the Court that Mr. Brooks is not pursuing any claim related to her provisional diagnosis of a neurocognitive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Goldstein opines that the PTSD, the somatic symptom disorder and adjustment disorder arose as a result of the First Accident. She explains that the somatic symptom disorder is a psychological or psychiatric diagnosis "and refers not to the quantity or quality of pain Mr. Brooks' experiences but rather to his emotional attitude and perceptual behavioural responses to that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her report, Dr. Goldstein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Brooks clinical presentation is, in my opinion, a complex array of hyper vigilance and startle related to trauma, frustration, depressed mood, anxiety and chronic pain. According to Mr. Brooks and his wife, Mr. Brooks was functioning well in all areas of his life at the time of the accident. Following the MVA he has not regained his pre-accident functioning in any domain.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regards to prognosis, it has been three years since the collision and the prognosis must be considered now as guarded to fair.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still possible that with continued treatment for his post-MVA anxiety, trauma and pain problems that there would be symptomatic improvement but is more unlikely as further time elapses that any such improvement would be translated into full functional recovery and this is based on my extensive clinical experience of treating such patients. Therefore, it is likely that Mr. Brooks will continue to have challenges relating to pain and anxiety and this will likely compromise and undermine his work advancement, confidence in the workplace, social and personal life.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Robin Rickards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Rickards is an orthopaedic surgeon who assessed Mr. Brooks on October 7, 2016. He diagnosed Mr. Brooks with probable cervical facet joint syndrome. In his report dated October 28, 2017, he opined that Mr. Brooks presented with symptoms and clinical findings in his neck suggestive of irritation of the facet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With respect to causation, he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Status Post C5-C6 surgical Fusion/Probable Cervical Facet Joint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relationship in time between the motor vehicle accident of January, 2013 and onset of neck symptoms suggest that these two events are related in a cause-effect relationship. Chiropractic records pre-MVA do note neck and midback symptoms dating back to 2007. These symptoms appear to be different in intensity from those symptoms appearing following the motor vehicle accident of January,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Clinical records suggest a congenital abnormality present at the C5-C6 area [a variant of bony structure present since birth and not related to MVA injury] with an MVA related injury to the bony structure of C6.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Insofar as prognosis, Dr. Rickards opines that the principal concern is the development of progressive degeneration above and below the cervical fusion site. He opined that the likelihood of progressive arthritic change in the disc levels above and below the fusion site is in the range of 25% at 10 years post-surgery.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Rickards observes that Mr. Brooks' neck symptoms could be improved with repeat radiofrequency ablation, but it is unlikely to either completely or permanently resolve his neck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defendants relied on the expert evidence of Dr. Paquette, Dr. Graeb, and Dr. Hirsch. Dr. Paquette and Dr. Hirsch both attended for cross-examination. The key aspects of their reports are summarized below.</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Scott Paquette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Paquette is a well-qualified neurosurgeon who practices at Vancouver General Hospital. His clinical practice is focussed exclusively on spines. He provided an expert report dated March 9, 2018. His report is based on a review of Mr. Brooks'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Paquette opined that the CT scan revealed the diagnosis of a congenital abnormality of a cervical facet joint without evidence of any subluxation and without evidence of nerve compression. In his view, the First Accident did not create the abnormality in the cervical facet joints that Dr. Ozgur later inappropriately (in Dr. Paquette's opinion) diagnosed as a dislocated facet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his report, Dr. Paquette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reviewing this complex case, it is my opinion that Mr. Brooks likely incurred a soft tissue injury to his neck resulting in increased neck and back pain as a result of the first accident. This accident did not create the congenital abnormality in his cervical spine, nor did he exhibit symptoms which would suggest surgical fixation of his cervical spine was indicated prior to the events of the second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Brooks' surgical treatment was not a consequence of his first motor vehicle accident. Absent motor vehicle #1, I do not believe Mr. Brooks would have had any difference in his clinical course of neck pain, or treatment aside from supportive treatment such as physiotherapy and analgesics. The vast majority of individuals with soft tissue injuries will show improvement within months after an injury and a few individuals will continue to have symptoms of pain beyond two years. Unfortunately, that natural history did not have a chance to run its course for Mr. Brooks as a subsequent accident and surgical intervention have skewed his clinical outcome.</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Douglas Graeb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Graeb is a very experienced neuroradiologist who retired from hospital practice in June 2013. At the request of defence counsel, he reviewed the five imaging studies of Mr. Brooks' spine in 2013 and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his report dated February 13, 2018, Dr. Graeb opines that the imaging shows cervical spondylolysis at C6, a longstanding developmental abnormality. This finding is associated with a number of additional abnormalities in Mr. Brooks' spine. He concludes that the findings are inconsistent with an unhealed fracture that could be attributed to the First Accident and that there is no malalignment of the vertebral bodies that would suggest a ligament injury. Dr. Graeb also notes that there is no evidence to suggest nerve root compression at any level.</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Gabriel Hirsch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Gabriel Hirsch is a physical medicine and rehabilitation expert specialist, who assessed Mr. Brooks on January 15,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his report of the same date, Dr. Hirsch states that based on his review of the clinical records, Mr. Brooks' symptoms following the First Accident were similar to the symptoms noted by Dr. Douwes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 opines that "in the worse case scenario, Mr. Brooks sustained a very minor injury to his neck" in the First Accident, from which he made a full recovery within a few weeks. He concludes that Mr. Brooks did not incur any significant structural damage to his neck in the First Accident and that none of the medical treatment he received in the United States is causally connected to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Response Report of Dr. Heran to Dr. Paquette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Navraj Heran is a neurosurgeon who practices at the Royal Columbian Hospital and Eagle Ridge Hospital. At Mr. Brooks' request, Dr. Heran responded to Dr. Paquette's report. Like Dr. Paquette, he did not examine Mr. Brooks but reviewed his clinical records. After hearing submissions, I ruled that portions of his report dated April 9, 2018, were inadmissible. His redacted report was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Based on his review of the clinical records, Dr. Heran diagnosed Mr. Brooks with myofascial injuries involving the neck and upper torso, mechanical pain likely arising from the C5-C6 level, cervicogenic headaches,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Heran agreed with Dr. Paquette that the imaging did not suggest that a spinal fracture arose as a consequence of the First Accident. He also agreed with Dr. Graeb that Mr. Brooks has underlying congenital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Heran opined that the First Accident resulted in mechanical changes arising at C5-C6 with damage to the structural elements, notably, the facet joints and likely the pars defect on the right side. He explained that Mr. Brooks' presentation of gradual worsening as time went on over many months is suggestive of damage that occurred at these sites. He notes in his report that Mr. Brooks had further worsening following the Second Accident with additional neurogenic changes to his upper right extremity.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sum, he opined that Mr. Brooks' facet joints were likely injured as a consequence of the First Accident and likely further aggravated by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response to Dr. Paquette's opinion that more time should have been given to allow for Mr. Brooks' symptoms to improve, Dr. Heran noted the progression of Mr. Brooks' symptomology as time went on. Given Mr. Brooks' clinical presentation, Dr. Heran was of the view that surgery was reasonable at the time it was offered. While he agreed with Dr. Paquette that further investigations are often indicated prior to undertaking surgery, he stated that when structural sources of pain are prominent and imaging demonstrates structural spinal abnormalities consistent with the source of symptoms, proceeding with surgical management is reasonable and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defence asked that I draw an adverse inference from Mr. Brooks' failure to tender opinion evidence from Dr. Anne Chodyra, Dr. Samuel Park, Dr. Burak Ozgur and Dr. Darrington.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well established on the authorities that an inference adverse to a litigant may be drawn if that litigant fails to call a witness who could reasonably be expected to provide supporting evidence. The appellate authorities have recognized that an adverse inference is discretionary and should not be drawn unless it is warranted in all the circumstances. Given the contemporary disclosure rules, in many circumstances both parties have equal access to information and may call those witnesses whose evidence might assist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Thomasson v. Moeller</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2016 BCCA 14</w:t>
        </w:r>
      </w:hyperlink>
      <w:r>
        <w:rPr>
          <w:rFonts w:ascii="arial" w:eastAsia="arial" w:hAnsi="arial" w:cs="arial"/>
          <w:color w:val="000000"/>
          <w:sz w:val="20"/>
          <w:lang w:val="en-US" w:eastAsia="en-US" w:bidi="ar-SA"/>
        </w:rPr>
        <w:t xml:space="preserve"> at para. 35, and </w:t>
      </w:r>
      <w:r>
        <w:rPr>
          <w:rFonts w:ascii="arial" w:eastAsia="arial" w:hAnsi="arial" w:cs="arial"/>
          <w:i/>
          <w:color w:val="000000"/>
          <w:sz w:val="20"/>
          <w:lang w:val="en-US" w:eastAsia="en-US" w:bidi="ar-SA"/>
        </w:rPr>
        <w:t>Singh v. Reddy</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2019 BCCA 79</w:t>
        </w:r>
      </w:hyperlink>
      <w:r>
        <w:rPr>
          <w:rFonts w:ascii="arial" w:eastAsia="arial" w:hAnsi="arial" w:cs="arial"/>
          <w:color w:val="000000"/>
          <w:sz w:val="20"/>
          <w:lang w:val="en-US" w:eastAsia="en-US" w:bidi="ar-SA"/>
        </w:rPr>
        <w:t xml:space="preserve"> at para. 27, the Court of Appeal affirmed that an adverse inference is not to be drawn where a witness is available to both parties. It is appropriate to decline an adverse inference on this basis alone: </w:t>
      </w:r>
      <w:r>
        <w:rPr>
          <w:rFonts w:ascii="arial" w:eastAsia="arial" w:hAnsi="arial" w:cs="arial"/>
          <w:i/>
          <w:color w:val="000000"/>
          <w:sz w:val="20"/>
          <w:lang w:val="en-US" w:eastAsia="en-US" w:bidi="ar-SA"/>
        </w:rPr>
        <w:t>Singh v. Chand</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2019 BCSC 932</w:t>
        </w:r>
      </w:hyperlink>
      <w:r>
        <w:rPr>
          <w:rFonts w:ascii="arial" w:eastAsia="arial" w:hAnsi="arial" w:cs="arial"/>
          <w:color w:val="000000"/>
          <w:sz w:val="20"/>
          <w:lang w:val="en-US" w:eastAsia="en-US" w:bidi="ar-SA"/>
        </w:rPr>
        <w:t xml:space="preserve"> at para.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the Court of Appeal provided guidance on the factors that inform the analysis of whether an adverse inference should be drawn for the failure to call a treating physician. The factors include the following:</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before the court;</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explanations proffered for not calling a witness;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evidence that could be provided by the witness;</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disclosure of the pertinent clinical notes;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trial, including for example, whether there was a document agreement regarding admission of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Counsel for Mr. Brooks points out that the defendants had the benefit of full disclosure of each of treating physician's clinical notes, and that the parties had entered into a document agreement, in part to avoid the necessity of calling each physician. Moreover, he notes that Drs. Park, Ozgur and Darrington each reside in California and adducing their evidence would inevitably have increased the cost and length of trial. He also underscores that Mr. Brooks' chiropractor, Dr. Douwes, who has been treating him before and after the First Accident,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will address each of the doctors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Chodyra was Mr. Brooks' primary care physician at the time of the First Accident. She treated him from approximately April 2008 until he moved to California at the end of June 2013, only months after the First Accident. Dr. Chodyra's records show no indication that she had treated Mr. Brooks for any musculoskeletal issues in the pre-accident period. She did not treat Mr. Brooks after he moved to California. Her clinical records were provided to the defendant and both of the experts who testified on behalf of the defendants were provided with those records. Mr. Brooks' counsel further asserts that it is unlikely that Dr. Chodyra would have any independent recollection of her interactions with Mr. Brooks beyond what is contained in her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defendants clearly had the opportunity to speak to Dr. Chodyra and call her as a witness if they desired to do so. I note that Dr. Chodyra was listed as a witness on the defendants' trial brief, but for reasons that were not disclosed at trial, they chose not to call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all the circumstances, I am not persuaded that it would be appropriate to draw an adverse inference against Mr. Brooks for his failure to call Dr. Chodyra.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Park is Mr. Brooks' family physician who has treated him in California since August 2013. Mr. Brooks' counsel points out that because of his attendance on various specialists, Mr. Brooks does not see Dr. Park on a frequent basis. Mr. Brooks underscores that all of Dr. Park's medical records were provided to the defendants and it was open to the defendants to call Dr. Park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all the circumstances, I agree with Mr. Brooks that it would not be fair to draw an inference that Dr. Park would have given evidence detrimental to Mr. Brooks'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Ozgur is Mr. Brooks' treating neurosurgeon in California who performed the surgery on Mr. Brooks' neck on December 19, 2013. In response to the defendants' application brought in final submissions to amend their pleadings to add an allegation that Dr. Ozgur was negligent, Mr. Brooks' counsel filed an affidavit, which shows that Dr. Ozgur refused to provide a medical-legal report. As with the other health care providers, Dr. Ozgur's records were provided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these circumstances, I do not consider it appropriate to draw an adverse inference against Mr. Brooks for his failure to call Dr. Ozgur.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Regarding Dr. Darrington, she did not treat Mr. Brooks prior to the First Accident. Her records were produced to the defendants. She was equally available to the defendants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these circumstances, I am not persuaded that it is appropriate to draw an adverse inference against Mr. Brooks for his failure to call Dr. Darrington.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note that Mr. Brooks retained Dr. Goldstein, a registered psychologist in B.C., to provide her opinion on the extent of his psychological issues that were allegedly occasioned by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Finally, Domenic Pierri was Mr. Brooks' treating physiotherapist from February 20, 2013 until June 27, 2013. His clinical records were disclosed in their entirety to the defendants. Mr. Pierri was available to the defendants. In fact, Mr. Pierri also listed as a witness for the defence in their trial brief but the defendants ultimately chose not to call him. In the end, I decline to draw any adverse inference against Mr. Brooks for not calling Mr. Pierri.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next address the defence position that an adverse inference ought to be drawn from Mr. Brooks' failure to call evidence from witnesses such as family members or friends, who allegedly would be expected to be in a position to corroborate Mr. Brooks' testimony concerning the alleged impairment in his physical abilities and consequent limitations in his functioning. The defence also points out that no witnesses were called from either Ritchie Bros. or HireRight Inc. to corroborate the alleged impact of Mr. Brooks' injuries on his functioning in the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First, Mr. Brooks points out that he did call his wife, Ms. Vredenburg, regarding the changes she observed in him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defendants specifically point to the absence of Ms. Hendy, Mr. Brooks' aunt, who originally was scheduled to testify at trial. Counsel explained that given her limited observations regarding Mr. Brooks' condition through the course of his injuries and the time pressures of trial, he determined that Ms. Hendy's testimony was unnecessary. Perhaps most significantly, he points out that Ms. Hendy spoke to agents for the defendants and they knew what her testimony would be. Counsel for the defendants could have called Ms. Hendy if they believed that her testimony would have advanced their litigation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Brooks' counsel also notes that, pursuant to the request of the defendants, he sent contact information for six other family members to the defendants on March 7, 2018. Mr. Brooks was not in a unique position to call upon such witnesses; their evidence would have been available to the defence through pre-trial interviews or, had they been uncooperative, through scheduling depositions.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Brooks commenced his employment with his current employer after the First Accident. Accordingly, his colleagues would not be in a position to make any meaningful observations on the alleged impact of the First Accident on Mr. Brooks'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Again, it was open to the defendants to approach either or both of Mr. Brooks' current and former employers to make inquiries regarding his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All things considered I do not see this as an appropriate circumstance to draw an adverse inference. Rather, the essential issue is whether I can be satisfied Mr. Brooks has proven his case on a balance of probabilities without having called such collateral witnesses: </w:t>
      </w:r>
      <w:r>
        <w:rPr>
          <w:rFonts w:ascii="arial" w:eastAsia="arial" w:hAnsi="arial" w:cs="arial"/>
          <w:i/>
          <w:color w:val="000000"/>
          <w:sz w:val="20"/>
          <w:lang w:val="en-US" w:eastAsia="en-US" w:bidi="ar-SA"/>
        </w:rPr>
        <w:t>Khudabux v. McClary</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2016 BCSC 1886</w:t>
        </w:r>
      </w:hyperlink>
      <w:r>
        <w:rPr>
          <w:rFonts w:ascii="arial" w:eastAsia="arial" w:hAnsi="arial" w:cs="arial"/>
          <w:color w:val="000000"/>
          <w:sz w:val="20"/>
          <w:lang w:val="en-US" w:eastAsia="en-US" w:bidi="ar-SA"/>
        </w:rPr>
        <w:t xml:space="preserve"> at para. 159, aff'd </w:t>
      </w:r>
      <w:hyperlink r:id="rId68" w:history="1">
        <w:r>
          <w:rPr>
            <w:rFonts w:ascii="arial" w:eastAsia="arial" w:hAnsi="arial" w:cs="arial"/>
            <w:i/>
            <w:color w:val="0077CC"/>
            <w:sz w:val="20"/>
            <w:u w:val="single"/>
            <w:shd w:val="clear" w:color="auto" w:fill="FFFFFF"/>
            <w:lang w:val="en-US" w:eastAsia="en-US" w:bidi="ar-SA"/>
          </w:rPr>
          <w:t>2018 BCCA 234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Comments on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defendants waged a full-scale attack on Mr. Brooks' credibility and the reliability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final submissions, defence counsel urged the Court to find that Mr. Brooks had fabricated aspects of his evidence. The defence alleges, primarily based on the clinical records, a multitude of omissions and inconsistencies in what Mr. Brooks reported to the various healthcare professionals. Their overarching submission is that Mr. Brooks is neither a credible nor reliable historian and that his reporting is "rife with inconsistencies, improbabilities and untruths".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According to his counsel, Mr. Brooks was a sincere witness who described significant post-accident changes in his physical and emotional health and functioning in a credible manner that was supported by the objective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assessment of Mr. Brooks' credibility and reliability is key in determining the causation of his injuries and the nature and severity of those injuries. This assessment is also critical to the weight to be given the various medical opinions because to varying degrees, they are predicated on Mr. Brooks' reporting of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factors to be considered when assessing credibility were summarized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70"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They include (at para. 186):</w:t>
      </w:r>
      <w:r>
        <w:rPr>
          <w:rFonts w:ascii="arial" w:eastAsia="arial" w:hAnsi="arial" w:cs="arial"/>
          <w:sz w:val="20"/>
          <w:lang w:val="en-US" w:eastAsia="en-US" w:bidi="ar-SA"/>
        </w:rPr>
        <w:cr/>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firmness of the witness' memory;</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witness to resist the influence of interest in modifying his or her recollection;</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witness' evidence harmonizes with independent evidence that has been accepted;</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witness changes his or her evidence during examination for discovery, direct examination and cross-examination, or is otherwise inconsistent in his or her recollections;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witness' evidence seems generally unreasonable, impossible, or unlikely;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witness's demeanour.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Ultimately, the court's assessment of the credibility of a witness' testimony turns on whether the evidence is in "harmony with the preponderance of the probabilities which a practical and informed person would readily recognize as reasonable in that place and in those conditions":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There is a distinction between credibility and reliability. Credibility relates to the willingness of a witness to speak the truth as he or she sincerely believes it to be. Reliability relates to the actual accuracy of the testimony of a witness: </w:t>
      </w:r>
      <w:r>
        <w:rPr>
          <w:rFonts w:ascii="arial" w:eastAsia="arial" w:hAnsi="arial" w:cs="arial"/>
          <w:i/>
          <w:color w:val="000000"/>
          <w:sz w:val="20"/>
          <w:lang w:val="en-US" w:eastAsia="en-US" w:bidi="ar-SA"/>
        </w:rPr>
        <w:t>R. v. Morissey</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(1995), 22 O.R. (3d) 514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 v. H.C.</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2009 ONCA 56</w:t>
        </w:r>
      </w:hyperlink>
      <w:r>
        <w:rPr>
          <w:rFonts w:ascii="arial" w:eastAsia="arial" w:hAnsi="arial" w:cs="arial"/>
          <w:color w:val="000000"/>
          <w:sz w:val="20"/>
          <w:lang w:val="en-US" w:eastAsia="en-US" w:bidi="ar-SA"/>
        </w:rPr>
        <w:t xml:space="preserve"> at para. 41; </w:t>
      </w:r>
      <w:r>
        <w:rPr>
          <w:rFonts w:ascii="arial" w:eastAsia="arial" w:hAnsi="arial" w:cs="arial"/>
          <w:i/>
          <w:color w:val="000000"/>
          <w:sz w:val="20"/>
          <w:lang w:val="en-US" w:eastAsia="en-US" w:bidi="ar-SA"/>
        </w:rPr>
        <w:t>Sull v. Pengelly</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2019 BCSC 575</w:t>
        </w:r>
      </w:hyperlink>
      <w:r>
        <w:rPr>
          <w:rFonts w:ascii="arial" w:eastAsia="arial" w:hAnsi="arial" w:cs="arial"/>
          <w:color w:val="000000"/>
          <w:sz w:val="20"/>
          <w:lang w:val="en-US" w:eastAsia="en-US" w:bidi="ar-SA"/>
        </w:rPr>
        <w:t xml:space="preserve"> at paras. 25-27. A witness may sincerely believe that he or she is telling the truth, but lack sufficient memory, perspective, cognitive ability or narrative capacity to give reliable testimony. Alternatively, a witness "may unconsciously indulge in the human tendency to reconstruct and distort history in a manner that favours a desired outcome: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Consistency may be a significant factor in assessing credibility. However, given the inherent frailty of memory, some inconsistency is to be expected. In some cases, an individual's memory may be stimulated by other evidence, which may prompt a witness to recall details of an event that he or she had seemingly forgotten: </w:t>
      </w:r>
      <w:r>
        <w:rPr>
          <w:rFonts w:ascii="arial" w:eastAsia="arial" w:hAnsi="arial" w:cs="arial"/>
          <w:i/>
          <w:color w:val="000000"/>
          <w:sz w:val="20"/>
          <w:lang w:val="en-US" w:eastAsia="en-US" w:bidi="ar-SA"/>
        </w:rPr>
        <w:t>Sateri (Shanghai) Management Limited v. Vinall</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2017 BCSC 491</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aff'd </w:t>
      </w:r>
      <w:hyperlink r:id="rId77"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Mr. Justice Smith provided instructive commentary on the evidentiary use of clinical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difficulty with statements in clinical records is that, because they are only a brief summary or paraphrase, there is no record of anything else that may have been said and which might in some way explain, expand upon or qualify a particular doctor's note. The plaintiff will usually have no specific recollection of what was said and, when shown the record on cross-examination, can rarely do more than agree that he or she must have said what the doctor wrote.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With respect to alleged inconsistencies in clinical records, Mr. Justice Smith went on to observe: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Further difficulties arise when a number of clinical records made over a lengthy period are being considered. Inconsistencies are almost inevitable because few people, when asked to describe their condition on numerous occasions, will use exactly the same words or emphasis each time. As Parrett J. said in </w:t>
      </w:r>
      <w:r>
        <w:rPr>
          <w:rFonts w:ascii="arial" w:eastAsia="arial" w:hAnsi="arial" w:cs="arial"/>
          <w:i/>
          <w:color w:val="000000"/>
          <w:sz w:val="20"/>
          <w:lang w:val="en-US" w:eastAsia="en-US" w:bidi="ar-SA"/>
        </w:rPr>
        <w:t>Burke-Pietramala v. Samad</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2004 BCSC 470</w:t>
        </w:r>
      </w:hyperlink>
      <w:r>
        <w:rPr>
          <w:rFonts w:ascii="arial" w:eastAsia="arial" w:hAnsi="arial" w:cs="arial"/>
          <w:color w:val="000000"/>
          <w:sz w:val="20"/>
          <w:lang w:val="en-US" w:eastAsia="en-US" w:bidi="ar-SA"/>
        </w:rPr>
        <w:t>, at paragraph 104: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reports are those of a layperson going through a traumatic and difficult time and one for which she is seeing little, if any, hope for improvement. Secondly, the histories are those recorded by different doctors who may well have had different perspectives and different perceptions of what is important. ... I find little surprising in the variations of the plaintiff's history in this case, particularly given the human tendency to reconsider, review and summarize history in light of new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While the content of a clinical record may be evidence for some purposes, the absence of a record is not, in itself, evidence of anything. For example, the absence of reference to a symptom in a doctor's notes of a particular visit cannot be the sole basis for any inference about the existence or non-existence of that symptom. At most, it indicates only that it was not the focus of discussion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will endeavour to outline some aspects of Mr. Brooks' evidence that were highlighted by the defence. While I accept that the credibility and reliability of his evidence must be scrutinized with care, at this point I do not propose to address each of the alleged deficiencies. In these Reasons, I address the other allegations in the context in which they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Aberra was Mr. Brooks' treating psychologist in California from December 2013 through 2014. In his initial visit on December 18, 2013, Dr. Aberra recorded in her clinical notes that, after mentioning that his wife had her own therapist, Mr. Brooks told her "he lies automatically for no reason" and "lies to make self look better and/or to avoid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At trial, Mr. Brooks explained that he made these statements in the context of his discussion with Dr. Aberra regarding his relationship with his wife. On review of the clinical records as a whole, it is clear that the focus of his 18 therapy sessions with Dr. Aberra was his marital issues. I accept that Mr. Brooks was referring solely to his wife when he made these statements to Dr. Aberra. I am fortified in my conclusion by the fact that later in the records, Dr. Aberra makes a specific reference to his wife and notes that Mr. Brooks "is not able to say the truth to her because she gets upset, offended and defensive". I am not persuaded that this admission, made in the context of a therapeutic relationship, diminishes the credibility of Mr. Brooks' evidence on the central issues at trial. In all the circumstances of the case, I have concluded that it would be unjust to make an adverse credibility finding in consequence of his statements to his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Brooks did not make an appointment to see his family doctor, Dr. Chodyra, about the injuries he says he sustained in the First Accident until March 2, 2013. He explained that, during his wife's initial appointment with Dr. Chodyra regarding the First Accident, they had informally discussed that he too had been involved in the accident. Mr. Brooks did not mention his injuries to Dr. Chodyra in the short, subsequent appointments he had with her for his allergy shots. Mr. Brooks' evidence was that in 2007, he had suffered whiplash injuries from a prior accident, which had subsequently resolved in short order. His evidence on this point was uncontroverted. Mr. Brooks went on to explain that he was expecting that his current injuries would follow the same clinical course and resolve on their own. When his injuries did not improve as he anticipated, he made an appointment with Dr. Chodyra in early March to specifically address what he described as his "whiplash" injury. While I found this aspect of his evidence troubling when considered in the context of the evidence as a whole, Mr. Brooks' explanation has the ring of truth. I cannot say that he acted unreasonably.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a similar vein, the defendants point out that when Mr. Brooks initiated visits to a physiotherapist in February 2013, he reported having six years of mid-back pain corresponding to when he had started a desk job. He was seeking an exercise program for strengthening those muscles. The defendants assert that since the records do not show that Mr. Brooks initially reported the accident to the physiotherapist, this demonstrates he was not injured or that he had recovered from the First Accident. I found this troubling but as with the preceding paragraph, it must be considered in the context of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goal on the initial physiotherapy visit in February was recorded as improving strength in "postural muscles" and was recorded as a private payment treatment. The physiotherapist treated Mr. Brooks' calves as well as his neck and back. I note that the clinical records of the physiotherapist's initial assessment of Mr. Brooks in February recorded a decreased range of motion in his neck in multiple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March 2013, the designation for the treatments was changed to ICBC. Mr. Brooks is recorded as indicating that his goal was to decrease his neck and thoracic pain that he had "been experiencing since the car accident". Thereafter, Mr. Brooks' neck and upper back issues were the main focus of the physiotherapy treatments. He went on to have 23 physiotherapy treatments from March 7 through to June 2013, specifically on his neck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British Columbia, Mr. Brooks says he underwent treatment on his neck and upper back (the Graston technique) that he found very painful. To the extent the defence disputes this, I find that it is more probable than not that the abbreviation "LS" in the physiotherapist records refer to the levator scapulae, a muscle that runs from the shoulder blade into the side of the neck, rather than the lumbar spine, as is alleged by defence counsel. Notably, the clinical records from the physical therapy Mr. Brooks attended in California in August 2013 note tightness to his "levator scap". The clinical records show that at some sessions, the therapist treated Mr. Brooks' levator scapulae with the Graston technique. I accept Ms. Vredenburg's evidence that in 2013, they attended physiotherapy treatments at the same time and were treated side-by-side. She observed that his physiotherapist applied the Graston technique on Mr. Brooks' upper back and shoulder blades.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defendants also point to Mr. Brooks' email to the ICBC adjuster on February 7, 2013, to show that whatever neck injury he had sustained in the First Accident had resolved by that point. In the email, Mr. Brooks stated: "I'm still seeing the chiropractor, as my back is still not back to where it was before the accident, but my neck is good". I am not persuaded, in the context of the evidence as a whole, that this shows that Mr. Brooks' neck had resolved. Mr. Brooks persuasively explained he was managing his neck symptoms with medication, but as time went on, he sought out further treatment, as he was not recovering as he had expected. This is supported by the subsequent clinical records that show that Mr. Brooks continued to report "whiplash" symptoms after February 7, 2013. Moreover, it supports a finding that Mr. Brooks had initially reported an injury to his neck to the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defendants also take issue with what they assert is the lack of objective evidence supporting Mr. Brooks'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[1983] B.C.J. No. 1490</w:t>
        </w:r>
      </w:hyperlink>
      <w:r>
        <w:rPr>
          <w:rFonts w:ascii="arial" w:eastAsia="arial" w:hAnsi="arial" w:cs="arial"/>
          <w:color w:val="000000"/>
          <w:sz w:val="20"/>
          <w:lang w:val="en-US" w:eastAsia="en-US" w:bidi="ar-SA"/>
        </w:rPr>
        <w:t xml:space="preserve"> (C.A.), the Court of Appeal clarified that "it is not the law that if a plaintiff cannot show objective evidence of continuing injury he cannot recover". Rather, the fundamental consideration in analyzing causation is whether the evidence as a whole establishes on a balance of probabilities that a plaintiff's injuries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Rabiee v. Rendleman</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2015 BCSC 595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Mattson v. Spady</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2019 BCSC 1144</w:t>
        </w:r>
      </w:hyperlink>
      <w:r>
        <w:rPr>
          <w:rFonts w:ascii="arial" w:eastAsia="arial" w:hAnsi="arial" w:cs="arial"/>
          <w:color w:val="000000"/>
          <w:sz w:val="20"/>
          <w:lang w:val="en-US" w:eastAsia="en-US" w:bidi="ar-SA"/>
        </w:rPr>
        <w:t xml:space="preserve"> at para. 108. That said, I am mindful that courts should exercise caution when assessing subjective evidence of injury: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 at para. 15, citing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at 399.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Counsel for Mr. Brooks points to some objective markers found in the clinical records that lend support to Mr. Brooks' testimony. In Dr. Chodyra's records on March 2, 2013, Dr. Chodyra found "near" normal range of motion in his neck, but also noted "sensation of tightness on lateral flexion". At the physiotherapy visit on February 20, 2013, the physiotherapist recorded a diminished neck range of motion. On March 7, 2013, the physiotherapist noted "left side limited flexion greater than rotation for cervical spine". To the extent Dr. Douwes contends that he tested range of motion throughout Mr. Brooks' treatments, his findings are inconsistent with those of Dr. Chodyra and the physiotherapist. I find their testing more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On March 8, 2013, Dr. Chodyra noted tender trigger points over Mr. Brooks' trapezius muscles and "pain with L neck rotations and bilateral lateral flexion".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California physical therapy records, dated August 12, 2013, after recording "signs and symptoms associated with whiplash associated disorder", also record Mr. Brooks with a decreased cervical range of motion. The physical therapist also noted tightness in the right upper trapezius and levator scapulae. The records indicate that the decreased cervical spine range of motion persisted through to September 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also accept Dr. Heran's uncontradicted evidence that many patients with a neck injury, although experiencing pain, do not have an impaired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defendants also point to an alleged inconsistency in Mr. Brooks' reporting regarding the onset of his neck symptoms. The clinical records of Dr. Ozgur dated September 16, 2013, themselves contain an internal inconsistency. On the first page of the records, under "Description of Symptoms", it notes that Mr. Brooks' symptoms started "a couple of weeks" after the First Accident. However, in the first paragraph on the same page of the same record, Mr. Brooks is noted as having reported neck pain that began "a few days" after the First Accident. Notably, Mr. Brooks reported that his head was turned to the left at the time of the impact. Counsel for the defendants also attempted to use statements recorded in the August 2013 Core Performance Physical Therapy records to highlight a similar inconsistency. In those records, it is recorded that the "pain gradually came on 2-4 weeks after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find that Mr. Brooks' contemporaneous report made four days following the First Accident, as found in Dr. Douwes' clinical records on January 9, 2013, is more reliable than the record of Mr. Brooks reporting an onset symptoms seven to eight months after the First Accident. On January 9, 2013, Mr. Brooks reported "sore neck and upper back since the accident". I accept Mr. Brooks' evidence that he experienced pain symptoms in the base of his neck immediately following the accident and developed pain and stiffness in his neck and upper back in the days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Brooks testified he took chiropractic treatments during the first weeks after his move to California but never sought reimbursement of these expenses because he misplaced the receipts. In the midst of a major move and a new job, I find it plausible that he would not have retained the receipts. I am not persuaded on the evidence on the whole that Mr. Brooks was fabricating his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defendants seek to impugn Mr. Brooks' credibility by pointing out that he falsely told Drs. Caillier, Rickards and Hirsch that he did not have a history of back and neck symptoms prior to the First Accident. This assertion is not entirely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First, in the appendix of Dr. Hirsch's report he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Brooks reported that prior to the subject motor vehicle accident he experienced episodic minor pain in his neck and discomfort in his mid back. With respect to these but particular symptoms, he reportedly saw chiropractor every two weeks at most "for maintenance". Mr. Brooks questioned whether his neck and mid back symptoms were caused by his sedentary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Dr. Caillier's report, she indicates that Mr. Brooks had sought treatment by a chiropractor since 2007 for neck and back symptoms "secondary to sustained posturing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To the extent Mr. Brooks may have indicated to Dr. Rickards that he did not have previous difficulties in his neck and upper back, Dr. Rickards observed that patients will often interpret such questions as asking whether, prior to the accident, they had experienced the same particular problems as they now presented with. In any case, Dr. Rickards' report indicates that he reviewed Dr. Douwes' clinical records in their entirety in formulating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defence also submits that Mr. Brooks' evidence is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defendants point out a notation in September 2014 in Dr. Darrington's records of short-term memory issues as well as a notation in August 2017 of issues with concentration and memory. With respect to any alleged memory impairment, I note for the most part, Mr. Brooks has apparently been able to reliably carry out his workplace responsibilities as a supervisor. He also has consistently reported the First Accident as the onset of neck symptoms to the various health professionals he has seen since 2013. Mr. Brooks candidly acknowledged that he continues to have issues with concentration and focus because of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Brooks had a tendency at times to over-dramatize some matters, such as his reaction to some of his physiotherapy treatments in 2013. While I accept that he found the treatments painful, I find it unlikely that he reacted as vociferously as he described them to the Court. During his testimony, Mr. Brooks occasionally struggled to maintain his concentration and remain focused. He candidly acknowledged at trial that he did not "remember every detail" over the five-and-a-half years since the First Accident. At times, he presented as frustrated and distressed over the circumstances in which he finds himself. While I approach his evidence with some measure of caution, I do not believe he reported pain and symptoms that did not exist or that he engaged in any deliberate attempts to mislead the Court. Overall, Mr. Brooks left the court with the impression that he was attempting to answer questions truthfully and accurately. Balancing the evidence as a whole, I am not persuaded that he deliberately or falsely exaggerated matters or embellished the extent of his injuries or the severity of his symptoms to advance his litigation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short, the thrust of Mr. Brooks' testimony is that, given his experience with a prior whiplash injury that had resolved without treatment, he initially believed the neck injury he sustained in the First Accident would resolve. He reported the First Accident to his chiropractor, started treatment, and had an informal discussion with his family doctor. He attempted to manage with chiropractic treatments, but when his condition did not improve, he decided to actively treat his injuries. He continued to see his doctor and sought physiotherapy and chiropractic treatments until he left Canada at the end of June 2013. He had still not improved when he left Canada. Once he arrived in California, and perhaps exacerbated by the move and the absence of regular physiotherapy treatment, he maintains that his condition deteriorated. He therefore sought out what he believed to be appropriate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the final analysis, despite the testimonial shortcomings, I conclude on the evidence as a whole that Mr. Brooks' overall credibility under oath on these key matters was not successfully impugned. While I find there were frailties and inconsistencies in his evidence, I am not persuaded they were particularly significant in the context of the evidence as a whole. Overall, his testimony accords with the preponderance of the probabilities a reasonable person would recognize in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Mr. Brooks'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this section I will set out my findings on Mr. Brooks' current condition, including an assessment of the severity of his persisting symptoms. I will address causation in the next section of these Reasons. I also note that since Mr. Brooks is not seeking any compensation for symptoms relating to his shoulder joints, I do not propose to address those symptoms. In any case, he acknowledged that since his shoulder surgeries, 75 to 80% of the symptoms in his shoulder joints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defendants' overarching submission is that Mr. Brooks is exaggerating the severity of his current complaints. According to defence counsel, much of Mr. Brooks' testimony is inconsistent with his prior statements and does not accord with "the preponderance of probabilities which a practical and informed person would readily recognize 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Mr. Brooks has seen a multitude of health care professionals and physicians in the more than five years since the First Accident. His reports to them of his history must be viewed through the lens of "the human tendency to reconsider, review and summarize history in light of new information": </w:t>
      </w:r>
      <w:r>
        <w:rPr>
          <w:rFonts w:ascii="arial" w:eastAsia="arial" w:hAnsi="arial" w:cs="arial"/>
          <w:i/>
          <w:color w:val="000000"/>
          <w:sz w:val="20"/>
          <w:lang w:val="en-US" w:eastAsia="en-US" w:bidi="ar-SA"/>
        </w:rPr>
        <w:t>Burke-Pietramala v. Samad</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2004 BCSC 470</w:t>
        </w:r>
      </w:hyperlink>
      <w:r>
        <w:rPr>
          <w:rFonts w:ascii="arial" w:eastAsia="arial" w:hAnsi="arial" w:cs="arial"/>
          <w:color w:val="000000"/>
          <w:sz w:val="20"/>
          <w:lang w:val="en-US" w:eastAsia="en-US" w:bidi="ar-SA"/>
        </w:rPr>
        <w:t xml:space="preserve"> at para. 104. In all the circumstances, it is not surprising that some variation can be found between Mr. Brooks' testimony and the entries in the voluminous clinical records, which purport to record his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This is a convenient place to note that since the First Accident, Mr. Brooks answered various medical questions regarding the level of his pain. As many courts have observed, pain is an inherently subjective phenomenon. The criteria used by individuals to numerically label the intensity of their pain is not standardized and its quantification is dependent on the descriptions they understand to correspond to each level: </w:t>
      </w:r>
      <w:r>
        <w:rPr>
          <w:rFonts w:ascii="arial" w:eastAsia="arial" w:hAnsi="arial" w:cs="arial"/>
          <w:i/>
          <w:color w:val="000000"/>
          <w:sz w:val="20"/>
          <w:lang w:val="en-US" w:eastAsia="en-US" w:bidi="ar-SA"/>
        </w:rPr>
        <w:t>Sooch v. Snell</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2012 BCSC 696</w:t>
        </w:r>
      </w:hyperlink>
      <w:r>
        <w:rPr>
          <w:rFonts w:ascii="arial" w:eastAsia="arial" w:hAnsi="arial" w:cs="arial"/>
          <w:color w:val="000000"/>
          <w:sz w:val="20"/>
          <w:lang w:val="en-US" w:eastAsia="en-US" w:bidi="ar-SA"/>
        </w:rPr>
        <w:t xml:space="preserve">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Ozgur's clinical records of September 16, 2013 record "2" as the degree of pain Mr. Brooks was experiencing at the time. I accept Mr. Brooks' evidence that was not his average pain. He understood it to be the level of pain he was experiencing at that particular time, on that particular day. There was no corresponding evidence on what Mr. Brooks understood the pain scale to be, his understanding of the description corresponding to Level 2 or what medication he had taken on that particular day. The documentary evidence does show that Mr. Brooks was taking three prescription medications (anti-inflammatory medication, muscle relaxant medication and Cymbalta) in this period of time. Notably, on the same clinical record under description of present symptoms it states: "constant pain muscle spasms and hard to do neck side bend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cross-examination, Mr. Brooks credibly asserted that if he had not been experiencing significant symptoms and a significant level of pain in his neck, he never would have consented to major surgery on his cervical spine. Overall, I find no significant discrepancy between his evidence at trial regarding his symptoms and the information he had previously communicated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Despite having undergone a spinal fusion, multiple treatments, ablations, injections and various therapies recommended by his doctors, as well as attending considerable physical therapy and exercise therapy, the preponderance of the evidence supports a finding that Mr. Brooks continues to suffer from chronic pain. It strikes me as improbable that he would have undergone these multiple treatments and procedures to build up his personal injury claim. Notably, none of the physicians who assessed Mr. Brooks, including the defendants' expert, Dr. Hirsch, have found any amplification of his symptoms or exaggerated pain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Brooks' primary complaint is persistent pain in his neck and left shoulder blade and spasms of his trapezius muscles. He credibly explained that, for the most part, he has adjusted to his "new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Balancing the evidence as a whole, I conclude that Mr. Brooks continues to regularly experience significant spasms in his trapezius muscles. He suffers from chronic pain that varies in intensity in his neck and shoulder girdle area, particularly his left shoulder blade. He experiences episodic exacerbations with certain movements of his neck and when undertaking certain activities such as lifting heavy items. He suffers from occasional sleep disturbances because of his discomfort. Mr. Brooks also experiences headaches every month or two, which are occasionally debilitating. I accept Dr. Caillier's opinion that they are cervicogenic headaches. Notably, each of Dr. Caillier, Dr. Hirsch and Dr. Rickards found diminished range of motion in Mr. Brooks' neck upon examination. Dr. Caillier noted tenderness to palpation and muscle spasm particularly involving the left-sided lateral fibres of the upper trapezius and rhomboid muscle spasm in the distal levator scapulae muscle.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accept Dr. Caillier's opinion that Mr. Brooks is restricted in activities that require sustained posturing or repetitive head and neck motions as well as heavier based or high impact activities. Although she assessed Mr. Brooks in late 2015, I am satisfied on the totality of the evidence that he continues to have these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Brooks continues to see Dr. Caringi, a pain management doctor. Although Mr. Brooks testified that he has taken various medications at various times, including gabapentin and oxycodone, the evidence was not well developed with respect to his current medication regime. Mr. Brooks continues to take oxycodone for his pain in his neck and shoulder blades, as needed. It is unclear how often he takes the oxycodone but he submits to regular drug testing to ensure that he is not abusing the narcotic. The evidence does not establish if he currently takes any other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Brooks also suffers from mildly reduced strength in his right arm and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Brooks continues to suffer from some discomfort in his jaw and teeth and avoids eating certain foods.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turn now to Mr. Brooks'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Brooks relies on Dr. Goldstein's report, which I referred to earlier in these Reasons. Dr. Goldstein diagnosed specific phobia relating to driving and the following psychiatric disorders: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Somatic Symptom Disorder</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Adjustment Disorder with mixed disturbance of emotion and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defence submits that Dr. Goldstein's report should be given no weight because of her "appalling lack of care" in taking Mr. Brooks' history. They also assert that, in light of the fact that limited clinical records were made available to her and the fact that she did not review the records of Mr. Brooks' treating therapists, the validity of her opinions are seriously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formulating her opinion, Dr. Goldstein relied, for the most part, on the history Mr. Brooks provided in their clinical interview. She admitted she took no psychiatric history despite being told by Mr. Vredenburg that prior to the First Accident, Mr. Brooks occasionally engaged in hair pulling when he was anxious. The most recent clinical records she was provided were those from April 2014. Further, Dr. Goldstein did not inquire as to whether Mr. Brooks was taking any medication for any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Since 2013, Mr. Brooks has been seeing a registered psychologist for counselling sessions in California. As I mentioned, he saw Dr. Aberra and then Dr. Darrington. Dr. Goldstein acknowledged that she did not request an opportunity to review the records of either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plain fact is that Dr. Goldstein did not review the clinical notes of either Dr. Aberra or Darrington. During her cross-examination, it emerged that she had not conducted a meaningful review of the clinical records she was provided. These considerations, when viewed cumulatively with the inadequate history she took from Mr. Brooks, lead me to conclude that her evidence lacks the sufficient degree of reliability to be of any real assistance to the court. In the result, I have accorded her opinion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That said, the preponderance of the evidence supports the finding that Mr. Brooks continues to suffer from bouts of irritability and increased anxiety. I accept that after the First Accident, Mr. Brooks suffered from moderate anxiety symptoms while driving and that he continues to suffer mild levels of anxiety while driving, depending on the circumstances. He is able to perform his job duties but his ability to concentrate has been negatively impacted.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Taking into account all of the expert opinion evidence, I have concluded that it is unlikely that Mr. Brooks will make a full recovery. There is a real and substantial possibility that he will undertake further treatments and develop better coping strategies to manage his neck and shoulder symptoms in order to experience some improvement with the intensity and frequency of those symptoms. However, I find it is more likely than not that his symptoms will persist indefinitely. The medical evidence establishes that he has an increased risk for developing progressive arthritic changes in the disc levels above and below the fusion site. I accept Dr. Caillier's opinion that he has an increased susceptibility to worsening of pain should he suffer future trauma to the neck, back and shoulder girdle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order to justify any compensation for his condition, Mr. Brooks must establish a causal connection between the defendant's unlawful acts and his current condition. Causation is a central issue in this case. Mr. Brooks submits that he has met the burden of proving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constellation of symptoms from which he now suffers, with the exception of his shoulder joint issues. The defence forcefully submits that Mr. Brooks has not discharged his burden.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Proposed Amendment to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Before turning to the analysis, it is necessary to first address the defendant's application to amend the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response to civil claim was filed October 19, 2016. The trial commenced on June 4, 2018. At trial, after the evidence was closed and during final submissions, the defence indicated that they were seeking an order to amend their response to civil claim to include a plea of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There was no suggestion that there should be any opportunity for re-opening the evidence in the case. Mr. Brooks opposed the amendment sought. I reserved my ruling on the amendment application and determined that my ruling would be included in these Reasons. My ruling is set out in the section that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defendants submit that if the Court accepts that Mr. Brooks' neck complaints attributable to the First Accident were subsisting at the date Dr. Ozgur recommended and performed the Neck Surgery, Dr. Ozgur's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recommending and conducting the surgery broke the chain of causation between the First Accident and Mr. Brooks' neck symptoms subsequent to the Neck Surgery. In short, the defendants now seek to allege that an intervening act broke the chain of causation such that the defendants should be partially relieved from paying damages to Mr. Brooks.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authorities establish that in a personal injury action,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plaintiff's medical treatment must be specifically pleaded: </w:t>
      </w:r>
      <w:r>
        <w:rPr>
          <w:rFonts w:ascii="arial" w:eastAsia="arial" w:hAnsi="arial" w:cs="arial"/>
          <w:i/>
          <w:color w:val="000000"/>
          <w:sz w:val="20"/>
          <w:lang w:val="en-US" w:eastAsia="en-US" w:bidi="ar-SA"/>
        </w:rPr>
        <w:t>Mercer et al. v. Gray</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[1941] 3 D.L.R. 564</w:t>
        </w:r>
      </w:hyperlink>
      <w:r>
        <w:rPr>
          <w:rFonts w:ascii="arial" w:eastAsia="arial" w:hAnsi="arial" w:cs="arial"/>
          <w:color w:val="000000"/>
          <w:sz w:val="20"/>
          <w:lang w:val="en-US" w:eastAsia="en-US" w:bidi="ar-SA"/>
        </w:rPr>
        <w:t>. The defendants therefore brought an application to amend their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defendants' proposed amendment to the response to civil claim reads as follows:</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alleged injury, loss, damage or expense was not caused by the said motor vehicle accident particularized in paragraph 4 of the Notice of Civil Claim, but is attributable to previous and/or subsequent accidents, injuries or condition involving or affecting the Plaintiff, or congenital defects and/or pre-existing injuries or conditions and the Defendants say further that the alleged collision did not aggravate any pre-existing injury or condition.</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say that the surgery performed to the Plaintiff's neck on or about December 19, 2013 (the "Surgery") was the result of a negligent misdiagnosis, and that the Surgery was unnecessary, inappropriate and negligent and operates as a novus actus interveniens that terminates any liability that may have existed on the part of the Defendants for physical or psychological injuries and any damages that may flow from such injuries</w:t>
      </w:r>
      <w:r>
        <w:rPr>
          <w:rFonts w:ascii="arial" w:eastAsia="arial" w:hAnsi="arial" w:cs="arial"/>
          <w:color w:val="000000"/>
          <w:sz w:val="20"/>
          <w:lang w:val="en-US" w:eastAsia="en-US" w:bidi="ar-SA"/>
        </w:rPr>
        <w: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say that the Plaintiff failed to use reasonable care in the selection of a competent neurosurgeon of good standing and repute, and unreasonably failed to seek a second opinion upon receiving a recommendation for surgery that was contrary to the facts known to the Plaintiff regarding his condition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Pursuant to Rule 6-1(1)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a pleading may be amended after the issuance of a notice of trial only with the leave of the court or by consent. Amendments should be allowed if they disclose a reasonable cause of action unless reason exists for their exclusion, such as undue prejudice. Unless actual prejudice can be demonstrated, amendments should be granted liberally in order to enable the determination of the real issues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jurisprudence is clear that amendments may be granted at any time, even after the close of evidence in trial: </w:t>
      </w:r>
      <w:r>
        <w:rPr>
          <w:rFonts w:ascii="arial" w:eastAsia="arial" w:hAnsi="arial" w:cs="arial"/>
          <w:i/>
          <w:color w:val="000000"/>
          <w:sz w:val="20"/>
          <w:lang w:val="en-US" w:eastAsia="en-US" w:bidi="ar-SA"/>
        </w:rPr>
        <w:t>Lam v. Chiu</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2012 BCSC 677</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Macdonald v. Macdonald Estate</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(1996), 21 B.C.L.R. (3d) 379</w:t>
        </w:r>
      </w:hyperlink>
      <w:r>
        <w:rPr>
          <w:rFonts w:ascii="arial" w:eastAsia="arial" w:hAnsi="arial" w:cs="arial"/>
          <w:color w:val="000000"/>
          <w:sz w:val="20"/>
          <w:lang w:val="en-US" w:eastAsia="en-US" w:bidi="ar-SA"/>
        </w:rPr>
        <w:t xml:space="preserve"> (S.C.) at para. 40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the Court provided an instructive distillation of the animating considerations: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amendment] inconsistent with the pleadings already filed on behalf of the party seeking the amendment;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inconsistent with evidence already tendered by that party and his witnesses at trial and on discovery;</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had been asked for at the outset of the trial, would it have changed the whole course of the trial;</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it be unfair to the opposite party;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necessary for the purpose of determining the real issues raised or depending upon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the final analysis, whether to allow an amendment is an exercise of judicial discretion. The discretion is not to be exercised arbitrarily and must be informed by the legal principles articulated in the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 analytical framework in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xml:space="preserve"> governs my determination on whether or not to grant the amendment. I will address each of the five factors in turn.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 Is the proposed amendment inconsistent with the pleadings already filed or the evidence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original response to civil claim provides as follows:</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alleged injury, loss, damage or expense was not caused by the said motor vehicle accident particularized in paragraph 4 of the Notice of Civil Claim, but is attributable to </w:t>
      </w:r>
      <w:r>
        <w:rPr>
          <w:rFonts w:ascii="arial" w:eastAsia="arial" w:hAnsi="arial" w:cs="arial"/>
          <w:color w:val="000000"/>
          <w:sz w:val="20"/>
          <w:u w:val="single"/>
          <w:lang w:val="en-US" w:eastAsia="en-US" w:bidi="ar-SA"/>
        </w:rPr>
        <w:t>previous and/or subsequent accidents, injuries or condition involving or affecting the Plaintiff, or congenital defects and/or pre-existing injuries or conditions</w:t>
      </w:r>
      <w:r>
        <w:rPr>
          <w:rFonts w:ascii="arial" w:eastAsia="arial" w:hAnsi="arial" w:cs="arial"/>
          <w:color w:val="000000"/>
          <w:sz w:val="20"/>
          <w:lang w:val="en-US" w:eastAsia="en-US" w:bidi="ar-SA"/>
        </w:rPr>
        <w:t xml:space="preserve"> and the Defendants say further that the alleged collision did not aggravate any pre-existing injury or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my view, the proposed amendment is not inconsistent with the existing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Furthermore, I cannot conclude that there is an obvious inconsistency between the amendment sought and the evidence tendered at trial. However, if the plea had existed prior to trial, there may have further evidence adduced material to the issue the defendants now propose to raise. Not all the facts necessary to prove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been adduced in evidence. I will address this further in the subsection that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Would the amendment have changed the whole course of the trial if sought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It bears emphasis that the underpinning of a successful plea of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is actionable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subject doctor: </w:t>
      </w:r>
      <w:r>
        <w:rPr>
          <w:rFonts w:ascii="arial" w:eastAsia="arial" w:hAnsi="arial" w:cs="arial"/>
          <w:i/>
          <w:color w:val="000000"/>
          <w:sz w:val="20"/>
          <w:lang w:val="en-US" w:eastAsia="en-US" w:bidi="ar-SA"/>
        </w:rPr>
        <w:t>David v. Toronto Transit Commission et 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Zaltz, Third Party</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(1976), 16 O.R. (2d) 248</w:t>
        </w:r>
      </w:hyperlink>
      <w:r>
        <w:rPr>
          <w:rFonts w:ascii="arial" w:eastAsia="arial" w:hAnsi="arial" w:cs="arial"/>
          <w:color w:val="000000"/>
          <w:sz w:val="20"/>
          <w:lang w:val="en-US" w:eastAsia="en-US" w:bidi="ar-SA"/>
        </w:rPr>
        <w:t xml:space="preserve">. It is well established that in order to meet the standard of care, a physician must exercise the reasonable degree of skill or ordinarily possessed by practitioners in similar communities in similar cases: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(1956), 5 D.L.R. (2d) 113</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evidence adduced at trial was based on the existing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If the plea had been advanced prior to trial, the trial may have been conducted differently, with potential different witnesses. There may have been different evidence elicited from those witnesses who did testify. Other evidence may have been called, such as evidence as to the standard of care that would apply to Dr. Ozgur in California. While Dr. Paquette spoke to the Canadian standards, he is not qualified to give any evidence regarding the standards in California. The circumstances in which it may be reasonably prudent for a neurosurgeon to recommend surgery may be very different in California than in British Columbia and Canada. In cross-examination, Dr. Heran, who completed some of his training in the USA, underscored that the medical system in the USA is very different than in Canada. It can reasonably be inferred from his evidence that the threshold for determining when neurosurgery is indicated could be very different in the USA. Moreover, there was no evidence regarding whether in California an error in the diagnosis of a jumped facet joint would constitute an error in professional judgment or would give rise to an actionable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Even if I were to permit the amendment and Dr. Ozgur was found negligent, the defendants would remain fully liable for any damages arising out of the First Accident that persisted beyond the Neck Surgery: </w:t>
      </w:r>
      <w:r>
        <w:rPr>
          <w:rFonts w:ascii="arial" w:eastAsia="arial" w:hAnsi="arial" w:cs="arial"/>
          <w:i/>
          <w:color w:val="000000"/>
          <w:sz w:val="20"/>
          <w:lang w:val="en-US" w:eastAsia="en-US" w:bidi="ar-SA"/>
        </w:rPr>
        <w:t>Dudek v. Li</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2000 BCCA 321</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Dudek</w:t>
      </w:r>
      <w:r>
        <w:rPr>
          <w:rFonts w:ascii="arial" w:eastAsia="arial" w:hAnsi="arial" w:cs="arial"/>
          <w:color w:val="000000"/>
          <w:sz w:val="20"/>
          <w:lang w:val="en-US" w:eastAsia="en-US" w:bidi="ar-SA"/>
        </w:rPr>
        <w:t xml:space="preserve">]. If the pleading had existed prior to trial, there may have been more fulsome evidence, and in particular, expert medical evidence, directed at the question of what, if any, damages Mr. Brooks sustained as a result of the Neck Surgery and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Ozgur (other than the cost of the surgery itself) as distinct from the damages he allegedly sustained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In sum, if the concept of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had been raised in the pleadings prior to trial, there is a reasonable likelihood that the course of the trial would have changed in a significant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As to the second paragraph of amendment sought, if it had been pleaded prior to trial, Mr. Brooks may well have called evidence as to Dr. Ozgur's standing and reputation and likely would have elaborated on his process and criteria in selecting Dr. Ozgur.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Would the trial be unfair to the opposite party if the amendment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The application to amend the response to civil claim was brought late in the trial. The timeliness of the request is an important factor. This is a complex claim that Mr. Brooks prosecuted based on the pleadings as they existed prior to trial. To permit the amendment sought by the defendants would clearly result in prejudice to Mr. Brooks. In my view, he would not have been afforded the proper opportunity to meet the case of the alleged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Ozgur. This prejudice cannot be satisfactorily cured at this stage of the proceeding by a costs order or otherwise.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(iv) Is the amendment necessary so the Court can determine the real issues before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If the amendment sought by the defendants is granted, the defendants would then be in a position to argue that Dr. Ozgur's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broke the chain of causation so that they are partially relieved from compensating Mr. Brooks for all of the damage he suffered. Importantly, however, even if the amendment is not granted, Mr. Brooks must nonetheless prove causation. Mr. Brooks must prove that but for the defendants' tortious act, he would not have suffered the loss he did. In my view, this is a principal issue in the case regardless of whether or not the amendment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considering whether or not to grant the application, I must balance the competing interest of the parties and weigh the relative prejudice that may be visited upon them in either granting or denying the application for the amendment. I must determine where the greater prejudice falls and balance that tension with the goal of conducting a fair trial so that justice can be done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In weighing the relative prejudice to the parties, I have concluded that the greater prejudice falls to Mr. Brooks in not having a fair opportunity to meet the allegations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Ozgur as well as meeting the allegation that Dr. Ozgur was not of "good standing and repute". That prejudice militates against permitting the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All things considered and applying the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xml:space="preserve"> factors, I am not persuaded that it is in the interests of justice to permit the amendment sought. The application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 -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parties' dispute engages a number of well-settled principles of tort law regarding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In order for Mr. Brooks to recover damages there must be a causal link between the First Accident and his injuries. He must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causative, both in fact and law of the damage he sustained: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at para. 316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Whether a defendant is liable to a plaintiff for an injury is a matter of causation. The amount of compensation the defendant must pay is a matter of assessment of damages. It is important to keep in mind the analytical distinction between determining causation and assessing damages, since different principles govern the two questions: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xml:space="preserve"> at paras. 35-36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Chief Justice McLachlin provided an instructive distillation of the principles that inform the analysis of causation in tort and those pertinent to the 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The "thin skull" and "crumbling skull" doctrines relate to the assessment of damages in tort. The animating principles were reviewed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 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reviewed the principles articulated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clarified that a defendant need not prove on a balance of probabilities that a plaintiff's pre-existing condition would have actually caused a loss. If the evidence demonstrates a "measurable risk" or "realistic chance" that the plaintiff's pre-existing condition would have resulted in a loss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damages should be reduced accordingly. The contingency should be given weight according to its relative likelihood: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xml:space="preserve"> at paras. 322-325.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will return to the principles that govern the assessment of damages later in these Reasons in the section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primary test to be applied in determining causation is commonly articulated as the "but for" test. The plaintiff bears the burden of showing that "but for" the negligent act or omission of the defendant, the plaintiff's injury would not have occurred. The "but for" test is not to be applied too rigidly and need not be determined with scientific precision. Rather, causation is a practical question of fact which can be best answered through the application of ordinary common sense: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When assessing medical evidence, the court must be mindful that in the legal context, the "but for" test need only be established on a balance of probabilities; a plaintiff must show that it is more likely than not that, without the tort, the injury or medical condition would not have occurred. In contrast, medical experts often endeavour to apply a far more rigorous causation standard that approximates the threshold of scientific certainty: </w:t>
      </w:r>
      <w:r>
        <w:rPr>
          <w:rFonts w:ascii="arial" w:eastAsia="arial" w:hAnsi="arial" w:cs="arial"/>
          <w:i/>
          <w:color w:val="000000"/>
          <w:sz w:val="20"/>
          <w:lang w:val="en-US" w:eastAsia="en-US" w:bidi="ar-SA"/>
        </w:rPr>
        <w:t>Midgley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Nguyen</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 172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Woelders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Gaudette</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2016 BCSC 1066</w:t>
        </w:r>
      </w:hyperlink>
      <w:r>
        <w:rPr>
          <w:rFonts w:ascii="arial" w:eastAsia="arial" w:hAnsi="arial" w:cs="arial"/>
          <w:color w:val="000000"/>
          <w:sz w:val="20"/>
          <w:lang w:val="en-US" w:eastAsia="en-US" w:bidi="ar-SA"/>
        </w:rPr>
        <w:t xml:space="preserve"> at para. 116 [</w:t>
      </w:r>
      <w:r>
        <w:rPr>
          <w:rFonts w:ascii="arial" w:eastAsia="arial" w:hAnsi="arial" w:cs="arial"/>
          <w:i/>
          <w:color w:val="000000"/>
          <w:sz w:val="20"/>
          <w:lang w:val="en-US" w:eastAsia="en-US" w:bidi="ar-SA"/>
        </w:rPr>
        <w:t>Woelders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at paras. 145-146, var'd on other grounds, </w:t>
      </w:r>
      <w:hyperlink r:id="rId100"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provides the following instructive caution regarding the assessment of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Because the "but for" test is to be proved on a balance of probabilities, rather than a standard of scientific certainty, great care must be had in assessing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[145] In determining causation in the legal context, courts must be mindful to assess the import and substance of the expert opinion evidence, and to be cautious about the wording used by the experts so as to not unduly discount or over-weigh the expert's choice of language when describing medical causation. </w:t>
      </w:r>
      <w:r>
        <w:rPr>
          <w:rFonts w:ascii="arial" w:eastAsia="arial" w:hAnsi="arial" w:cs="arial"/>
          <w:color w:val="000000"/>
          <w:sz w:val="20"/>
          <w:u w:val="single"/>
          <w:lang w:val="en-US" w:eastAsia="en-US" w:bidi="ar-SA"/>
        </w:rPr>
        <w:t>Ultimately causation is a question for the court, taking into account the evidence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[146] It is important for the court to keep in mind that all that is required to determine these complex medical issues in the context of causation is for the plaintiff to prove what is more likely than not. This is what is meant by the "but for" test: it is more likely than not, that without the tort, the injury or medical condition would not have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It follows that for purposes of causation, the "but for" test does not require the court to accept or find a particular medical diagnosis: </w:t>
      </w:r>
      <w:r>
        <w:rPr>
          <w:rFonts w:ascii="arial" w:eastAsia="arial" w:hAnsi="arial" w:cs="arial"/>
          <w:i/>
          <w:color w:val="000000"/>
          <w:sz w:val="20"/>
          <w:lang w:val="en-US" w:eastAsia="en-US" w:bidi="ar-SA"/>
        </w:rPr>
        <w:t>Scott v. Erickson</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2009 BCSC 1298</w:t>
        </w:r>
      </w:hyperlink>
      <w:r>
        <w:rPr>
          <w:rFonts w:ascii="arial" w:eastAsia="arial" w:hAnsi="arial" w:cs="arial"/>
          <w:color w:val="000000"/>
          <w:sz w:val="20"/>
          <w:lang w:val="en-US" w:eastAsia="en-US" w:bidi="ar-SA"/>
        </w:rPr>
        <w:t xml:space="preserve"> at para. 69; </w:t>
      </w:r>
      <w:r>
        <w:rPr>
          <w:rFonts w:ascii="arial" w:eastAsia="arial" w:hAnsi="arial" w:cs="arial"/>
          <w:i/>
          <w:color w:val="000000"/>
          <w:sz w:val="20"/>
          <w:lang w:val="en-US" w:eastAsia="en-US" w:bidi="ar-SA"/>
        </w:rPr>
        <w:t>Woelders</w:t>
      </w:r>
      <w:r>
        <w:rPr>
          <w:rFonts w:ascii="arial" w:eastAsia="arial" w:hAnsi="arial" w:cs="arial"/>
          <w:color w:val="000000"/>
          <w:sz w:val="20"/>
          <w:lang w:val="en-US" w:eastAsia="en-US" w:bidi="ar-SA"/>
        </w:rPr>
        <w:t xml:space="preserve"> at para. 116. The Supreme Court of Canada in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endorsed the notion that claimants alleging physical injury are not required to show that their condition carries a certain classificatory label or a medically recognized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A plaintiff need not establish that a defendant's tortious conduct is the sole cause of the injury. As long as the plaintiff establishes a substantial connection between the injuries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a defendant will be fully liable for the harm suffered, even if other causal factors, for which the defendant is not responsible, were at play in producing the harm. Put another way and to the same effect, apportionment does not lie between tortious causes and non-tortious causes of injury or loss. The law does not excuse the defendant from liability merely because causal factors for which he or she is not responsible also helped to produce the harm: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paras. 9 and 11;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The court must be cautious when inferring causation from a temporal sequence; that is, from a consideration of pre-accident versus post-accident condition. In cases where causation is asserted primarily on a temporal relationship between the negligent conduct and injury in question, the authorities mandate that a "close scrutiny of the evidence is required because the inference from a temporal sequence to a causal connection is not always reliable":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xml:space="preserve"> at para. 130; see also: </w:t>
      </w:r>
      <w:r>
        <w:rPr>
          <w:rFonts w:ascii="arial" w:eastAsia="arial" w:hAnsi="arial" w:cs="arial"/>
          <w:i/>
          <w:color w:val="000000"/>
          <w:sz w:val="20"/>
          <w:lang w:val="en-US" w:eastAsia="en-US" w:bidi="ar-SA"/>
        </w:rPr>
        <w:t>Madill v. Sithivong</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2012 BCCA 62</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 However, the authorities recognise that temporal reasoning is not an illegitimate analysis if invoked in the appropriate circumstances: </w:t>
      </w:r>
      <w:r>
        <w:rPr>
          <w:rFonts w:ascii="arial" w:eastAsia="arial" w:hAnsi="arial" w:cs="arial"/>
          <w:i/>
          <w:color w:val="000000"/>
          <w:sz w:val="20"/>
          <w:lang w:val="en-US" w:eastAsia="en-US" w:bidi="ar-SA"/>
        </w:rPr>
        <w:t>Erickson v. Sibble</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2012 BCSC 1880</w:t>
        </w:r>
      </w:hyperlink>
      <w:r>
        <w:rPr>
          <w:rFonts w:ascii="arial" w:eastAsia="arial" w:hAnsi="arial" w:cs="arial"/>
          <w:color w:val="000000"/>
          <w:sz w:val="20"/>
          <w:lang w:val="en-US" w:eastAsia="en-US" w:bidi="ar-SA"/>
        </w:rPr>
        <w:t xml:space="preserve"> at para. 223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In light of the fact that Mr. Brooks was involved in three accidents, the issue arises as to whether the injuries he sustained are divisible or indivisible as between the accidents. Divisible injuries are those capable of being separated out and having their damages assessed independently. Indivisible injuries are those that cannot be separated such that division is neither possible nor appropriate: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22-25.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Chappell v. Loyie</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2016 BCSC 1722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Chappell</w:t>
      </w:r>
      <w:r>
        <w:rPr>
          <w:rFonts w:ascii="arial" w:eastAsia="arial" w:hAnsi="arial" w:cs="arial"/>
          <w:color w:val="000000"/>
          <w:sz w:val="20"/>
          <w:lang w:val="en-US" w:eastAsia="en-US" w:bidi="ar-SA"/>
        </w:rPr>
        <w:t>], Madam Justice Fisher (when she was a member of this Court) summarized the legal concepts of divisible and indivisible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In short, the essential purpose of tort law is to restore the plaintiff to the position 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It is not permissible to apportion liability between tortious and non-tortious causes, as the plaintiff would not be adequately compensated. However, where there are multiple causes of a plaintiff's injuries, the key factual question is whether the injuries are divisible or indivisible. Divisible injuries are those that can be separated so that their damages can be assessed independently. Indivisible injuries are those that cannot be separated: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If the injury is divisible, a plaintiff can recover from the defendant only the damages attributable to the injury caused or contributed to by that defendant. If the injury is indivisible, a plaintiff can recover from the defendant 100% of the damages attributable to the injury caused or contributed to by that defendant regardless of the contribution to the injury by others: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B.P.B. v. M.M.B.</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2009 BCCA 365</w:t>
        </w:r>
      </w:hyperlink>
      <w:r>
        <w:rPr>
          <w:rFonts w:ascii="arial" w:eastAsia="arial" w:hAnsi="arial" w:cs="arial"/>
          <w:color w:val="000000"/>
          <w:sz w:val="20"/>
          <w:lang w:val="en-US" w:eastAsia="en-US" w:bidi="ar-SA"/>
        </w:rPr>
        <w:t xml:space="preserve"> at para. 33; see also </w:t>
      </w:r>
      <w:r>
        <w:rPr>
          <w:rFonts w:ascii="arial" w:eastAsia="arial" w:hAnsi="arial" w:cs="arial"/>
          <w:i/>
          <w:color w:val="000000"/>
          <w:sz w:val="20"/>
          <w:lang w:val="en-US" w:eastAsia="en-US" w:bidi="ar-SA"/>
        </w:rPr>
        <w:t>E.D.G. v. Hammer</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xml:space="preserve"> at paras. 29-33.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37, the Court of Appeal also clarified that "indivisibility" and aggravation of a pre-existing injury are not qualitatively different: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We are also unable to accept the appellant's submission that "aggravation" and "indivisibility" are qualitatively different, and require different legal approaches. If a trial judge finds on the facts of a particular case that subsequent tortious action has merged with prior tortious action to create an injury that is not attributable to one particular tortfeasor, then a finding of indivisibility is inevitable. That one tort made worse what another tort created does not automatically implicate a thin or crumbling skull approach (as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if the injuries cannot be distinguished from one another on the facts. Those doctrines deal with finding the plaintiff's original position, not with apportioning liability. The first accident remains a cause of the entire indivisible injury suffered by the plaintiff under the "but for" approach to causation endorsed by the Supreme Court of Canada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As noted by McLachlin C.J.C. in that case, showing that there are multiple causes for an injury will not excuse any particular tortfeasor found to have caused an injury on a "but-for" test, as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(at para. 19). It may be that in some cases, earlier injury and later injury to the same region of the body are divisible. While it will lie for the trial judge to decide in the circumstances of each case, it is difficult to see how the worsening of a single injury could be divided up</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At the causation stage of the analysis, the characterization of injury or injuries as divisible or indivisible is relevant to determining what the defendant is liable for. In assessing damages, the divisible/indivisible characterization is relevant to the question of the amount of compensation the defendant must pay to the plaintiff: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xml:space="preserve"> at paras. 37 and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underscored that indivisible injuries, whether occasioned by a combination of non-tortious and tortious causes, or solely by tortious ones, result in joint liability to the plaintiff. The Court of Appeal went to state, at para. 34, that the tortfeasors' right to seek contribution and indemnity from each other and the ultimate apportionment as between themselves "is a matter of indifference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Mr. Brooks' overarching submission is that his medical problems were occasioned by a combination of both non-tortious (the Neck Surgery) and tortious causes (the First and Second Accidents). His counsel underscores that it is not necessary for Mr. Brooks to establish that the First Accident was the sole cause of his injuries and related losses. It is sufficient for the defendants to be liable if the First Accident is part of the cause of Mr. Brooks' injuries. If so, the defendants are liable for the entire amount of his loss, excepting only those items that can be specifically allocated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Mr. Brooks submits that he was more susceptible to sustaining an injury to his neck due to his congenital abnormality and that this renders him a "thin skull" plaintiff. He contends that the combined effect of his neck position on impact and his congenital neck issues caused injuries beyond that which might ordinarily be expected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defendants counter with the submission that the condition of Mr. Brooks' neck and upper back when he consulted Dr. Park in August 2013 was the result of an aggravation of his longstanding neck and back complaints and was not related to the First Accident. They assert that Mr. Brooks has failed to prove that he sustained any injury in the First Accident and, in the alternative, if he did sustain an injury, it had resolved by the time he moved to California. They contend that by June 2013, he had returned to "his pre-accident baseline of chronic neck and back complaints" and that his pre-accident condition was exacerbated by the move, stress, poor ergonomics at work and a lack of physical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In addressing the defendants' submissions, first I observe that there is no legal principle that holds that in a low impact collision or a collision that results in no significant damage to a motor vehicle, the individual seated within that vehicle at the time of the impact cannot have sustained injuries. The authorities clearly establish that, while the severity of the impact may be a relevant consideration, the extent of the injuries suffered by a plaintiff is not to be measured by the severity of the force in a collision or the degree of the vehicle's damage. Rather, the existence and extent of a plaintiff's injuries is to be determined on the basis of the evidentiary record at trial: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Greenway-Brown v. MacKenzie</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2019 BCCA 137</w:t>
        </w:r>
      </w:hyperlink>
      <w:r>
        <w:rPr>
          <w:rFonts w:ascii="arial" w:eastAsia="arial" w:hAnsi="arial" w:cs="arial"/>
          <w:color w:val="000000"/>
          <w:sz w:val="20"/>
          <w:lang w:val="en-US" w:eastAsia="en-US" w:bidi="ar-SA"/>
        </w:rPr>
        <w:t xml:space="preserve"> at para. 27, the Court of Appeal recently affirmed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presence and extent of injuries are to be determined on the basis of evidence" without reference to assumptions about the relationship between vehicle damage and impact, and personal injury.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As I set out earlier, I accept that Mr. Brooks' head was turned to the left at the time of impact. I also accept that as far as he was concerned, the collision was jarring, the base of his head hurt immediately following the collision and over the following days, he developed pain and stiffness in his neck, upper back and shoulder girdle. This is consistent with what he reported to Dr. Douwes on January 9, 2013. The evidence also shows that prior to February 7, 2013, Mr. Brooks had reported neck symptoms to the ICBC adjuster. I accept that in the weeks following the First Accident, Mr. Brooks experienced what he described as "whiplash feeling" of stiffness and pain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Rickards explained to the Court that the medical literature supports the notion that if the neck of a person injured in a low-impact collision is rotated at the time of injury, it can result in added injury. I accept his evidence on this point. The defence led no opinion evidence to support the assertion that the force of impact in the First Accident was incapable of producing the injury alleged by Mr. Brooks.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In their submissions, the defendants also relied on the trial decision in </w:t>
      </w:r>
      <w:r>
        <w:rPr>
          <w:rFonts w:ascii="arial" w:eastAsia="arial" w:hAnsi="arial" w:cs="arial"/>
          <w:i/>
          <w:color w:val="000000"/>
          <w:sz w:val="20"/>
          <w:lang w:val="en-US" w:eastAsia="en-US" w:bidi="ar-SA"/>
        </w:rPr>
        <w:t>Greenway-Brown v. Kyung</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2018 BCSC 287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Greenway</w:t>
      </w:r>
      <w:r>
        <w:rPr>
          <w:rFonts w:ascii="arial" w:eastAsia="arial" w:hAnsi="arial" w:cs="arial"/>
          <w:color w:val="000000"/>
          <w:sz w:val="20"/>
          <w:lang w:val="en-US" w:eastAsia="en-US" w:bidi="ar-SA"/>
        </w:rPr>
        <w:t xml:space="preserve">].The trial judge referred to the principles formulated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wherein the Supreme Court of Canada held that a plaintiff's psychiatric injury was too remote to permit recovery. The trial judge in </w:t>
      </w:r>
      <w:r>
        <w:rPr>
          <w:rFonts w:ascii="arial" w:eastAsia="arial" w:hAnsi="arial" w:cs="arial"/>
          <w:i/>
          <w:color w:val="000000"/>
          <w:sz w:val="20"/>
          <w:lang w:val="en-US" w:eastAsia="en-US" w:bidi="ar-SA"/>
        </w:rPr>
        <w:t>Greenway</w:t>
      </w:r>
      <w:r>
        <w:rPr>
          <w:rFonts w:ascii="arial" w:eastAsia="arial" w:hAnsi="arial" w:cs="arial"/>
          <w:color w:val="000000"/>
          <w:sz w:val="20"/>
          <w:lang w:val="en-US" w:eastAsia="en-US" w:bidi="ar-SA"/>
        </w:rPr>
        <w:t xml:space="preserve"> reasoned that the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principles applied to claims for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While the decision in this matter was on reserve, the plaintiff's appeal of the trial decision in </w:t>
      </w:r>
      <w:r>
        <w:rPr>
          <w:rFonts w:ascii="arial" w:eastAsia="arial" w:hAnsi="arial" w:cs="arial"/>
          <w:i/>
          <w:color w:val="000000"/>
          <w:sz w:val="20"/>
          <w:lang w:val="en-US" w:eastAsia="en-US" w:bidi="ar-SA"/>
        </w:rPr>
        <w:t>Greenway</w:t>
      </w:r>
      <w:r>
        <w:rPr>
          <w:rFonts w:ascii="arial" w:eastAsia="arial" w:hAnsi="arial" w:cs="arial"/>
          <w:color w:val="000000"/>
          <w:sz w:val="20"/>
          <w:lang w:val="en-US" w:eastAsia="en-US" w:bidi="ar-SA"/>
        </w:rPr>
        <w:t xml:space="preserve"> was allowed. The Court of Appeal held that the trial judge erred in applying the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principles to physical injuries sustained in a motor vehicle accident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established. The Court of Appeal held that the principles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cannot be translated to a requirement that physical injury allegedly sustained by a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must be serious and prolonged to constitute injury that is legally compensable: at paras. 74-89. Further, the Court of Appeal clarified that, with respect to causation at law, it is reasonably foreseeable that a plaintiff in a minor motor vehicle accident can sustain physical injuries that lead to chronic pain and psychological issues: at paras. 90-94.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Balancing the evidence as a whole, I am satisfied that, although the damage sustained to his vehicle was minimal, Mr. Brooks sustained an injury to his neck and upper back in the First Accident. I will address his shoulder injury separately. I summarize my findings as follows: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stated earlier, Mr. Brook's head hurt at the base of his skull immediately following the First Accident and, over the next few days, he developed increasing stiffness and pain in his neck and upper back. To be clear, I reject the defence submission that Mr. Brooks' pain symptoms manifested two-to-four weeks after the First Accident. Such a finding does not accord with the weight of the evidence or the preponderance of the probabilities in this case.</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Brooks initially managed his symptoms with over-the-counter medication and chiropractic treatments.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his injury did not improve as he anticipated, Mr. Brooks consulted his family doctor. From March 2, 2013 to June 19, 2013, Mr. Brooks saw Dr. Chodyra five times regarding his injuries. She recommended physiotherapy treatments and prescribed anti-inflammatory and muscle relaxant medication. He underwent physiotherapy treatment for his injuries.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Mr. Brooks had regularly seen Dr. Douwes for chiropractic treatments for his work-related symptoms prior to the First Accident, the preponderance of the evidence I accept supports a finding that after the First Accident, Dr. Douwes treated a new and acute injury. Dr. Douwes confirmed that after the First Accident, Mr. Brooks' muscles in his neck and upper back were more sensitive on palpation during treatment. In his initial report to ICBC, Dr. Douwes diagnosed a Grade II neck / upper back muscle injury. He also noted pain on extension and flexion in the cervical and thoracic spine and palpatory tenderness in the cervical and thoracic spine. He also noted that Mr. Brooks previously had cervical and thoracic subluxations that "should have minimal impact on present injury". The frequency of Mr. Brooks' chiropractic treatments increased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short, I conclude that Mr. Brooks sustained an injury in the First Accident in spite of the fact that the collision caused minor damage to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the months following the First Accident, Mr. Brooks' symptoms fluctuated in intensity to some minor extent but, balancing the evidence as a whole, I am satisfied that his symptoms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Balancing the evidence as a whole, I also find that that the injuries Mr. Brooks sustained in the First Accident had not resolved by late June 2013, when he moved to California. He remained symptomatic from the injuries he sustained in the First Accident. This is a fundamental flaw that underpins the defendants' submissions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On several occasions up to and including June 2013, Mr. Brooks continued to complain of his accident-related symptoms to his doctor, his physiotherapist and his chiropractor. In making my findings, I have considered the following evidence:</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Brooks did not miss any days of work on account of his injuries.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June, before he left for California, Mr. Brooks went to see his family doctor, Dr. Chodyra, with ongoing neck, upper back and shoulder pain from the First Accident. She recommended continuing with a rehabilitation program and renewed his prescription medications. She diagnosed soft tissue injury.</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27, 2013, the physiotherapist who had been treating his cervical and thoracic spine injuries noted that Mr. Brooks would likely require additional physiotherapy after he completed the move.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Douwes notes in his chiropractic clinical records that on June 19, Mr. Brooks continued to report "sore neck from whiplash". In his discharge report dated June 26, 2013, Dr. Douwes also noted palpatory tenderness on examination of Mr. Brooks' cervical and thoracic spine.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Brooks underwent trigger point injections before he left for California that he did not find effective.</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Mr. Brooks' testimony that prior to the move, his whiplash injury was unresolved and that his symptoms were not improving. He was continuing to experience pain and stiffness in his neck,upper back, and shoulders. His activities were restricted on account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Although Mr. Brooks and his wife hired professional movers, I find it more likely than not that Mr. Brooks' symptoms arising from the neck and upper back injuries he sustained in the First Accident were exacerbated by driving to California, the stress and activities associated with the move and the absence of his regular physiotherapy sessions that he had been attending in B.C. On balance, I find that Mr. Brooks initially attempted to lift a few heavy boxes in California but found the lifting too painful. He developed shooting pains from his neck into his shoulders when he did any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Once his health benefits from his new employment became effective, Mr. Brooks arranged to see Dr. Park, a primary care physician in California, on August 3, 2013. Dr. Park prescribed three different types of medication, recommended physiotherapy and ordered imaging of his neck and upper back. It can reasonably be inferred that Mr. Brooks presented with fairly acute neck and upper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my analysis of causation, I have considered that prior to the First Accident, Mr. Brooks suffered from some neck and upper back symptoms. He had seen his chiropractor, Dr. Douwes, since 2007 for what he described as "maintenance treatments". Mr. Brooks attributed his prior chiropractic treatments to his poor posture and sedentary employment. While there were notations of treatments for "sore neck" in Dr. Douwes' records, many of his treatments were associated with his mid-back. Mr. Brooks generally found the treatments effective on a short-term basis. In February 2013, he initially sought out physiotherapy treatments with the objective of strengthening his postural muscles that would result in more long-term relief. I have not overlooked that in the summer of 2012 Mr. Brooks attended 10 physiotherapy sessions to treat mid-back, elbow and hand issues as well as issues with his calf muscles that he attributed to the postural problems associated with his sedentary employment. He credibly explained that he wanted to make use of his extended health benefits before moving to the USA and that he was seeking treatment that would be longer lasting than the relief his chiropractic treatments provided. I do not find the fact that in July 2012 he had an intramuscular stimulation ("IMS") treatment on his neck significant in the context of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Significantly, in my view, in the 18 appointments Mr. Brooks had with Dr. Chodyra, his family doctor from 2008 to until 2013, he never reported any neck or upper back complaints. Moreover, prior to the First Accident, any neck and upper back symptoms did not interfere with his lifestyle. I accept his evidence that his condition did not curtail his recreational pursuits or activities. He performed all his considerable household responsibilities without any difficulties. Prior to the First Accident, he had managed to move households twice without any difficulties. He enjoyed an intimate relationship with his wife. Furthermore, the evidence does not demonstrate that he ever took medication, over-the-counter or prescription, to alleviate any of his neck and back symptoms prior to the First Accident. Finally, I accept his evidence that his neck and back symptoms for which he sought chiropractic treatment prior to the First Accident were "more discomfort than pain" and not comparable to the more intense pain he experienced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Earlier in these Reasons, I set out the progression of Mr. Brooks' symptoms after the First Accident and the ways in which those symptoms impacted him. Balancing the medical and lay evidence as a whole, I find that it is more likely than not that after the First Accident, his neck and upper back symptoms were more intense and more persistent than before. The chiropractic treatments he underwent after the Accident were also less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defendants submit that the enquiry into causation is completely confounded by the absence of any opinion evidence prior to the advent of the Second Accident and the Surgery, such that it is impossible for any experts or the Court to conclude on a balance of probabilities that the symptoms of which the plaintiff has complained since the Second Accident and the Surgery are attributable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making this submission, it is my view that the defendants have, to some degree, misapprehended the causation principles of tort law that I discussed earlier in these Reasons. It is not necessary for Mr. Brooks to establish that the First Accident was the sole cause of his condition and related losses. At the causation stage of the analysis, the defendants are liable for all injuries caused or contributed to by their tortious conduct. There is no basis for a reduction of liability because of the existence of other contributing causes of an indivisible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Beyond Dr. Hirsch's general remarks that the symptoms Mr. Brooks experienced after the First Accident were similar to those he experienced prior to the accident, there was no cogent medical evidence regarding the predictable natural path of Mr. Brooks' pre-existing neck and upper back condition, had there been no First Accident. There was no evidence as of what age those symptoms might have worsened, how serious or disabling they may have become, or how rapidly they would have progressed. Although Dr. Caillier fairly acknowledged in cross-examination that lifting boxes and other activities could result in an aggravation of pre-existing neck and upper back symptoms, the medical evidence falls short of establishing that Mr. Brooks would have become as symptomatic as he did absent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Dr. Hirsch opined that Mr. Brooks had sustained minor soft tissue injury in the First Accident from which he had recovered in a few weeks and in the worst-case scenario by February 2013. It was also his opinion that Mr. Brooks did not sustain any significant structural damage to his neck in the First Accident. Dr. Hirsch's opinion is founded on his conclusion that the symptoms Mr. Brooks experienced after the First Accident were similar to those he experienced prior to the accident. However, as I stated earlier, the totality of the evidence I accept supports the finding that Mr. Brooks' post-accident condition was not the same as pre-accident. Moreover, I have also concluded that his injury from the First Accident had not resolved by February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Hirsch made no mention in the body of his opinion that Mr. Brooks had reported his injury to Dr. Douwes on January 9, 2013, or that the frequency of his chiropractor treatments increased after the First Accident. Nor did Dr. Hirsch address the fact or consider that Mr. Brooks continued to complain of symptoms relating to the First Accident well past February 2013. In his opinion, Dr. Hirsch points out that Mr. Brooks did not complain of neck pain when he was assessed by his physiotherapist in February 2013. However, the clinical assessment notes of the physiotherapist show a diagram of Mr. Brooks' neck and upper back with a corresponding notation of "achy/sore". When he prepared his report, Dr. Hirsch did not have the records of the physical therapist in California who treated Mr. Brooks in August 2013 and recorded reduced cervical range of motion and tightness in the right upper trapezius and levator scapulae.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When the appointments with his doctors, physiotherapist treatments and the objective findings of limited range of motion after February 2013 were pointed out to him in cross-examination, Dr. Hirsch offered that Mr. Brooks may not be exerting full effort in the range of motion testing. Overall, I did not find his explanation for Mr. Brooks' ongoing and significant symptoms after February 2013 to be persuasive. He strongly implied that because Mr. Brooks had not made an appointment to see Dr. Chodyra about his injury until March 2, 2013, he simply did not believe Mr. Brooks' pain complaints arose from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my view, the degree of skepticism Dr. Hirsch demonstrated in his testimony together with the aspects of his report I have outlined above, revealed a lack of the sufficient degree of objectivity expected of an expert witness. All things considered, I do not consider it safe for the Court to rely on Dr. Hirsch's opinion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other medical evidence adduced by the defence does not assist the defence and does not disprove the connection between the First Accident and Mr. Brooks' injuries. In fact, Dr. Paquette, a highly qualified neurosurgeon who was called by the defence, opined that Mr. Brooks likely sustained a soft tissue injury to his neck in the First Accident resulting in increased neck and back pain. I found Dr. Paquette to be objective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After opining that surgical treatment was not indicated for his injuries, Dr. Paquette went on to opine that Mr. Brooks' recovery from his soft tissue injury "did not have a chance to run its course" as "a subsequent accident and then surgical intervention have skewed his clinical outcome". In his testimony, he forthrightly acknowledged that Mr. Brooks was injured in the First Accident. He explained that he used the term "soft tissue injury" because the radiographic studies did not show any structural damage to his spine. The thrust of his opinion was that the recovery of that injury was interrupted by the Second Accident and the Surgery. Dr. Paquette also fairly acknowledged in cross-examination that it was possible that the First Accident rendered Mr. Brooks' congenital spinal abnormality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Dr. Heran, who is also a well-qualified neurosurgeon, was called by Mr. Brooks. I found Dr. Heran to be a careful and objective witness. It was clear from his testimony that he had conducted a very thorough review of Mr. Brooks' clinical records. He demonstrated an impressive recall of the details of these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Based on his review of the chiropractic records prior to the First Accident, he noted that although there were various references to "sore neck", the dominant source of his symptoms was his mid-back.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Dr. Heran diagnosed Mr. Brooks as having sustained myofascial injuries in the neck and upper back and as experiencing mechanical neck pain likely arising from structural spinal elements in the vicinity of the C5-C6 level. In formulating his opinion that surgery was a reasonable option, Dr. Heran opined that Mr. Brooks' injury arose as a consequence of the First Accident. He persuasively explained that Mr. Brooks' "grossly abnormal cervical spine" predisposed him to having a structural source of pain. He described it as a "big red flag". He also opined that the pain relief that Mr. Brooks experienced with the facet joint blocks and ablations is consistent with a mechanical source of pain arising from a neck and facet joint injury. He fairly acknowledged in cross-examination that there was no evidence in the imaging of any damage to Mr. Brooks' spine. He went on to explain that the majority of patients with facet joint trauma will have no imaging correlates.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To the extent the defence alleges that, prior to his move to California, Mr. Brooks' condition worsened in the first months following the First Accident, they have not suggested a plausible alternative traumatic event that would explain his symptomology. Dr. Heran explained in cross -examination that, in the absence of an additional traumatic event, the cause would likely be the progressive deterioration at the site of the original damage caused by the First Accident. Dr. Rickards also stated that symptoms will wax and wane when a patient has a facet joint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Dr. Caillier opined in her comprehensive report that in the First Accident Mr. Brooks sustained a soft tissue musculoligamentous injury involving his neck, upper back and posterior shoulder girdle regions. In her opinion, the First Accident rendered the congenital abnormalities at C5/6 in his spine symptomatic. Dr. Caillier opined that but for the First Accident, as well as aggravated by the Second Accident, Mr. Brooks would likely not have experienced the symptomatic complaints involving his neck, shoulder blades and upper back that he has. She assumed that, while his history of neck and upper back symptoms for which he sought chiropractic treatment increased his risk of developing pain as a result of a traumatic event, it did not limit or restrict his ability to engage in activities of his choosing. This assumption harmonizes with the preponderance of the evidence I accept and the preponderance of the probabilities in this case. She also acknowledged that Mr. Brooks' spinal congenital abnormality could have contributed to some of his symptoms prior to the First Accident, but she underscored that his symptoms after the First Accident were more constant and intense.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defendants seek to undermine Dr. Caillier's opinion, suggesting that her testimony reflected a significant element of advocacy. I do not see it that way. In cross-examination she conceded matters she may have inadvertently overlooked in her assessment. Overall, I found her to be sincere in her efforts to convey to the Court the complexity and nuance of accurately assessing and diagnosing patients who present with persistent pain and other symptoms. The fact that Mr. Brooks was involved in the Third Accident after Dr. Caillier's assessment does not undermine her opinion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Overall, in my view, neither Dr. Caillier's nor Dr. Heran's opinions on causation of Mr. Brook's neck and upper back condition were undermined in the face of a thorough cross-examination. I am also satisfied that the information regarding Mr. Brooks' symptoms relied on by Dr. Heran, Dr. Paquette and Dr. Caillier in formulating their opinions on causation harmonizes with the preponderance of the evidence I accept and the probabilities of this case: </w:t>
      </w:r>
      <w:r>
        <w:rPr>
          <w:rFonts w:ascii="arial" w:eastAsia="arial" w:hAnsi="arial" w:cs="arial"/>
          <w:i/>
          <w:color w:val="000000"/>
          <w:sz w:val="20"/>
          <w:lang w:val="en-US" w:eastAsia="en-US" w:bidi="ar-SA"/>
        </w:rPr>
        <w:t>Mazur v. Lucas</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2010 BCCA 473</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Dr. Rickards diagnosed Mr. Brooks with a probable cervical facet joint syndrome suggestive of irritation of the facet joints and opined that it was caused by the First Accident. He also opined that the clinical records suggest that there was a congenital anomaly at C5/6 with "a MVA related injury to the bony structure of C6".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When defence counsel put to Dr. Rickards in cross-examination that Mr. Brooks had attended five physiotherapy treatments in February 2013, prior to any treatments focusing on his accident-related back and neck complaints, Dr. Rickards stated that he would be unable to discern what symptoms were treated in the later physiotherapy sessions. In re-direct examination, Dr. Rickards clarified that Mr. Brooks could have two separate issues, in the sense that he could have initially seen the physiotherapist for work-related mid-back complaints, and then in the later visits focused on neck and upper back pain associated with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Balancing the evidence as a whole, I do not accept the defence's position that there is an absence of a causative link between the First Accident and Mr. Brooks' subsequent symptoms. I am satisfied on a balance of probabilities that the injuries Mr. Brooks sustained in the First Accident had not resolved by February 2013 or, for that matter, by the time he first saw Dr. Park in early August 2013 or Dr. Ozgur in September 2013. He continued to suffer from symptoms from the injuries he had sustained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 recognize the dangers inherent in applying temporal reasoning in determining causation. However, when the timeline of the pertinent events is scrutinized in the context of the totality of the evidence, the inference of causation is compelling.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Ultimately, causation is a question for the Court taking into account all of the evidence. It bears emphasis that the Court need not be satisfied that there was causation on the basis of scientific precision or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For the reasons already expressed, I place little weight on Dr. Hirsch's opinion on causation. Based upon the other medical evidence in conjunction with the other evidence I accept, I conclude that in the First Accident, Mr. Brooks sustained an injury to his neck and upper back which caused him to experience persistent pain symptoms. It is not necessary, from a legal perspective, for the Court to determine a medical diagnosis, precise description or label for the spine injury he sustained. It does not matter for the Court's purposes whether the First Accident caused myofascial or musculoligamentous injury or structural damage to the spinal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In summary on this issue, I have concluded that Mr. Brooks has met the "but for" test mandated in the authorities. I am satisfied that it is more likely than not that he sustained an injury to his neck and upper back in the First Accident. Mr. Brooks' constellation of symptoms in these areas and the associated chronic pain, headaches and disturbed sleep would not have manifested themselves as they did but for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I also find that the weight of the evidence that I accept supports a finding that Mr. Brooks sustained an injury to his shoulder blades and the intrascapular region in the First Accident that I will refer to as the shoulder girdle. I am satisfied there is a substantial connection between his shoulder blade injury and the First Accident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a standard form pain questionnaire that Mr. Brooks filled out in 2014, wherein he listed muscle pain, neck pain and joint stiffness as issues, he listed his chief complaint as shoulder pain. In the pain diagram he completed, he indicated pain in the top and front of his shoulders and his shoulder blades. As I stated, Mr. Brooks in this proceeding is not asserting that the First Accident caused any issues with the shoulder joints. He attributes his shoulder joint issues to the Second Accident. The defendants made much of the fact that in the questionnaire Mr. Brooks indicates that the pain in his shoulder started as of the date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In cross-examination, Mr. Brooks credibly explained that he had experienced pain in his shoulder blades following the First Accident. This is supported by his physiotherapy records in 2013, which showed treatment in the rhomboid and levator scapulae muscles that attach to the shoulder blade. These are the treatments he found painful. Furthermore, Dr. Chodyra's clinical notes record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2, 2013 - TTP over posterior shoulders supraspinatus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March 8, 2013 - TTP over trapezius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Supraspinatus and trapezius muscles also attach to the shoulder blade.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 also note that in her cross-examination Dr. Caillier did not resile from her opinion that the First Accident contributed to Mr. Brooks' shoulder blade issues. She merely acknowledged that, based on the pain questionnaire, Mr. Brooks appeared to attribute the Second Accident as the main reason for his shoulder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In any case, I am satisfied on the totality of the evidence that it is more likely than not that Mr. Brooks sustained an injury to his shoulder girdle, including the intrascapular region, in the First Accident. The Second Accident likely also contributed to his shoulder blades' symptoms however, Mr. Brooks need not establish that the First Accident was the sole cause of the shoulder girdle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In order for Mr. Brooks to recover damages for his right sided C6 radiculopathy, which is nerve root compression or injury, he must establish a causal link with the First Accident. He must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causative, both in fact and law, of the damage he sustained. On the totality of the evidence, Mr. Brooks has not proved on a balance of probabilities the cause of his right sided C6 radiculopathy. The totality of the evidence, including the expert medical evidence, is insufficiently clear for me to come to a reliable conclusion as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As far as Mr. Brooks' jaw pain, in the absence of any pertinent clinical records pre-dating the First Accident and expert medical evidence on the point, I cannot conclude that Mr. Brooks has met the legal threshold for establishing that the First Accident caused him jaw and dental discomfort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Similarly, given my findings on Dr. Goldstein's report, I cannot conclude that Mr. Brooks has proved that the First Accident caused him to suffer a mental injury or that he currently suffers from a mental injury. While recognizing that recovery for a mental injury does not require proof of a recognizable psychiatric illness, Mr. Brooks has not proven that he suffers from PTSD, an adjustment disorder, or somatic symptom disorder: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at para. 2. However, I accept that the First Accident caused Mr. Brooks to suffer from anxiety relating to driving, and exacerbated his pre-existing anxiety symptoms; his distress also imposed additional stress on his marriage.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Neck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next step in the analysis is to consider the legal relevance of the Neck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Mr. Brooks contends that the defendants are liable for any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presence of the Neck Surgery as a non-tortious contributing cause does not reduce their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defendants counter with a submission that, should the Court find that Mr. Brooks continued to suffer the effects of the First Accident at the time of the Neck Surgery, the Neck Surgery resulted from a negligent misdiagnosis that breaks the chain of causation, such that the defendants are not responsible for any damages that allegedly flow from the Neck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The law is clear that if an injured plaintiff acts unreasonably, he cannot hold a defendant liable for injury caused by his own unreasonable conduct: </w:t>
      </w:r>
      <w:r>
        <w:rPr>
          <w:rFonts w:ascii="arial" w:eastAsia="arial" w:hAnsi="arial" w:cs="arial"/>
          <w:i/>
          <w:color w:val="000000"/>
          <w:sz w:val="20"/>
          <w:lang w:val="en-US" w:eastAsia="en-US" w:bidi="ar-SA"/>
        </w:rPr>
        <w:t>Dudek</w:t>
      </w:r>
      <w:r>
        <w:rPr>
          <w:rFonts w:ascii="arial" w:eastAsia="arial" w:hAnsi="arial" w:cs="arial"/>
          <w:color w:val="000000"/>
          <w:sz w:val="20"/>
          <w:lang w:val="en-US" w:eastAsia="en-US" w:bidi="ar-SA"/>
        </w:rPr>
        <w:t xml:space="preserve"> at paras. 11-13.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If a plaintiff in a personal injury action acts reasonably in seeking advice from a qualified doctor to treat his or her injuries and suffers loss or damage because of an error in medical treatment, the defendant tortfeasor remains responsible for any further loss or damage sustained. Put another way and to the same effect, any loss or damage sustained as a result of the error in the medical treatment is properly compensable. To the extent the defendants' submission requires consideration of foreseeability, I find that it is reasonably foreseeable that an injured person who seeks medical treatment may suffer loss or damage because of error in medical treatment: </w:t>
      </w:r>
      <w:r>
        <w:rPr>
          <w:rFonts w:ascii="arial" w:eastAsia="arial" w:hAnsi="arial" w:cs="arial"/>
          <w:i/>
          <w:color w:val="000000"/>
          <w:sz w:val="20"/>
          <w:lang w:val="en-US" w:eastAsia="en-US" w:bidi="ar-SA"/>
        </w:rPr>
        <w:t>Watson v. Grant</w:t>
      </w:r>
      <w:r>
        <w:rPr>
          <w:rFonts w:ascii="arial" w:eastAsia="arial" w:hAnsi="arial" w:cs="arial"/>
          <w:color w:val="000000"/>
          <w:sz w:val="20"/>
          <w:lang w:val="en-US" w:eastAsia="en-US" w:bidi="ar-SA"/>
        </w:rPr>
        <w:t xml:space="preserve">, (1970) 72 W.W.R. 665, </w:t>
      </w:r>
      <w:hyperlink r:id="rId118" w:history="1">
        <w:r>
          <w:rPr>
            <w:rFonts w:ascii="arial" w:eastAsia="arial" w:hAnsi="arial" w:cs="arial"/>
            <w:i/>
            <w:color w:val="0077CC"/>
            <w:sz w:val="20"/>
            <w:u w:val="single"/>
            <w:shd w:val="clear" w:color="auto" w:fill="FFFFFF"/>
            <w:lang w:val="en-US" w:eastAsia="en-US" w:bidi="ar-SA"/>
          </w:rPr>
          <w:t>[1970] B.C.J. No. 41</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Mercer et al. v. Gray</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[1941] O.R. 127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xml:space="preserve">  The authorities recognize an exception to this principle in those cases where the medical or surgical treatment is actionable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those cases,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must be pleaded and proved. Earlier in these Reasons, I dismissed the defendants' application to amend their pleadings to include a claim for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It follows that whether Dr. Ozgur erred in his diagnosis and recommendation for surgery is not determinative of the issue before the Court. On the pleadings, I need not decide whether Mr. Brooks would have been better served had he been treated conservatively without resort to surgery. For purposes of the analysis of causation, the essential question that arises is whether Mr. Brooks acted reasonably in consulting Dr. Ozgur and accepting his recommendation to proceed with spinal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In order to assess the reasonableness of Mr. Brooks' actions, it is necessary to consider the circumstances in which he found himself. When Mr. Brooks met with Dr. Park on August 20, 2013, Dr. Park informed him that the MRI report indicated a fracture at C5-C6. On Dr. Park's recommendation, Mr. Brooks had further imaging done; namely, a CT scan. Mr. Brooks then met with Dr. Park on September 4, 2013, who informed him that the radiologist report regarding the CT scan suggested that it was not a fracture but a congenital abnormality. I note that, although the experts in this case reviewed the scans themselves, the radiologist report of the CT scan is not, in itself, entirely clear-cut and refers to a fracture that "could be congenital". I accept Mr. Brooks' evidence that although Dr. Park told him to resume physiotherapy treatments, Dr. Park seemed unsure of matters. This is supported by Dr. Park's clinical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Congenital Abnormality?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Unlikely a FX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 also note that in Dr. Graeb's report, which was tendered by the defendants, he states that the diagnosis of cervical spondylolysis, which is generally considered to be developmental in origin, is commonly mistaken for a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Mr. Brooks persuasively explained that at the material time, he was experiencing a lot of pain and despite having undergone chiropractic and physiotherapy treatments and taken medication over several months, he found that his condition was not improving. Mr. Brooks also explained that he was confused about the conflicting imaging reports and the progression of his symptoms. He sent Dr. Chodyra a copy of the CT report and called her to discuss the matter. He accepted her recommendation that he should consult a neurosurgeon in California for a second opinion. In cross-examination, Dr. Paquette fairly acknowledged that it would be appropriate for a patient in Mr. Brooks' circumstances to seek a second opinion from a neurosurgeon. He acknowledged that many primary care physicians call his office seeking such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Insofar as the defendants contend that Mr. Brooks should have consulted Dr. Park, I am not persuaded that Mr. Brooks acted unreasonably in telephoning the family doctor with whom he had a history. He had only recently become Dr. Park's patient. In any case, his uncontroverted evidence was that because of health insurance considerations, a primary care physician, such as Dr. Park, does not generally make referrals to a particular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Mr. Brooks then proceeded to arrange for a consultation with a neurosurgeon who was "in-network" with his insurer. Mr. Brooks explained that pursuant to the terms of his health insurance, consulting an "in-network" physician would result in lower deductibles and out-of-pocket payments than consulting an "out-of-network"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 accept Mr. Brooks' evidence that after conducting considerable internet research, he made an appointment to see Dr. Ozgur, who was the head neurosurgeon at a hospital in California. Dr. Ozgur is clearly a qualified neurosurgeon with operating privileges at an operating facility in California. There is no evidence to suggest that he was not qualified to perform neurosurgery or that the hospital where he performed the surgery is not an accredited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All things considered, I find that Mr. Brooks acted reasonably in consulting Dr. Ozgur and accepting his recommendation to undergo surgery. In August 2013, he had been prescribed three pain medications and was attending physiotherapy treatments for his symptoms. Plainly, Mr. Brooks would not have undergone the Neck Surgery had he not been experiencing the symptoms that I have found were caused by the First Accident and undertaken investigations in California for those symptoms. In that way, the Neck Surgery flowed from and was caused by the First Accident. Therefore, I conclude that the chain of causation is not broken and the defendants remain liable for any losses suffered. Put another way and to the same effect, there is no basis to reduce the liability of the defendants for Mr. Brooks' condition because of the Neck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As I stated earlier in these Reasons, Mr. Brooks was involved in a further rear-end collision in California on December 2, 2013. There was minimal damage to his vehicle. Balancing the evidence as a whole, I find that it is more likely than not that the Second Accident aggravated his neck, upper back and shoulder girdle injuries. The probabilities of the case indicate that, in all likelihood, this exacerbation of his symptoms also adversely affected Mr. Brooks' mood and exacerbated his driving anxiety. The evidence establishes that the injuries flowing from the Second Accident merged with the residual injuries of the First Accident to create an injury that is not attributable to any one particular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In short, I conclude that the injuries to Mr. Brooks' neck, upper back, and shoulder girdle flowing from the Second Accident are indivisible from the injuries caused by the First Accident and together, they constitute a single indivisible injury to Mr. Brooks.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Importantly however, the Second Accident also caused an injury to Mr. Brooks' shoulder joints. This was investigated and led to operations on both shoulders. In this action, Mr. Brooks is not seeking compensation for any issues related to his shoulder joint injuries. In this way, the Second Accident caused a separate and divisible injury to Mr. Brooks.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Mr. Brooks was involved in another rear-end on March 23, 2016. He suffered an exacerbation of his neck and upper back symptoms that lasted approximately until June 2016. Mr. Brooks is not seeking any compensation for this temporary aggravation of his injuries. In any case, to the extent the Third Accident has contributed to his neck and upper back symptoms, I find that those injuries are indivisible from the injuries he sustained in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In summary, the evidence in this case satisfies the "but for" test. I conclude that Mr. Brooks' neck, upper back and shoulder girdle issues (shoulder blades and intrascapular region) constitute an indivisible injury occasioned by a combination of both non-tortious and tortious causes. As I stated earlier, it is not necessary for Mr. Brooks to establish that the First Accident was the sole cause of his injuries. Regardless of other contributing causes I find on a balance of probabilities that the First Accident was a contributory cause -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of his current neck, upper back and shoulder girdle condition. The defendants are therefore liable for Mr. Brooks' neck, upper back and shoulder girdle injuries and related losses, except for his shoulder joint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next address Mr. Brooks' claim for damages under the following headings:</w:t>
      </w:r>
      <w:r>
        <w:rPr>
          <w:rFonts w:ascii="arial" w:eastAsia="arial" w:hAnsi="arial" w:cs="arial"/>
          <w:sz w:val="20"/>
          <w:lang w:val="en-US" w:eastAsia="en-US" w:bidi="ar-SA"/>
        </w:rPr>
        <w:cr/>
      </w:r>
    </w:p>
    <w:p>
      <w:pPr>
        <w:numPr>
          <w:numId w:val="5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5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care costs; and</w:t>
      </w:r>
    </w:p>
    <w:p>
      <w:pPr>
        <w:numPr>
          <w:numId w:val="5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 plaintiff seeks an award of non-pecuniary damages in the range of $150,000-$165,000.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The defendants counter with the submission that if the Court accepts that Mr. Brooks was in fact injured in the First Accident, an appropriate award for non-pecuniary damages is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Non-pecuniary damages are intended to compensate the plaintiff for the pain, suffering and loss of enjoyment of life and of amenities experienced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award should compensate a plaintiff for such damages suffered to the date of trial and those that the plaintiff will suffer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The award should be fair and reasonable for both parties, as those concepts are measured against the adverse impact of the particular injuries on an individual plaintiff. While fairness is assessed by reference to awards made in comparable cases, because each case is decided on its own unique facts and calls for an individualized assessment, it is neither possible nor desirable to develop a "tariff":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(No. 2), </w:t>
      </w:r>
      <w:hyperlink r:id="rId11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Kirkpatrick J.A. set out a non-exhaustive list of factors to be considered in awarding damages under this head. They include: the plaintiff's age; the nature of the injury; the severity and duration of the pain; disability; emotional suffering; loss or impairment of life;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It is important to recognize that people have different physical and psychological susceptibility to injuries. It is the impact of the accident on the actual plaintiff that is relevant for compensatory purposes. It is a fundamental principle in assessing damages that a defendant must take the plaintiff as he is, even where, because of his unique susceptibility or vulnerability, the injury was more dramatic or unexpectedly severe than one would expect an average person to sustain. Accordingly, a defendant who injures a plaintiff with a particular susceptibility or vulnerability to injury is responsible for the consequences of the accident on that particular plaintiff: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473;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xml:space="preserve"> at para. 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As I set out earlier in these Reasons, Mr. Brooks has proven entitlement to damages for his neck, upper back and shoulder girdle (not shoulder joint) injuries. He has not proven entitlement to damages for his jaw and dental complaints, psychiatric complaints or complaints relating to a right-sided C6 radiculopathy.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Mr. Brooks was 31 years old at the time of the First Accident and 37 years old at the time of trial. Over the years he has engaged extensively in treatments and therapies to alleviate his symptoms. He now has a chronic pain condition that may improve, but he is unlikely to recover 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Mr. Brooks must be restored to the position he would have been in absent the First Accident, and not a better position: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The evidence does not establish a measurable risk that, absent the First Accident, Mr. Brooks would have, in any event, become as symptomatic as he did or that his neck and upper back symptoms associated with his sedentary employment would have worsened. Accordingly, it is not appropriate to reduce his damages to reflect that possibility: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2012 BCCA 331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totality of the evidence supports a finding that Mr. Brooks' injuries have caused him pain and suffering and adversely impacted the quality and enjoyment of his life. He has endured, and will continue to endure, the adverse impact of his injuries. Earlier in these Reasons, I set out my findings on the progression of his symptoms attributable to the First Accident and his prognosis. He has endured a serious spinal operation. He has an increased susceptibility to worsening of pain the event of a future trauma. He faces an increased risk of disc degeneration.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After taking some time off to recuperate from the Neck Surgery, Mr. Brooks continued to work. His employer has accommodated him to some extent in that he is able to work remotely some of the time. Nonetheless, I accept that as a consequence of coping with his condition, Mr. Brooks suffers in both his work life and his personal life from reduced stamina, increased fatigue, and a diminished ability to concentrate. He is burdened with anxiety regarding his future work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 accept that the consequences of Mr. Brooks' injuries have been distressful for him and that since the First Accident, he has suffered bouts of irritability, frustration, and increased anxiety because of his diminished 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Prior to the First Accident, Mr. Brooks did engage in recreational activities, such as skiing and camping. His enjoyment of recreational activities of his choosing have been curtailed by his injuries. He gave an example that jumping on a trampoline caused him considerable discomfort. The enjoyment of his other leisure activities has also diminished because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Mr. Brooks has been able to travel on vacation to Europe in 2016 and 2017, a fact that the defendants point out in their submissions. I accept Mr. Brooks' evidence that he travelled with diminished enjoyment because of his discomfort. I am not persuaded that the fact that he took vacations supports a finding that he is exaggerating his current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Mr. Brooks' injuries have also impacted his family life. Although his marriage was strained before the First Accident, his limitations and episodic bouts of frustration and irritability he struggles with have increased that strain. His pattern of intimacy with his wife has been adversely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Significantly, Mr. Brooks' limitations in holding and playing with his young daughter have created a genuine emotional strain on him. He also expressed regret that he would be limited in participating with her in recreational activities in the future. His distress over the adverse impact of his injuries on his role as a father was palpable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xml:space="preserve">  I find that overall, Mr. Brooks has made a genuine attempt to minimize the impact of his injuries on his lifestyle. As the Court observed in </w:t>
      </w:r>
      <w:r>
        <w:rPr>
          <w:rFonts w:ascii="arial" w:eastAsia="arial" w:hAnsi="arial" w:cs="arial"/>
          <w:i/>
          <w:color w:val="000000"/>
          <w:sz w:val="20"/>
          <w:lang w:val="en-US" w:eastAsia="en-US" w:bidi="ar-SA"/>
        </w:rPr>
        <w:t>Jones v. Arjun</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2013 BCSC 1313</w:t>
        </w:r>
      </w:hyperlink>
      <w:r>
        <w:rPr>
          <w:rFonts w:ascii="arial" w:eastAsia="arial" w:hAnsi="arial" w:cs="arial"/>
          <w:color w:val="000000"/>
          <w:sz w:val="20"/>
          <w:lang w:val="en-US" w:eastAsia="en-US" w:bidi="ar-SA"/>
        </w:rPr>
        <w:t xml:space="preserve"> at para. 177, enduring pain, even when it is intermittent and fluctuates in intensity, casts "a negative spin on everyday living and detracts from the pleasures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 have considered all the authorities cited by counsel. In light of my findings, the cases submitted by the defendants fall far short of the appropriate range of damages in this case. While the authorities defended by Mr. Brooks' counsel are instructive, I do not propose to review them in detail, as each case turns on its own unique facts. Overall, I find that the plaintiffs in those authorities suffered more severe consequences from their injuries than Mr. Brooks. Although I have concluded that the evidence does not establish a material risk that, absent the First Accident Mr. Brooks would have become as symptomatic as he did, in assessing the quantum of Mr. Brooks' damages, I must keep in mind that his pre-existing symptoms associated with his sedentary employment were part of who he was 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Considering the governing principles in the authorities and Mr. Brooks' particular circumstances, I conclude a fair and reasonable award for non-pecuniary damages is $110,000.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An award of damages for loss of earning capacity, whether past or future, is compensation for a pecuniary loss: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xml:space="preserve"> at para. 175. The purpose of such an award is to restore, as best as possible with a monetary award, an injured plaintiff to the position he or she would have been in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occurred.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xml:space="preserve">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The earnings approach is more appropriate when the loss is more easily measurable: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Under either approach, the plaintiff always must prove that there is a real and substantial possibility of hypothetical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at para. 133; </w:t>
      </w:r>
      <w:r>
        <w:rPr>
          <w:rFonts w:ascii="arial" w:eastAsia="arial" w:hAnsi="arial" w:cs="arial"/>
          <w:i/>
          <w:color w:val="000000"/>
          <w:sz w:val="20"/>
          <w:lang w:val="en-US" w:eastAsia="en-US" w:bidi="ar-SA"/>
        </w:rPr>
        <w:t>Rousta v. MacKay</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2018 BCCA 29</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Rousta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129"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provided an instructive distillation of the principles which inform the assessment of loss of earning:</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is not the balance of probabilities. A plaintiff is entitled to compensation for real and substantial possibilities of loss,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6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132"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w:t>
      </w:r>
    </w:p>
    <w:p>
      <w:pPr>
        <w:numPr>
          <w:numId w:val="6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based on the evidence, taking into account all positive and negative contingencies. The task of the court is to assess the losses, not to calculate damages with mathematical precision: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xml:space="preserve">  To this list, I would add that evidence that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xml:space="preserve">  In sum, the assessment of past or future loss of earning capacity requires the court to assess a pecuniary loss by weighing possibilities and probabilities of hypothetical events: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 49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The test to be applied to hypothetical events, past and future, is whether there is a real and substantial possibility that the events in question would occur or would have occurred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Rousta</w:t>
      </w:r>
      <w:r>
        <w:rPr>
          <w:rFonts w:ascii="arial" w:eastAsia="arial" w:hAnsi="arial" w:cs="arial"/>
          <w:color w:val="000000"/>
          <w:sz w:val="20"/>
          <w:lang w:val="en-US" w:eastAsia="en-US" w:bidi="ar-SA"/>
        </w:rPr>
        <w:t xml:space="preserve"> at para. 14. In advancing a claim for the loss of income-earning capacity, whether past or future, the plaintiff must always prove a real and substantial possibility of an income loss, as opposed to a theoretical one. In other words, the award cannot be based on mere speculation: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Rousta</w:t>
      </w:r>
      <w:r>
        <w:rPr>
          <w:rFonts w:ascii="arial" w:eastAsia="arial" w:hAnsi="arial" w:cs="arial"/>
          <w:color w:val="000000"/>
          <w:sz w:val="20"/>
          <w:lang w:val="en-US" w:eastAsia="en-US" w:bidi="ar-SA"/>
        </w:rPr>
        <w:t xml:space="preserve"> at para. 17. While the onus on the plaintiff is not a heavy one, it must nonetheless be met in order to justify a pecuniary award: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xml:space="preserve">  The essential task of the Court is to compare the likely future of Mr. Brooks' working life if the First Accident had not happened with his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 The Court must assess whether Mr. Brooks is entitled to any compensation because the evidence establishes a real and substantial possibility that he will suffer a future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Mr. Brooks seeks compensation for three years' salary of $126,000 US, which totals $378,000 US. He does not seek any compensation for 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The defendants submit that any injuries that may have been suffered in the First Accident resolved within a few weeks and accordingly there is no basis in the evidence for an award of future loss of earning capacity. In the alternative, the defence submits that even if the Court concludes that Mr. Brooks continues to suffer from the effects of the First Accident, no award is justified. The defendants' overarching submission is that the evidence does not establish that there is a real and substantial possibility of any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In my assessment I have considered the following:</w:t>
      </w:r>
      <w:r>
        <w:rPr>
          <w:rFonts w:ascii="arial" w:eastAsia="arial" w:hAnsi="arial" w:cs="arial"/>
          <w:sz w:val="20"/>
          <w:lang w:val="en-US" w:eastAsia="en-US" w:bidi="ar-SA"/>
        </w:rPr>
        <w:cr/>
      </w:r>
    </w:p>
    <w:p>
      <w:pPr>
        <w:numPr>
          <w:numId w:val="6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First Accident Mr. Brooks has not missed many days from work apart from an unspecified amount of days for his Neck Surgery, recuperation from the Neck Surgery and various other procedures he has undergone.</w:t>
      </w:r>
    </w:p>
    <w:p>
      <w:pPr>
        <w:numPr>
          <w:numId w:val="6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emphasize that there was no functional capacity evaluation tendered establishing that Mr. Brooks suffers from any impairment of his ability to discharge his employment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Caillier notes in her report that Mr. Brooks is working full time as a senior systems application engineer in the information technology field. She states that he is capable of working in this capacity but requires an appropriate ergonomic set-up and the ability to take postural breaks during the day. She also recommends that he not work more than the 40-hour work week he currently works, as it could have a negative impact upon his mental health and sleep. Dr. Caillier acknowledged in cross-examination that she did not conduct any functional capacity testing of Mr. Brooks. However, she persuasively explained that working beyond 40 hours per week and managing chronic pain can lead to increasing difficulties and an eventual downward spiral of increasing pain symptoms.</w:t>
      </w:r>
    </w:p>
    <w:p>
      <w:pPr>
        <w:numPr>
          <w:numId w:val="6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I mentioned earlier, Mr. Brooks' current employer has accommodated him to some extent by allowing him to remotely attend morning meetings from home and to work from home at least one day per week. They permit him the flexibility to make up the time that he takes to attend medical appointments. He is able to take regular breaks from sitting and they have improved his ergonomic set-up.</w:t>
      </w:r>
    </w:p>
    <w:p>
      <w:pPr>
        <w:numPr>
          <w:numId w:val="6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Brooks' annual performance reviews from 2013-2015 indicate that overall he has continued to meet or exceed expectations. The overall rating in his 2016 review was "needs improvement" primarily based upon some perceived shortcomings in his interpersonal skills. Mr. Brooks clearly has an excellent work ethic and strove for improvement. This is borne out by the fact that he was promoted to a supervisory position in 2017.</w:t>
      </w:r>
    </w:p>
    <w:p>
      <w:pPr>
        <w:numPr>
          <w:numId w:val="6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Brooks testified there was a possibility that his current employer may merge with another company. He expressed uncertainty about his future in those circumstances. In the absence of sufficiently reliable evidence, I cannot find that there is a real and substantial possibility of an alleged merger or that Mr. Brooks is at risk of losing his current job.</w:t>
      </w:r>
    </w:p>
    <w:p>
      <w:pPr>
        <w:numPr>
          <w:numId w:val="6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Mr. Brooks' own evidence, his perception is that, in California, there is a very high demand for and many employment opportunities for persons with his skill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 turn to address whether there is a real and substantial possibility that, if Mr. Brooks does lose his current job, he would not be able to find employment with comparable remuneration because of his chronic pain condition. He submits that if it were to occur, he would be less marketable as an employee. That would be the case with respect to jobs requiring rigorous or significant physical requirements. However, it is not a realistic prospect that he would have pursued such a position absent his injuries. Plainly, however, Mr. Brooks has proven himself capable of continuing to work as a systems application engineer after the First Accident. There is an insufficient evidentiary basis upon which to infer that Mr. Brooks could not find employment elsewhere with comparable remuneration where the hours and expectations would align with his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Weighing the evidence as a whole I cannot conclude that that any functional limitations caused by Mr. Brooks' injuries have reduced his realistic career options or otherwise negatively affected his competitive employability. In all the circumstances, I cannot find that there is a real and substantial possibility that he will suffer a future loss of income because of an inability to pursue employment that would require a physical capacity beyond that which his present job requires or that other opportunities that were otherwise realistic options for him will be foreclosed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All things considered, I cannot conclude that there is a real and substantial possibility that Mr. Brooks will suffer a future pecuniary loss because of any diminished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However, as I indicated earlier, I accept that Mr. Brooks suffers from diminished levels of stamina and a diminished ability to concentrate and that he is burdened with anxiety about his future work life. I have considered that as a factor in my assessment of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I turn next to address whether Mr. Brooks is entitled to compensation for the impairment of his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Dykeman</w:t>
      </w:r>
      <w:r>
        <w:rPr>
          <w:rFonts w:ascii="arial" w:eastAsia="arial" w:hAnsi="arial" w:cs="arial"/>
          <w:color w:val="000000"/>
          <w:sz w:val="20"/>
          <w:lang w:val="en-US" w:eastAsia="en-US" w:bidi="ar-SA"/>
        </w:rPr>
        <w:t xml:space="preserve">], Newbury J.A. summarized the governing principles with respect to awarding damages for the loss or impairment of housekeeping capacity. She affirmed that where housekeeping services were gratuitously replaced by a family member, damages for the loss of housekeeping capacity may be awarded even though the plaintiff has not incurred any expense. Recovery may be allowed for both the future loss of the ability to perform household tasks as well as for the loss of such abilities prior to trial. The amount of compensation awarded must be commensurate with the plaintiff's loss: </w:t>
      </w:r>
      <w:r>
        <w:rPr>
          <w:rFonts w:ascii="arial" w:eastAsia="arial" w:hAnsi="arial" w:cs="arial"/>
          <w:i/>
          <w:color w:val="000000"/>
          <w:sz w:val="20"/>
          <w:lang w:val="en-US" w:eastAsia="en-US" w:bidi="ar-SA"/>
        </w:rPr>
        <w:t>Dykeman</w:t>
      </w:r>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 67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the Court clarified that an award for loss of housekeeping capacity is intended to compensate the plaintiff for the loss of an asset: the ability to perform household tasks. Accordingly, whether replacement costs for housekeeping were actually incurred or whether a plaintiff is likely to hire such assistance in the future does not inform the analysis. Loss of capacity claims are doctrinally distinct from future costs of care claims. Damages for cost of future care serve a different purpose and are directly related to expenses that may reasonably be expected to be required to be rendered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xml:space="preserve">  The cost of replacement services may inform the assessment of the appropriate quantum of an award for loss of capacity. However, the appellate authorities endorse a cautious and restrained approach to awards for loss of housekeeping capacity. The ultimate reasonableness of the award is the overarching consideration: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Chappell</w:t>
      </w:r>
      <w:r>
        <w:rPr>
          <w:rFonts w:ascii="arial" w:eastAsia="arial" w:hAnsi="arial" w:cs="arial"/>
          <w:color w:val="000000"/>
          <w:sz w:val="20"/>
          <w:lang w:val="en-US" w:eastAsia="en-US" w:bidi="ar-SA"/>
        </w:rPr>
        <w:t xml:space="preserve"> at paras. 254-262; </w:t>
      </w:r>
      <w:r>
        <w:rPr>
          <w:rFonts w:ascii="arial" w:eastAsia="arial" w:hAnsi="arial" w:cs="arial"/>
          <w:i/>
          <w:color w:val="000000"/>
          <w:sz w:val="20"/>
          <w:lang w:val="en-US" w:eastAsia="en-US" w:bidi="ar-SA"/>
        </w:rPr>
        <w:t>Liu v. Bains</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2016 BCCA 374</w:t>
        </w:r>
      </w:hyperlink>
      <w:r>
        <w:rPr>
          <w:rFonts w:ascii="arial" w:eastAsia="arial" w:hAnsi="arial" w:cs="arial"/>
          <w:color w:val="000000"/>
          <w:sz w:val="20"/>
          <w:lang w:val="en-US" w:eastAsia="en-US" w:bidi="ar-SA"/>
        </w:rPr>
        <w:t xml:space="preserve"> at paras. 28-29.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Given his limitations, Dr. Caillier recommended that Mr. Brooks have assistance with home maintenance activities and heavier seasonal cleaning inside and outside the home. In quantifying his claim, Mr. Brooks relied on a summary of costs in U.S. dollars prepared by Jennifer Lane, an occupational therapist. Robert Carson, an economist, provided the multipliers for calculating the net present value of the future annual costs of the items sought in his expert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Mr. Brooks seeks an award of $155,581 US calculated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450"/>
        <w:gridCol w:w="177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Annual</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Present Value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Cost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Housekeeping Services</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$570.25</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$16,149.48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Seasonal Cleaning</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$364.96</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$9,981.66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Home Maintenance</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$1,596.00</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$45,198.72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Lawn and Garden Care</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$2,975.00</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$84,252.00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$5,506.21</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US $155,581.86 US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defendants submit that the claim for the loss of housekeeping capacity, both past and future, must fail for the lack of a sufficient evidentiary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Although performing many tasks cause him considerable discomfort, the evidence shows that Mr. Brooks is able to perform regular and seasonal indoor housekeeping tasks. Mr. Brooks has resumed most of his indoor housekeeping responsibilities, such as laundry, sweeping and vacuuming, in large part, because his wife is unable to perform them. Mr. Brooks moved into his home with a yard in 2014. He mows the grass with a self-propelled mower and performs some light weeding.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I accept that Mr. Brooks is unable to do heavier indoor maintenance work and heavier outdoor maintenance and yard work because of his limitations with his neck, upper back and shoulder girdle. While I recognize that Dr. Caillier assessed Mr. Brooks in late 2015, the totality of the evidence supports a finding that Mr. Brooks has lost much of his capacity to perform heavier indoor and outdoor maintenance and yard work because of the injuries he sustained in the First Accident. The evidence does not establish that he had any such limitations prior to the First Accident. I accept that he was able to perform substantial yard work at his parents' home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evidence shows that in 2015, Mr. Brooks incurred costs of $400 US for home maintenance and in 2016 Mr. Brooks hired outside service providers for tree care, planter work, seasonal outdoor clean-up and sprinkler work. He incurred costs of $160 US in 2016 and a total of $2,630 US in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In this case, I consider it appropriate to compensate Mr. Brooks for the pre-trial costs he has incurred for indoor and outdoor home maintenance through the award of special damages. Accordingly, I will address that aspect of his claim later in these Reasons. To also compensate him for the pre-trial loss of capacity would result in an overlapping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 turn to consider his future housekeeping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Balancing the evidence as a whole, including the medical evidence, I find there is a real and substantial possibility that Mr. Brooks will continue to be unable to perform the more strenuous or heavier indoor and outdoor maintenance and yard work into the future, including when he experiences episodic aggravations of his symptoms. The evidence on precisely which indoor and outdoor maintenance and yard work Mr. Brooks would have performed, but for his injuries, was thin.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Ms. Lane estimates lawn and garden care at $87.50 US per hour for 34 hours per year and home maintenance at $76 US per hour at 21 hours per year. Her calculations are based on home maintenance and lawn and garden care being required to age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My view is that these estimates are high, both in terms of market costs for services and hours estimated. Further, they do not take into account the realistic possibility that Mr. Brooks would have moved from his home or would have required assistance with these items well before age 85, even if he had not been injured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All things considered, and keeping in mind that an award for future loss of housekeeping capacity is intended to compensate Mr. Brooks for his diminished loss of capacity and is not a precise mathematical calculation, a fair award is $20,000.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The approach to be taken in assessing future care costs is well-established.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When full restoration to the plaintiff's pre-accident condition cannot be achieved, the court should strive to provide the compensation necessary to achieve the provision of adequate future care: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172. The purpose of an award for future care is to compensate a plaintiff for costs which reasonably may be expected to be incurred to preserve and promote the plaintiff's mental and physical health: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78; </w:t>
      </w:r>
      <w:r>
        <w:rPr>
          <w:rFonts w:ascii="arial" w:eastAsia="arial" w:hAnsi="arial" w:cs="arial"/>
          <w:i/>
          <w:color w:val="000000"/>
          <w:sz w:val="20"/>
          <w:lang w:val="en-US" w:eastAsia="en-US" w:bidi="ar-SA"/>
        </w:rPr>
        <w:t>Gigmac v. Insurance Corporation of British Columbia</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xml:space="preserve">  The test for determining the appropriate award is objective and must be based on the medical evidence. The items or services claimed must be medically justified and the claim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184. The Court of Appeal clarified,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that determining whether an item or service is medically justified is not limited to what medical doctors recommend, rather it can include recommendations from a variety of healthcare professionals, such as a rehabilitation expert. The Court of Appeal in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Penner</w:t>
      </w:r>
      <w:r>
        <w:rPr>
          <w:rFonts w:ascii="arial" w:eastAsia="arial" w:hAnsi="arial" w:cs="arial"/>
          <w:color w:val="000000"/>
          <w:sz w:val="20"/>
          <w:lang w:val="en-US" w:eastAsia="en-US" w:bidi="ar-SA"/>
        </w:rPr>
        <w:t>], also observed that a "little common sense should inform claims under this head, however much they may be recommended by experts in the field":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xml:space="preserve">  In assessing what is reasonably necessary to promote the plaintiff's health, the court should also consider whether the plaintiff would likely avail his or herself of the items or services in the future: </w:t>
      </w:r>
      <w:r>
        <w:rPr>
          <w:rFonts w:ascii="arial" w:eastAsia="arial" w:hAnsi="arial" w:cs="arial"/>
          <w:i/>
          <w:color w:val="000000"/>
          <w:sz w:val="20"/>
          <w:lang w:val="en-US" w:eastAsia="en-US" w:bidi="ar-SA"/>
        </w:rPr>
        <w:t>Penner</w:t>
      </w:r>
      <w:r>
        <w:rPr>
          <w:rFonts w:ascii="arial" w:eastAsia="arial" w:hAnsi="arial" w:cs="arial"/>
          <w:color w:val="000000"/>
          <w:sz w:val="20"/>
          <w:lang w:val="en-US" w:eastAsia="en-US" w:bidi="ar-SA"/>
        </w:rPr>
        <w:t xml:space="preserve"> at paras. 12-14. While a plaintiff must always establish the necessity and utility of a future care item sought, "there is no hard and fast rule" that requires a plaintiff to testify that he or she intends to use the item in order to justify an award: </w:t>
      </w:r>
      <w:r>
        <w:rPr>
          <w:rFonts w:ascii="arial" w:eastAsia="arial" w:hAnsi="arial" w:cs="arial"/>
          <w:i/>
          <w:color w:val="000000"/>
          <w:sz w:val="20"/>
          <w:lang w:val="en-US" w:eastAsia="en-US" w:bidi="ar-SA"/>
        </w:rPr>
        <w:t>Lo v. Matsumoto</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2015 BCCA 84</w:t>
        </w:r>
      </w:hyperlink>
      <w:r>
        <w:rPr>
          <w:rFonts w:ascii="arial" w:eastAsia="arial" w:hAnsi="arial" w:cs="arial"/>
          <w:color w:val="000000"/>
          <w:sz w:val="20"/>
          <w:lang w:val="en-US" w:eastAsia="en-US" w:bidi="ar-SA"/>
        </w:rPr>
        <w:t xml:space="preserve"> at paras. 20-21. The Court should be cautious about reducing or eliminating the cost for an item of future care simply on the basis that the plaintiff has not confirmed a willingness to participate in the course of care. The Court must be mindful that a plaintiff may not have had the means or ability to follow certain courses of treatment in the past </w:t>
      </w:r>
      <w:r>
        <w:rPr>
          <w:rFonts w:ascii="arial" w:eastAsia="arial" w:hAnsi="arial" w:cs="arial"/>
          <w:i/>
          <w:color w:val="000000"/>
          <w:sz w:val="20"/>
          <w:lang w:val="en-US" w:eastAsia="en-US" w:bidi="ar-SA"/>
        </w:rPr>
        <w:t>Suthakar v. Humble</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2016 BCSC 155</w:t>
        </w:r>
      </w:hyperlink>
      <w:r>
        <w:rPr>
          <w:rFonts w:ascii="arial" w:eastAsia="arial" w:hAnsi="arial" w:cs="arial"/>
          <w:color w:val="000000"/>
          <w:sz w:val="20"/>
          <w:lang w:val="en-US" w:eastAsia="en-US" w:bidi="ar-SA"/>
        </w:rPr>
        <w:t xml:space="preserve"> at para. 129.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xml:space="preserve">  The courts have long recognized that an assessment for future care costs is not a precise accounting exercise. Adjustments may be made for "the contingency that the future may differ from what the evidence at trial indicates":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 The extent, if any, to which a future care costs award should be adjusted for contingencies depends on the consideration of the specific care needs of the plaintiff. The assessment of the expenditures that reasonably may be required must take into account the prospect of any improvement in the plaintiff's condition, or conversely, the prospect that additional care will be required: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at paras. 67-68;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Jennifer Lane, an occupational therapist, prepared a summary of costs in U.S. dollars of the care items sought by Mr. Brooks. The summary is based on the recommendations made by Dr. Caillier and Dr. Rickards. As I stated earlier, Robert Carson, an economist, in his expert report, provided the multipliers calculating the net present value of the future annual costs of care for the items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Mr. Brooks seeks the following future care costs: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Annual Present Value of Future Cost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Botox $707.00 $707.00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Massage / Physio $276 - $600 $12,756.75</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Medications / Vitamins $1,509.11 $43,952.83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Ergonomic $270.00 $6,124.72</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Psychological $3,120.00 $3,120.00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Counselling</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Kinesiology (yr 1) $1,632 - $1,765 $1,683.00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Kinesiology (yr 2-3) $1,088 - $1,632 $3,884.16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Gym Membership $361.25 $10,521.41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Total $8,963.36 - $9,964.36 US $82,749.87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The defendants' submission is anchored in their overarching position in this litigation that any injuries Mr. Brooks may have sustained in the First Accident resolved long ago. Therefore, they submit that his claim for future care costs should be dismissed in its entirety. They submit in the alternative that, should any care items be required in the future, those costs will be covered by Mr. Brooks' health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Before turning to the analysis of the individual future care items, I will address the defendants' submission that any claim for the cost of future care should be reduced to account for the existence of Mr. Brooks' health insurance that is available to him through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Mr. Brooks submits that no reduction, or in the alternative, only a minimal reduction is warranted because of the "private insurance exception". He points out the uncertainty associated with whether he will continue to be employed by the same employer with the same health insurance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xml:space="preserve">  Any potential reduction in an award for future care cost is rooted in the fundamental principle for compensation in tort law that a plaintiff is only entitled to be placed in the position they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application of the private insurance exception operates as an exception to the strict application of the compensation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xml:space="preserve">  The private insurance exception was expounded upon by Justice Cory, for the majority, in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 xml:space="preserve"> at 401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Recovery in tort is dependent on the plaintiff establishing injury and loss resulting from an act of misfeasance or nonfeasance on the part of the defendant, the tortfeasor. I can see no reason why a tortfeasor should benefit from the sacrifices made by a plaintiff in obtaining an insurance policy to provide for lost wages. Tort recovery is based on some wrongdoing. It makes little sense for a wrongdoer to benefit from the private act of forethought and sacrifice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xml:space="preserve">  More recently, Mr. Justice Cromwell in </w:t>
      </w:r>
      <w:r>
        <w:rPr>
          <w:rFonts w:ascii="arial" w:eastAsia="arial" w:hAnsi="arial" w:cs="arial"/>
          <w:i/>
          <w:color w:val="000000"/>
          <w:sz w:val="20"/>
          <w:lang w:val="en-US" w:eastAsia="en-US" w:bidi="ar-SA"/>
        </w:rPr>
        <w:t>IBM Canada Limited v. Waterman</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2013 SCC 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Waterman</w:t>
      </w:r>
      <w:r>
        <w:rPr>
          <w:rFonts w:ascii="arial" w:eastAsia="arial" w:hAnsi="arial" w:cs="arial"/>
          <w:color w:val="000000"/>
          <w:sz w:val="20"/>
          <w:lang w:val="en-US" w:eastAsia="en-US" w:bidi="ar-SA"/>
        </w:rPr>
        <w:t>] clarified that the private insurance exception applies not only to insurance benefits in the strict sense but to other benefits to which an employee has contributed. He affirmed the core principle that benefits received by a plaintiff through private insurance are not deductible from damage awards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xml:space="preserve">  I also observe that if health care costs may be paid by a third party in the future and that party has a right of subrogation or could require repayment, no issue of double recovery arises and therefore there is no sound basis for reducing an award: </w:t>
      </w:r>
      <w:r>
        <w:rPr>
          <w:rFonts w:ascii="arial" w:eastAsia="arial" w:hAnsi="arial" w:cs="arial"/>
          <w:i/>
          <w:color w:val="000000"/>
          <w:sz w:val="20"/>
          <w:lang w:val="en-US" w:eastAsia="en-US" w:bidi="ar-SA"/>
        </w:rPr>
        <w:t>Kanters v. Galasinao</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2015 BCSC 1532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Kanters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There is a dearth of appellate consideration in B.C. of the impact of benefits payable pursuant to a health insurance plan upon an award for the cost of future care. The jurisprudence in this Court on the point is unsettled.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xml:space="preserve">  In determining a reasonable award for future care costs, some courts have applied a deduction if a plaintiff had health benefits plan or health insurance through their employment: </w:t>
      </w:r>
      <w:r>
        <w:rPr>
          <w:rFonts w:ascii="arial" w:eastAsia="arial" w:hAnsi="arial" w:cs="arial"/>
          <w:i/>
          <w:color w:val="000000"/>
          <w:sz w:val="20"/>
          <w:lang w:val="en-US" w:eastAsia="en-US" w:bidi="ar-SA"/>
        </w:rPr>
        <w:t>Chappell</w:t>
      </w:r>
      <w:r>
        <w:rPr>
          <w:rFonts w:ascii="arial" w:eastAsia="arial" w:hAnsi="arial" w:cs="arial"/>
          <w:color w:val="000000"/>
          <w:sz w:val="20"/>
          <w:lang w:val="en-US" w:eastAsia="en-US" w:bidi="ar-SA"/>
        </w:rPr>
        <w:t xml:space="preserve"> at para. 276; </w:t>
      </w:r>
      <w:r>
        <w:rPr>
          <w:rFonts w:ascii="arial" w:eastAsia="arial" w:hAnsi="arial" w:cs="arial"/>
          <w:i/>
          <w:color w:val="000000"/>
          <w:sz w:val="20"/>
          <w:lang w:val="en-US" w:eastAsia="en-US" w:bidi="ar-SA"/>
        </w:rPr>
        <w:t>Clayton v. Barefoot</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2018 BCSC 239</w:t>
        </w:r>
      </w:hyperlink>
      <w:r>
        <w:rPr>
          <w:rFonts w:ascii="arial" w:eastAsia="arial" w:hAnsi="arial" w:cs="arial"/>
          <w:color w:val="000000"/>
          <w:sz w:val="20"/>
          <w:lang w:val="en-US" w:eastAsia="en-US" w:bidi="ar-SA"/>
        </w:rPr>
        <w:t xml:space="preserve"> at paras. 232-233; </w:t>
      </w:r>
      <w:r>
        <w:rPr>
          <w:rFonts w:ascii="arial" w:eastAsia="arial" w:hAnsi="arial" w:cs="arial"/>
          <w:i/>
          <w:color w:val="000000"/>
          <w:sz w:val="20"/>
          <w:lang w:val="en-US" w:eastAsia="en-US" w:bidi="ar-SA"/>
        </w:rPr>
        <w:t>Harvey v. Yanko</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2007 BCSC 216</w:t>
        </w:r>
      </w:hyperlink>
      <w:r>
        <w:rPr>
          <w:rFonts w:ascii="arial" w:eastAsia="arial" w:hAnsi="arial" w:cs="arial"/>
          <w:color w:val="000000"/>
          <w:sz w:val="20"/>
          <w:lang w:val="en-US" w:eastAsia="en-US" w:bidi="ar-SA"/>
        </w:rPr>
        <w:t xml:space="preserve"> at para. 92. In </w:t>
      </w:r>
      <w:r>
        <w:rPr>
          <w:rFonts w:ascii="arial" w:eastAsia="arial" w:hAnsi="arial" w:cs="arial"/>
          <w:i/>
          <w:color w:val="000000"/>
          <w:sz w:val="20"/>
          <w:lang w:val="en-US" w:eastAsia="en-US" w:bidi="ar-SA"/>
        </w:rPr>
        <w:t>Chappell</w:t>
      </w:r>
      <w:r>
        <w:rPr>
          <w:rFonts w:ascii="arial" w:eastAsia="arial" w:hAnsi="arial" w:cs="arial"/>
          <w:color w:val="000000"/>
          <w:sz w:val="20"/>
          <w:lang w:val="en-US" w:eastAsia="en-US" w:bidi="ar-SA"/>
        </w:rPr>
        <w:t>, I note that the private insurance exception does not appear to have been raised by the parties in the context of the future care costs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McCartney v. McArthur</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2014 BCSC 2164</w:t>
        </w:r>
      </w:hyperlink>
      <w:r>
        <w:rPr>
          <w:rFonts w:ascii="arial" w:eastAsia="arial" w:hAnsi="arial" w:cs="arial"/>
          <w:color w:val="000000"/>
          <w:sz w:val="20"/>
          <w:lang w:val="en-US" w:eastAsia="en-US" w:bidi="ar-SA"/>
        </w:rPr>
        <w:t>, the Court refused to make an award for future care costs because the plaintiff was entitled to benefits under an extended health care benefits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Tabet v. Hatzis</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2013 BCSC 1167</w:t>
        </w:r>
      </w:hyperlink>
      <w:r>
        <w:rPr>
          <w:rFonts w:ascii="arial" w:eastAsia="arial" w:hAnsi="arial" w:cs="arial"/>
          <w:color w:val="000000"/>
          <w:sz w:val="20"/>
          <w:lang w:val="en-US" w:eastAsia="en-US" w:bidi="ar-SA"/>
        </w:rPr>
        <w:t xml:space="preserve">, Madam Justice Dickson (when she was a member of this Court) held that future health care benefits "should not be deducted from the cost of future care award based on the principles enunciated in </w:t>
      </w:r>
      <w:r>
        <w:rPr>
          <w:rFonts w:ascii="arial" w:eastAsia="arial" w:hAnsi="arial" w:cs="arial"/>
          <w:i/>
          <w:color w:val="000000"/>
          <w:sz w:val="20"/>
          <w:lang w:val="en-US" w:eastAsia="en-US" w:bidi="ar-SA"/>
        </w:rPr>
        <w:t>Cunningham</w:t>
      </w:r>
      <w:r>
        <w:rPr>
          <w:rFonts w:ascii="arial" w:eastAsia="arial" w:hAnsi="arial" w:cs="arial"/>
          <w:color w:val="000000"/>
          <w:sz w:val="20"/>
          <w:lang w:val="en-US" w:eastAsia="en-US" w:bidi="ar-SA"/>
        </w:rPr>
        <w:t xml:space="preserve">". Other cases in which the court has rejected the applicability of any deduction in the future care cost award on account of the plaintiff's health care insurance include </w:t>
      </w:r>
      <w:r>
        <w:rPr>
          <w:rFonts w:ascii="arial" w:eastAsia="arial" w:hAnsi="arial" w:cs="arial"/>
          <w:i/>
          <w:color w:val="000000"/>
          <w:sz w:val="20"/>
          <w:lang w:val="en-US" w:eastAsia="en-US" w:bidi="ar-SA"/>
        </w:rPr>
        <w:t>Bains v. Prasad</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2005 BCSC 1694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McLeod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Goodman</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2014 BCSC 839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Dhanji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Holland</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2015 BCSC 1351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Provost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Bolton</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2018 BCSC 1090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Kanters</w:t>
      </w:r>
      <w:r>
        <w:rPr>
          <w:rFonts w:ascii="arial" w:eastAsia="arial" w:hAnsi="arial" w:cs="arial"/>
          <w:color w:val="000000"/>
          <w:sz w:val="20"/>
          <w:lang w:val="en-US" w:eastAsia="en-US" w:bidi="ar-SA"/>
        </w:rPr>
        <w:t>, Mr. Justice Blok instructively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[321] ...First, extended health coverage was a benefit associated with Ms. Kanters' employment. </w:t>
      </w:r>
      <w:r>
        <w:rPr>
          <w:rFonts w:ascii="arial" w:eastAsia="arial" w:hAnsi="arial" w:cs="arial"/>
          <w:color w:val="000000"/>
          <w:sz w:val="20"/>
          <w:u w:val="single"/>
          <w:lang w:val="en-US" w:eastAsia="en-US" w:bidi="ar-SA"/>
        </w:rPr>
        <w:t>Collateral benefits are not deducted from an award where an employee has paid or contributed to the cost of coverage</w:t>
      </w:r>
      <w:r>
        <w:rPr>
          <w:rFonts w:ascii="arial" w:eastAsia="arial" w:hAnsi="arial" w:cs="arial"/>
          <w:color w:val="000000"/>
          <w:sz w:val="20"/>
          <w:lang w:val="en-US" w:eastAsia="en-US" w:bidi="ar-SA"/>
        </w:rPr>
        <w:t xml:space="preserve">. As noted in Cooper-Stephenson,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2nd ed. (Scarborough: Carswell, 1996) at p. 608: </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It will now be very rare for a court to hold that benefits in the nature of insurance were not in some way contributed to by an employee". The defendant did not refer to or lead evidence suggesting otherwise. Second, a sample claim form in evidence at trial requires the employee to disclose whether the claim results from a motor vehicle accident, and if so, it requires that the claim be first submitted to the automobile insurer. This suggests the insurer would subrogate or require repayment in some fashion. Third, there is a right of subrogation at common law and so the absence of an express subrogation provision in the plan may not be determinative of the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In my view, the weight of the authorities supports the proposition that future benefits from a health insurance plan for which a plaintiff has paid or contributed through his or her employment are collateral benefits that fall directly within the private insurance exception and are not properly deducted from the cost of a future care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In this case, the evidence establishes that Mr. Brooks pays for his health insurance and that he pays the premiums and applicable deductibles. The fact that he has health insurance does not, in itself, disentitle him to an award for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I turn to consider whether Mr. Brooks is otherwise entitled to any award for future care costs. I will address each item in turn.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Botox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Dr. Caillier states in her report that Mr. Brooks "may benefit from a trial of Botox to the neck region" to treat his muscle spasms. Dr. Caillier agreed on cross-examination that Botox injections into the neck area can have the adverse consequence of weakening the neck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Balancing the evidence as a whole, I cannot conclude that Botox treatment for Mr. Brooks' neck is reasonably necessary to promote his health, as the term "reasonably necessary" is understood within the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Furthermore, the evidence does not establish that Mr. Brooks has sought out any Botox treatment for his neck since Dr. Caillier made her recommendations or that he is likely to pursue such a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In all the circumstances, I am not persuaded that an award for this item is justified.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Medications and Vitamins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In her report, Dr. Caillier has recommended that Mr. Brooks try various medications and vitamins for his cervicogenic headaches, including Nortriptyline, Effexor, Topamax, magnesium citrate at 200mg per day, riboflavin 400mg per day, co-enzyme Q10, and butterbur. Based on Ms. Lane's cost estimates of a yearly cost of $1,509.11(based upon one dose per day for each item) and applying Mr. Carson's multiplier, Mr. Brooks seeks $43,952.83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Weighing the evidence as a whole, I am not persuaded that these medications and vitamins are reasonably necessary to promote Mr. Brooks' health, within the meaning of the authorities. Moreover, one dose per day of each of the items over Mr. Brooks' lifetime is not reasonable. Furthermore, there was no evidence as to whether Mr. Brooks has tried any of these medications recommended by Dr. Caillier or whether it is likely that he would try any of the medications or vitamins in the future. As I stated earlier, the evidence on Mr. Brooks' current medication regime was sparse.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All things considered, I cannot conclude that an award for this item is warranted.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Dr. Goldstein recommended that Mr. Brooks have additional psychological treatments every two weeks for the next year. Given my conclusions regarding her report, I cannot accord her recommendations much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In November 2015, Dr. Caillier recommended that Mr. Brooks be assessed by a psychologist for pain management strategies and to assist with his mood. Since her report was issued, Mr. Brooks has attended many sessions with a psychologist. The evidence shows Mr. Brooks attended 18 sessions of counselling with Dr. Aberra from December 2013 until November 2014, and at least 38 sessions with Dr. Darrington from January 2015 until February 20, 2017. In the summer of 2016, Dr. Darrington's clinical notes describe Mr. Brooks' driving anxiety as mild "when cars stop suddenly".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xml:space="preserve">  In the absence of a sufficiently reliable assessment and recommendation from an expert health care professional, I am not persuaded that further psychological interventions to treat the symptoms attributable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warranted.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Kinesiology and 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Dr. Rickards and Dr. Caillier both recommended that Mr. Brooks participate in an active rehabilitation program with a kinesiologist and have ongoing access to a gym in order to improve his physical conditioning and to improve the strength of his neck, upper back and shoulder areas. Given that his pain or discomfort is expected to persist indefinitely, both Dr. Rickards and Dr. Caillier emphasized that a regular exercise program is necessary to preserve Mr. Brooks'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Mr. Brooks regularly attended supervised exercise sessions from September 2014 through to September 2016, at a rehabilitation facility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In my view, a further three sessions per year for the next three years with a kinesiologist are reasonably necessary to promote Mr. Brooks' health and to ensure that he maintains his physical conditioning. Based on his commitment to attending the rehabilitation centre, I am satisfied that Mr. Brooks would likely avail himself of these kinesiology sessions in the future. Ms. Lane has costed these sessions to be $68. I therefore award $600 US (rounded down from $612)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It can reasonably be inferred that Mr. Brooks likely would pursue an independent exercise program if he was awarded a gym membership. He confirmed that he does not have access to a gym through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Ms. Lane has costed the annual fee for a gym membership at $361.25 per year. Mr. Brooks seeks $10,521.41. This amount includes an allowance for a gym membership for the rest of his life, which I find unrealistic.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Taking into account the relevant contingencies, I assess $5,000 US for a gym membership.</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Physiotherapy and Massage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Both Dr. Caillier and Dr. Rickards recommended massage therapy or physiotherapy treatment for Mr. Brooks' symptoms on an "as needed"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Mr. Brooks has engaged extensively in various therapies, seeking relief from his symptoms. The physiotherapy treatments have given him some measure of relief. In my view, it is reasonable and justifiable that some allowance be made for future treatments as part of his overall future pain management strategy to help him settle his episodic aggravations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In short, I accept that some treatments are reasonably necessary because of Mr. Brooks' injuries, which are expected to cause him pain or discomfort indefinitely. It can reasonably be inferred on the evidence that Mr. Brooks would access these treatments from time-to-time, on an "as needed"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I also accept that, because of Mr. Brooks' pre-existing back and neck symptoms associated with his sedentary employment, some expenses may have been incurred absent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Ms. Lane has calculated the cost of physiotherapy treatments as ranging from $69 to $100 per session. Mr. Brooks typically paid $87 US for a single physiotherapy session in California. Mr. Brooks seeks four to six sessions per year for his lifetime at what he estimates to be a cost of $12,756.75 US. In my view, the amount sought is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Taking into account the contingencies, and in particular the negative contingency that Mr. Brooks may have incurred some of these costs absent the First Accident, in my view, a fair and reasonable award for future treatments is $7,000 US.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Ergonomic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Dr. Caillier has also recommended that Mr. Brooks' workstations at his home and workplace be fitted with ergonomic equipment to "ensure that there not undue stress placed upon the musculature of the neck, upper back, and shoulder girdle regions one involved in sustained posturing". Ms. Lane estimates $2800 as the cost for purchasing two workstations. With replacements every 10 years, until age 65, Ms. Lane estimates the cost for optimizing Mr. Brooks' workstations to be $280 US per year. After applying Mr. Carson's multipliers, this totals $6,124.72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Weighing the evidence and particularly considering Mr. Brooks' testimony that his employer had an ergonomic assessment done and, at his request, recently bought him a new chair, I cannot conclude that Mr. Brooks likely would incur any expenses for ergonomic equipment at his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In my view, the purchase of an ergonomic chair and other items to support his function and comfort at home is a justified expense. It can reasonably be inferred that with the elimination of any financial impediment, Mr. Brooks would utilize this item. There should be some allowance for replacements.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I allow $2,000 US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Keeping in mind that the assessment of future costs is not a precise accounting exercise, I assess a total award for the cost of future care in the amount of $14,600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Mr. Brooks seeks special damages in the amount of $1,580.50 CA and $210,149.95 US, calculated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064"/>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Canadian</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Brooks' personally incurred expenses:</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$1,078.61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Pacific Blue Cross claim:</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$501.89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$1,580.50 CA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American</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Brooks' personally incurred expenses:</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$17,476.33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Aetna claim:</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$167,469.54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Additional premiums paid:</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$25,203.88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$210,149.75 US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Pursuant to the agreed statement of facts, the parties agreed that:</w:t>
      </w:r>
      <w:r>
        <w:rPr>
          <w:rFonts w:ascii="arial" w:eastAsia="arial" w:hAnsi="arial" w:cs="arial"/>
          <w:sz w:val="20"/>
          <w:lang w:val="en-US" w:eastAsia="en-US" w:bidi="ar-SA"/>
        </w:rPr>
        <w:cr/>
      </w:r>
    </w:p>
    <w:p>
      <w:pPr>
        <w:numPr>
          <w:numId w:val="6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Brooks' health care expenses incurred in the U.S. are mostly covered by his health insurance plan connected to his employment. The insurance company is Aetna.</w:t>
      </w:r>
    </w:p>
    <w:p>
      <w:pPr>
        <w:numPr>
          <w:numId w:val="7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Brooks pays insurance premiums by way of deductions from his pay.</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Aetna, or its assigns, negotiates and pays the health care providers for the health care expenses. The Rawlings Company LLC ("Rawlings") is administering the reimbursement claim.</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or his health care providers submitted $532,694.21 US in health care costs to his health insurance plan from August 20, 2013 up to May 7, 2018. Aetna, Rawlings or their assigns have negotiated those costs and paid the providers a total of $192,278.00 US.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Rawlings has a reimbursement claim against Mr. Brooks for health care expenses that he incurred as a result of the First Accident and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Mr. Brooks' claim is a combination of expenses he spent personally and the amounts he alleges his Canadian and U.S. insurers are entitled to be paid back. He also seeks the additional premiums he says he paid in order to have a superior benefits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The defendants' overarching submission is that there should be no award for special damages. However, they concede that they are liable for the amounts paid by Mr. Brooks' insurers to the extent these expenses were incurred as a result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xml:space="preserve">  It is well-established that an injured person is entitled to recover the reasonable out-of-pocket expenses they incurred as a result of an accident. This is grounded in the fundamental compensatory principle that an injured person is to be restored to the position he or she would have been in had the accident not occurred: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78;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281. It follows that a plaintiff is not entitled to be put in a better position than that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Accordingly, if a plaintiff would have incurred the expense even without the accident related injuries, the expense cannot be recovered: </w:t>
      </w:r>
      <w:r>
        <w:rPr>
          <w:rFonts w:ascii="arial" w:eastAsia="arial" w:hAnsi="arial" w:cs="arial"/>
          <w:i/>
          <w:color w:val="000000"/>
          <w:sz w:val="20"/>
          <w:lang w:val="en-US" w:eastAsia="en-US" w:bidi="ar-SA"/>
        </w:rPr>
        <w:t>Perry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Vargas</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2012 BCSC 1925</w:t>
        </w:r>
      </w:hyperlink>
      <w:r>
        <w:rPr>
          <w:rFonts w:ascii="arial" w:eastAsia="arial" w:hAnsi="arial" w:cs="arial"/>
          <w:color w:val="000000"/>
          <w:sz w:val="20"/>
          <w:lang w:val="en-US" w:eastAsia="en-US" w:bidi="ar-SA"/>
        </w:rPr>
        <w:t xml:space="preserve"> at para. 159.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The parties' submissions on special damages were not well-developed.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Canadian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I allow $453.49 ($450 for physiotherapy treatments and $3.49 for prescription medication) for expenses Mr. Brooks incurred personally. The initial physiotherapy treatments are not properly recoverable as Mr. Brooks initially did not seek treatment for his accident-related injuries. Mr. Brooks' claim for mileage and three acupuncture treatments are not proven. On the evidence, I am unable to determine the symptoms for which Mr. Brooks sought the acupuncture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After deducting the cost of the initial physiotherapy treatment, I allow $251.89 for the Pacific Blue Cross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In sum, I allow $705.38 CA for the Canadian special expenses.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U.S.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In addition to the health care costs paid by his health insurance plan, Mr. Brooks asserts that he has incurred various out of pocket expenses from August 2013 onwards,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Imaging Rad Alliance Inc.</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$524.59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Imaging Siminmed</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$154.20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Imaging Claremont</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$144.59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Injection - Caringi</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Pain Medicine Services</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$363.01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Casa Colina (physiotherapy)</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$3,420.00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*Optimum Medical (jaw)</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$559.85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Chaparral Med Group</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$12.78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Darrington</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$1,093.80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Mid Valley Surgery</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$182.40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Tabata (jaw)</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$415.00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 - Core Performance</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$448.38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Prescriptions</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$688.76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Misc. Supplies</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$160.38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Housekeeping</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Yard Work</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$2,790.00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*Parking</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*Mileage</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$2,120.80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$13,648.54 US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Given my findings, the expenses for treatment of Mr. Brooks' bruxism and jaw-related complaints in the amount of $974.85 ($559.85 and $415) are not properly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On the evidence, Mr. Brooks has not proven $11.00 of parking charges ($14.00 are proven) and $2,120.80 in mileage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xml:space="preserve">  With respect to expenses for Dr. Darrington of $1,093.80, I find the majority of those expenses relate to Mr. Brooks' marital and family issues and would have been incurred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Balancing the evidence as a whole, I find that some of Dr. Darrington sessions related to treatment of Mr. Brooks' driving anxiety symptoms and increased distress and anxiety caused by his accident-related injuries. Doing my best with the imperfect evidence, I allow $398.14 (approximately 30% of the charges) as properly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I find the balance of the expenses claimed to be reasonable and properly recoverable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In sum, I award $9,846.23 US for expenses Mr. Brooks incurred personally.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Rawlings reimbursement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I next turn to the Rawlings reimbursement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The statements of the payments (88 pages) made by Rawlings from August 2013 until March 2018 were produced at trial (the "Rawlings Pay-Out Statements"). In his testimony, Mr. Brooks explained that he had indicated on the print-outs which of the treatments related to the injuries he sustained in the First Accident, Second Accident (shoulder joint issues) and Third Accident, respectively. He also indicated which treatments he asserts relate to the indivisible injuries he sustained in the First and Second Accidents. The amounts he seeks are calculated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First Accident:</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$145,188.11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First and Second Accidents: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$22,281.43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$167,469.54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Mr. Brooks is not seeking reimbursement for the treatments relating to the Third Accident ($1,779.40) or for any treatments relating to the injury to his shoulder joints that he says he sustained in the Second Accident ($23,029.06).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I have reviewed the Rawlings Pay-Out Statements. Given my findings on causation in this action, Mr. Brooks is not entitled to recover any costs relating to the treatment of his jaw complaints or his radiculopathy symptoms. Therefore, as best as I was able, I calculated the amount of the payments that related to Mr. Brooks' jaw complaints ($4,934) and radiculopathy-related treatments ($3,996.72). I have also considered that, absent his accident-related injuries, Mr. Brooks likely would have sought some treatment for his pre-existing symptoms associated with his sedentary employment. I have deducted $2,175 US, assuming 25 sessions over the material time and applying Ms. Lane's cost estimate of $87 US per physical therapy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Finally, in the absence of sufficiently reliable medical evidence on the point, I do not accept the defendant's assertion that there should be a deduction in the amount recoverable because the amount of treatment undertaken by Mr. Brooks was "excessive to a marked degree". This assertion is overtaken by the reality of Mr. Brooks'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In sum, I find $156,363.82 is recoverable, calculated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8"/>
        <w:gridCol w:w="2064"/>
        <w:gridCol w:w="723"/>
        <w:gridCol w:w="619"/>
        <w:gridCol w:w="578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$167,469.54</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Sought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$4,934.00</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Jaw Related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$3,996.72</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Radiculopathy Related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$2,175.00</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Treatments that would have been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incurred in any event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$156,363.82</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Additional Premiums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I turn to consider Mr. Brooks' claim for $25,203.88 US for the additional premiums he says he paid on account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When Mr. Brooks moved to California, he enrolled in the more expensive health insurance plan made available to him through his new employment. He says he did so in order to ensure that all of his and his wife's medical expenses would be covered. From 2013 to 2017, he paid $91.53 US biweekly more in contributions than he would have on the other plan offered. From 2017 to 2018, when his daughter was added to his insurance plan, Mr. Brooks paid $118 US more biweekly.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On balancing the evidence as a whole, and in particular considering his wife's significant medical challenges and his pre-existing symptoms, I conclude that it is more likely than not that Mr. Brooks would have selected the more expensive plan when he went to work in the USA whether or not he had been injured in the First Accident. In my view, the $25,203.88 for additional premiums is not properly recoverable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In sum, I allow $166,210.05 US ($9,846.23 US + $156,363.82 US) for Mr. Brooks' U.S. special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FOREIGN MONEY CLAIMS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Foreign Money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155</w:t>
      </w:r>
      <w:r>
        <w:rPr>
          <w:rFonts w:ascii="arial" w:eastAsia="arial" w:hAnsi="arial" w:cs="arial"/>
          <w:color w:val="000000"/>
          <w:sz w:val="20"/>
          <w:lang w:val="en-US" w:eastAsia="en-US" w:bidi="ar-SA"/>
        </w:rPr>
        <w:t xml:space="preserve">, provides for damages to be made payable in the amount of Canadian currency that is necessary to purchase the equivalent amount of another currency, if that is necessary to provide full compensation.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If, before making an order for the payment of money arising out of a claim or loss, the court considers that the person in whose favour the order will be made will be most truly and exactly compensated if all or part of the money payable under the order is measured in a currency other than the currency of Canada, the court must order that the money payable under the order will be that amount of Canadian currency that is necessary to purchase the equivalent amount of the other currency at a chartered bank located in British Columbia at the close of business on the conversion date.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conversion date is the last day, before the day on which a payment under the order is made by the judgment debtor to the judgment creditor, that the bank referred to in subsection (1) quotes a Canadian dollar equivalent to the other currency.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xml:space="preserve">  In this case Mr. Brooks resides in California. His expenses are in United States dollars. Therefore, the damages I have awarded for cost of future care and special damages (but not for loss of housekeeping capacity) are stated in US dollars. The amount payable under the order will be the amount of Canadian currency that is necessary to purchase the equivalent amounts, pursuant to the </w:t>
      </w:r>
      <w:r>
        <w:rPr>
          <w:rFonts w:ascii="arial" w:eastAsia="arial" w:hAnsi="arial" w:cs="arial"/>
          <w:i/>
          <w:color w:val="000000"/>
          <w:sz w:val="20"/>
          <w:lang w:val="en-US" w:eastAsia="en-US" w:bidi="ar-SA"/>
        </w:rPr>
        <w:t>Foreign Money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Bonham v. Weir</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2009 BCSC 1080</w:t>
        </w:r>
      </w:hyperlink>
      <w:r>
        <w:rPr>
          <w:rFonts w:ascii="arial" w:eastAsia="arial" w:hAnsi="arial" w:cs="arial"/>
          <w:color w:val="000000"/>
          <w:sz w:val="20"/>
          <w:lang w:val="en-US" w:eastAsia="en-US" w:bidi="ar-SA"/>
        </w:rPr>
        <w:t xml:space="preserve"> at para.48.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Mr. Brooks' damages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$110,000 CA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 CA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 of Future Care:</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$14,600 US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 (Canada):</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$705.38 CA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 (USA):</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$166,210.05 US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As I found the injuries Mr. Brooks sustained to his neck, upper back and shoulder girdle (not shoulder joints) to be indivisible, I have assessed damages globally.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Mr. Brooks is entitled to his costs at Scale B unless there are pertinent circumstances that should be brought to the Court's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Because I am now retired as a judge of this Court, if the parties wish to make submissions concerning costs, they should contact Supreme Court Scheduling to arrange a hearing date before another judge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6" style="position:absolute;z-index:251762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Carhoun and Sons Enterprises Ltd. v. Canada (Attorney General), [2018] B.C.J. No. 3308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23-27, 30-31, November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 6-8, 10, 27, 29-30, December 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4-8, 18-22, 2017; January 2-5, 8-12, 15-19,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22-26, 29-30, February 1, 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12,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28,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S133770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3308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1675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Carhoun and Sons Enterprises Ltd., Plaintiff, and The Attorney General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(568 paras.)</w:t>
      </w:r>
    </w:p>
    <w:p>
      <w:pPr>
        <w:jc w:val="both"/>
        <w:rPr>
          <w:rFonts w:ascii="arial" w:eastAsia="arial" w:hAnsi="arial" w:cs="arial"/>
          <w:sz w:val="20"/>
          <w:lang w:val="en-US" w:eastAsia="en-US" w:bidi="ar-SA"/>
        </w:rPr>
      </w:pPr>
      <w:bookmarkStart w:id="16" w:name="Counsel_2"/>
      <w:bookmarkEnd w:id="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Douvelos, D. Dolejsi.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 McDonald, R. Danay, A. Gatti, M. Charles, H. Davis, K. Khalsa, M. Nicolls.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 w:name="Judgment_2"/>
      <w:bookmarkEnd w:id="17"/>
      <w:r>
        <w:pict>
          <v:line id="_x0000_s1038" style="position:absolute;z-index:251712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 w:name="C.E. HINKSON C.J.S.C"/>
            <w:bookmarkEnd w:id="18"/>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brought these proceedings against the Attorney General of Canada in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respecting the manner in which its application for authorization to infill and develop potential fish and wildlife habitat areas were adjudicated under s. 35(2) of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R.S.C. 1985, c. F-14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Although the exception sought by the plaintiff under s. 35(2)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ultimately issued with conditions, the plaintiff asserts that it was issued so late that it suffered foreseeable economic loss. The plaintiff claims damages for that loss, together with punitive or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Legislative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will set out the relevant English language parts of various Federal statutes in this section of these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Fisheries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Subsection 2(1)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defines the following terms in the following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fish</w:t>
      </w:r>
      <w:r>
        <w:rPr>
          <w:rFonts w:ascii="arial" w:eastAsia="arial" w:hAnsi="arial" w:cs="arial"/>
          <w:color w:val="000000"/>
          <w:sz w:val="20"/>
          <w:lang w:val="en-US" w:eastAsia="en-US" w:bidi="ar-SA"/>
        </w:rPr>
        <w:t xml:space="preserve"> includes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parts of fish,</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shellfish, crustaceans, marine animals and any parts of shellfish, crustaceans or marine animals,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eggs, sperm, spawn, larvae, spat and juvenile stages of fish, shellfish, crustaceans and marine animals;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fishery</w:t>
      </w:r>
      <w:r>
        <w:rPr>
          <w:rFonts w:ascii="arial" w:eastAsia="arial" w:hAnsi="arial" w:cs="arial"/>
          <w:color w:val="000000"/>
          <w:sz w:val="20"/>
          <w:lang w:val="en-US" w:eastAsia="en-US" w:bidi="ar-SA"/>
        </w:rPr>
        <w:t xml:space="preserve"> includes the area, locality, place or station in or on which a pound, seine, net, weir or other fishing appliance is used, set, placed or located, and the area, tract or stretch of water in or from which fish may be taken by the said pound, seine, net, weir or other fishing appliance, and also the pound, seine, net, weir, or other fishing appliance used in connection therewith;</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fish habitat</w:t>
      </w:r>
      <w:r>
        <w:rPr>
          <w:rFonts w:ascii="arial" w:eastAsia="arial" w:hAnsi="arial" w:cs="arial"/>
          <w:color w:val="000000"/>
          <w:sz w:val="20"/>
          <w:lang w:val="en-US" w:eastAsia="en-US" w:bidi="ar-SA"/>
        </w:rPr>
        <w:t xml:space="preserve"> means spawning grounds and any other areas, including nursery, rearing, food supply and migration areas, on which fish depend directly or indirectly in order to carry out their life processes;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Minister </w:t>
      </w:r>
      <w:r>
        <w:rPr>
          <w:rFonts w:ascii="arial" w:eastAsia="arial" w:hAnsi="arial" w:cs="arial"/>
          <w:color w:val="000000"/>
          <w:sz w:val="20"/>
          <w:lang w:val="en-US" w:eastAsia="en-US" w:bidi="ar-SA"/>
        </w:rPr>
        <w:t xml:space="preserve">means the Minister of Fisheries and Oceans or, in respect of any matter related to the Northern Pipeline referred to in the </w:t>
      </w:r>
      <w:r>
        <w:rPr>
          <w:rFonts w:ascii="arial" w:eastAsia="arial" w:hAnsi="arial" w:cs="arial"/>
          <w:i/>
          <w:color w:val="000000"/>
          <w:sz w:val="20"/>
          <w:lang w:val="en-US" w:eastAsia="en-US" w:bidi="ar-SA"/>
        </w:rPr>
        <w:t>Northern Pipeline Act</w:t>
      </w:r>
      <w:r>
        <w:rPr>
          <w:rFonts w:ascii="arial" w:eastAsia="arial" w:hAnsi="arial" w:cs="arial"/>
          <w:color w:val="000000"/>
          <w:sz w:val="20"/>
          <w:lang w:val="en-US" w:eastAsia="en-US" w:bidi="ar-SA"/>
        </w:rPr>
        <w:t xml:space="preserve"> the member of the Queen's Privy Council for Canada designated as the Minister for the purposes of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Subsection 2(2)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Act, serious harm to fish is the death of fish or any permanent alteration to, or destruction of, fish habitat.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description of harm, alteration, disruption and death in this subsection is routinely abbreviated by those who administer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a "HADD", and I will use that acronym 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Subsections 35(1) and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Serious harm to fish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35(1) No person shall carry on any work, undertaking or activity that results in serious harm to fish that are part of a commercial, recreational or Aboriginal fishery, or to fish that support such a fishery.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Exception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may carry on a work, undertaking or activity without contravening subsection (1) if</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undertaking or activity is a prescribed work, undertaking or activity, or is carried on in or around prescribed Canadian fisheries waters, and the work, undertaking or activity is carried on in accordance with the prescribed conditions;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carrying on of the work, undertaking or activity is authorized by the Minister and the work, undertaking or activity is carried on in accordance with the conditions established by the Minister;</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carrying on of the work, undertaking or activity is authorized by a prescribed person or entity and the work, undertaking or activity is carried on in accordance with the prescribed conditions;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 harm is produced as a result of doing anything that is authorized, otherwise permitted or required under this Act;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undertaking or activity is carried on in accordance with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Subsection 35(1) was introduced in the predecessor legislation in 1977. When its terms were debated in Parliament, the Honourable Roméo LeBlanc was the Minister of Fisheries and Oceans and the Environment. He explained the scope and intention of the prohibition in s. 35(1):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Protecting fish means protecting their habitats. Protecting the aquatic habitat involves controlling the use of wetlands. The banks of streams, the foreshores of estuaries, provide nutrients to the larger eco-system of lakes and oceans in amounts far out of proportion to their size. The chain of life extending to the whole open ocean depends on bogs, marshes, mudflats, and other "useless-looking" places that ruin your shoes... These rich shore areas support salmon, lobster, herring and other local populations; their influence extends for hundreds of miles, even to the most rocky shorelines. They are the irreplaceable nurseries of fisheries well-being.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Habitat protection will always remain a difficult battle because it runs against the energies of good people following their natural bent: developers, loggers, land reclaimers, and so on. The work of constant monitoring and restraint where necessary is hard, but the alternative prospect of forever losing stocks or species of fish is not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House of Commons Debates</w:t>
      </w:r>
      <w:r>
        <w:rPr>
          <w:rFonts w:ascii="arial" w:eastAsia="arial" w:hAnsi="arial" w:cs="arial"/>
          <w:color w:val="000000"/>
          <w:sz w:val="20"/>
          <w:lang w:val="en-US" w:eastAsia="en-US" w:bidi="ar-SA"/>
        </w:rPr>
        <w:t>, 30th Parl, 2nd Sess, Vol. 6 (16 May 1977) at 5668.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Section 40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prescribes fines and imprisonment as potential penalties for violations of s. 35(1) resulting in a HADD without an authorization pursuant to s. 35(2).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Canadian Environmental Assessment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Sections 2(1), 4, 5, and 59 of the English language portions of the </w:t>
      </w:r>
      <w:r>
        <w:rPr>
          <w:rFonts w:ascii="arial" w:eastAsia="arial" w:hAnsi="arial" w:cs="arial"/>
          <w:i/>
          <w:color w:val="000000"/>
          <w:sz w:val="20"/>
          <w:lang w:val="en-US" w:eastAsia="en-US" w:bidi="ar-SA"/>
        </w:rPr>
        <w:t>Canadian Environmental Assessment Act</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S.C. 1992, c. 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provide in part that:</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comprehensive study</w:t>
      </w:r>
      <w:r>
        <w:rPr>
          <w:rFonts w:ascii="arial" w:eastAsia="arial" w:hAnsi="arial" w:cs="arial"/>
          <w:color w:val="000000"/>
          <w:sz w:val="20"/>
          <w:lang w:val="en-US" w:eastAsia="en-US" w:bidi="ar-SA"/>
        </w:rPr>
        <w:t xml:space="preserve"> means an environmental assessment that is conducted under section 21, and that includes a consideration of the factors required to be considered under subsections 16(1) and (2);</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comprehensive study list</w:t>
      </w:r>
      <w:r>
        <w:rPr>
          <w:rFonts w:ascii="arial" w:eastAsia="arial" w:hAnsi="arial" w:cs="arial"/>
          <w:color w:val="000000"/>
          <w:sz w:val="20"/>
          <w:lang w:val="en-US" w:eastAsia="en-US" w:bidi="ar-SA"/>
        </w:rPr>
        <w:t xml:space="preserve"> means a list of all projects or classes of projects that have been prescribed by regulations made under paragraph 58(1)(i);</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environment</w:t>
      </w:r>
      <w:r>
        <w:rPr>
          <w:rFonts w:ascii="arial" w:eastAsia="arial" w:hAnsi="arial" w:cs="arial"/>
          <w:color w:val="000000"/>
          <w:sz w:val="20"/>
          <w:lang w:val="en-US" w:eastAsia="en-US" w:bidi="ar-SA"/>
        </w:rPr>
        <w:t xml:space="preserve"> means the components of the Earth, and includes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land, water and air, including all layers of the atmosphere,</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organic and inorganic matter and living organisms,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interacting natural systems that include components referred to in paragraphs (a) and (b);</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federal authority</w:t>
      </w:r>
      <w:r>
        <w:rPr>
          <w:rFonts w:ascii="arial" w:eastAsia="arial" w:hAnsi="arial" w:cs="arial"/>
          <w:color w:val="000000"/>
          <w:sz w:val="20"/>
          <w:lang w:val="en-US" w:eastAsia="en-US" w:bidi="ar-SA"/>
        </w:rPr>
        <w:t xml:space="preserve"> means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Minister of the Crown in right of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purposes of this Act are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ensure that projects are considered in a careful and precautionary manner before federal authorities take action in connection with them, in order </w:t>
      </w:r>
      <w:r>
        <w:rPr>
          <w:rFonts w:ascii="arial" w:eastAsia="arial" w:hAnsi="arial" w:cs="arial"/>
          <w:color w:val="000000"/>
          <w:sz w:val="20"/>
          <w:u w:val="single"/>
          <w:lang w:val="en-US" w:eastAsia="en-US" w:bidi="ar-SA"/>
        </w:rPr>
        <w:t>to ensure that such projects do not cause significant adverse environmental effects</w:t>
      </w:r>
      <w:r>
        <w:rPr>
          <w:rFonts w:ascii="arial" w:eastAsia="arial" w:hAnsi="arial" w:cs="arial"/>
          <w:color w:val="000000"/>
          <w:sz w:val="20"/>
          <w:lang w:val="en-US" w:eastAsia="en-US" w:bidi="ar-SA"/>
        </w:rPr>
        <w:t>;</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encourage responsible authorities to take actions that promote sustainable development and thereby achieve or maintain a healthy environment and a healthy economy;</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that responsible authorities carry out their responsibilities in a coordinated manner with a view to eliminating unnecessary duplication in the environmental assessment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that projects that are to be carried out in Canada or on federal lands do not cause significant adverse environmental effects outside the jurisdictions in which the projects are carried out;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that there be opportunities for timely and meaningful public participation throughout the environmental assessment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administration of this Act, the Government of Canada, the Minister, the Agency and all bodies subject to the provisions of this Act, including federal authorities and responsible authorities, shall exercise their powers in a manner that protects the environment and human health and applies the precautionary principle.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(1) An environmental assessment of a project is required before a federal authority exercises one of the following powers or performs one of the following duties or functions in respect of a project, namely, where a federal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a provision prescribed pursuant to paragraph 59(f), issues a permit or licence, grants an approval or takes any other action for the purpose of enabling the project to be carried out in whole or in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The Governor in Council may make regulations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respecting the procedures and requirements of, and the time periods relating to, environmental assessment and follow-up programs, including the conduct of assessments by review panels established pursuant to section 40 and the timing of taking a course of action pursuant to section 20 or 37 where two or more federal authorities are likely to exercise a power or perform a duty or function referred to in section 5 with respect to the same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prescribing, for the purposes of paragraph 5(1)(d), the provisions of any Act of Parliament or any instrument made under an Act of Parliament;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prescribing the provisions of any Act of Parliament or any regulation made pursuant to any such Act that confer powers, duties or functions on the Governor in Council, the exercise or performance of which require an environmental assessment under subsection 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section 9, respecting the manner of conducting environmental assessments of, and follow-up programs for, projects, as well as any action to be taken in respect of projects during the assessment process and, for those purposes, respecting the application of the laws from time to time in force in any province;</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prescribing the provisions of any Act of Parliament or any regulation made pursuant to an Act of Parliament that confer powers, duties or functions on a person or body referred to in subsection 9(1), the exercise or performance of which requires an environmental assessment under paragraph 9(2)(d)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Other provisions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relevant to this issues in dispute are ss. 11, 12, 12.1-12.5, 14, 15-18, 20, 25, 26, 27, 28, 37, and 58. Some of these provisions will be mentioned in more detail later in these reasons. For those provisions that are not, I have attached them as appendix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Law List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Section 2 of the </w:t>
      </w:r>
      <w:r>
        <w:rPr>
          <w:rFonts w:ascii="arial" w:eastAsia="arial" w:hAnsi="arial" w:cs="arial"/>
          <w:i/>
          <w:color w:val="000000"/>
          <w:sz w:val="20"/>
          <w:lang w:val="en-US" w:eastAsia="en-US" w:bidi="ar-SA"/>
        </w:rPr>
        <w:t>Law List Regulations</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S.O.R./94-636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 List</w:t>
      </w:r>
      <w:r>
        <w:rPr>
          <w:rFonts w:ascii="arial" w:eastAsia="arial" w:hAnsi="arial" w:cs="arial"/>
          <w:color w:val="000000"/>
          <w:sz w:val="20"/>
          <w:lang w:val="en-US" w:eastAsia="en-US" w:bidi="ar-SA"/>
        </w:rPr>
        <w:t xml:space="preserve">], enacted pursuant to s. 59(f)-(g)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provide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provisions of an Act set out in Part I of Schedule I and a regulation set out in Part II of that Schedule are prescribed for the purposes of paragraph 5(1)(d) of the </w:t>
      </w:r>
      <w:r>
        <w:rPr>
          <w:rFonts w:ascii="arial" w:eastAsia="arial" w:hAnsi="arial" w:cs="arial"/>
          <w:i/>
          <w:color w:val="000000"/>
          <w:sz w:val="20"/>
          <w:lang w:val="en-US" w:eastAsia="en-US" w:bidi="ar-SA"/>
        </w:rPr>
        <w:t>Canadian Environmental Assessment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Item 6 of Schedule 1, Part 1 of the </w:t>
      </w:r>
      <w:r>
        <w:rPr>
          <w:rFonts w:ascii="arial" w:eastAsia="arial" w:hAnsi="arial" w:cs="arial"/>
          <w:i/>
          <w:color w:val="000000"/>
          <w:sz w:val="20"/>
          <w:lang w:val="en-US" w:eastAsia="en-US" w:bidi="ar-SA"/>
        </w:rPr>
        <w:t>Law List</w:t>
      </w:r>
      <w:r>
        <w:rPr>
          <w:rFonts w:ascii="arial" w:eastAsia="arial" w:hAnsi="arial" w:cs="arial"/>
          <w:color w:val="000000"/>
          <w:sz w:val="20"/>
          <w:lang w:val="en-US" w:eastAsia="en-US" w:bidi="ar-SA"/>
        </w:rPr>
        <w:t xml:space="preserve"> prescribes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Fisheries Act</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22(1)</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22(2)</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22(3)</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32</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35(2)</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37(2)</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Species at Risk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Species at Risk Act</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S.C. 2002, c. 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SARA</w:t>
      </w:r>
      <w:r>
        <w:rPr>
          <w:rFonts w:ascii="arial" w:eastAsia="arial" w:hAnsi="arial" w:cs="arial"/>
          <w:color w:val="000000"/>
          <w:sz w:val="20"/>
          <w:lang w:val="en-US" w:eastAsia="en-US" w:bidi="ar-SA"/>
        </w:rPr>
        <w:t xml:space="preserve">] was passed in 2002 "as the first comprehensive federal legislation seeking (a) to prevent wildlife species from being extirpated or becoming extinct and (b) to provide for the recovery of wildlife species that are extirpated, endangered or threatened as a result of human activity": </w:t>
      </w:r>
      <w:r>
        <w:rPr>
          <w:rFonts w:ascii="arial" w:eastAsia="arial" w:hAnsi="arial" w:cs="arial"/>
          <w:i/>
          <w:color w:val="000000"/>
          <w:sz w:val="20"/>
          <w:lang w:val="en-US" w:eastAsia="en-US" w:bidi="ar-SA"/>
        </w:rPr>
        <w:t>Canada (Fisheries and Oceans) v. David Suzuki Foundation</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2012 FCA 40</w:t>
        </w:r>
      </w:hyperlink>
      <w:r>
        <w:rPr>
          <w:rFonts w:ascii="arial" w:eastAsia="arial" w:hAnsi="arial" w:cs="arial"/>
          <w:color w:val="000000"/>
          <w:sz w:val="20"/>
          <w:lang w:val="en-US" w:eastAsia="en-US" w:bidi="ar-SA"/>
        </w:rPr>
        <w:t xml:space="preserve"> at para. 12. The preamble to this legislation provides, in part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Government of Canada is committed to conserving biological diversity and to the principle that, if there are threats of serious or irreversible damage to a wildlife species, cost-effective measures to prevent the reduction or loss of the species should not be postponed for a lack of full scientific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Sections 15, 33, 56, 58 and 79 of the English language provisions of </w:t>
      </w:r>
      <w:r>
        <w:rPr>
          <w:rFonts w:ascii="arial" w:eastAsia="arial" w:hAnsi="arial" w:cs="arial"/>
          <w:i/>
          <w:color w:val="000000"/>
          <w:sz w:val="20"/>
          <w:lang w:val="en-US" w:eastAsia="en-US" w:bidi="ar-SA"/>
        </w:rPr>
        <w:t>SARA</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Functions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(1) The functions of COSEWIC [Committee on the Status of Endangered Wildlife in Canada] are to</w:t>
      </w:r>
    </w:p>
    <w:p>
      <w:pPr>
        <w:numPr>
          <w:numId w:val="3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 the status of each wildlife species considered by COSEWIC to be at risk and, as part of the assessment, identify existing and potential threats to the species and</w:t>
      </w:r>
    </w:p>
    <w:p>
      <w:pPr>
        <w:numPr>
          <w:numId w:val="3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classify the species as extinct, extirpated, endangered, threatened or of special concern,</w:t>
      </w:r>
    </w:p>
    <w:p>
      <w:pPr>
        <w:numPr>
          <w:numId w:val="3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indicate that COSEWIC does not have sufficient information to classify the species, or</w:t>
      </w:r>
    </w:p>
    <w:p>
      <w:pPr>
        <w:numPr>
          <w:numId w:val="3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indicate that the species is not currently at risk;</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when wildlife species are to be assessed, with priority given to those more likely to become extinct;</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a new assessment of the status of species at risk and, if appropriate, reclassify or declassify them;</w:t>
      </w:r>
    </w:p>
    <w:p>
      <w:pPr>
        <w:numPr>
          <w:numId w:val="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indicate in the assessment whether the wildlife species migrates across Canada's boundary or has a range extending across Canada's boundary;</w:t>
      </w:r>
    </w:p>
    <w:p>
      <w:pPr>
        <w:numPr>
          <w:numId w:val="4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 and periodically review criteria for assessing the status of wildlife species and for classifying them and recommend the criteria to the Minister and the Canadian Endangered Species Conservation Council; and</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advice to the Minister and the Canadian Endangered Species Conservation Council and perform any other functions that the Minister, after consultation with that Council, may assign.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Best information and knowledge</w:t>
      </w:r>
    </w:p>
    <w:p>
      <w:pPr>
        <w:numPr>
          <w:numId w:val="4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COSEWIC must carry out its functions on the basis of the best available information on the biological status of a species, including scientific knowledge, community knowledge and aboriginal traditional knowledge.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 or destruction of residence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33 No person shall damage or destroy the residence of one or more individuals of a wildlife species that is listed as an endangered species or a threatened species, or that is listed as an extirpated species if a recovery strategy has recommended the reintroduction of the species into the wild in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Destruction of critical habitat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58 (1) Subject to this section, no person shall destroy any part of the critical habitat of any listed endangered species or of any listed threatened species -- or of any listed extirpated species if a recovery strategy has recommended the reintroduction of the species into the wild in Canada -- if</w:t>
      </w:r>
    </w:p>
    <w:p>
      <w:pPr>
        <w:numPr>
          <w:numId w:val="4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critical habitat is on federal land, in the exclusive economic zone of Canada or on the continental shelf of Canada;</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listed species is an aquatic species; or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Notification of Minister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79 (1) Every person who is required by or under an Act of Parliament to ensure that an assessment of the environmental effects of a project is conducted must, without delay, notify the competent minister or ministers in writing of the project if it is likely to affect a listed wildlife species or its critical habitat.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Required Action</w:t>
      </w:r>
    </w:p>
    <w:p>
      <w:pPr>
        <w:numPr>
          <w:numId w:val="4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must identify the adverse effects of the project on the listed wildlife species and its critical habitat and, if the project is carried out, must ensure that measures are taken to avoid or lessen those effects and to monitor them. The measures must be taken in a way that is consistent with any applicable recovery strategy and action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Canada-British Columbia Agreement on Species at Risk</w:t>
      </w:r>
      <w:r>
        <w:rPr>
          <w:rFonts w:ascii="arial" w:eastAsia="arial" w:hAnsi="arial" w:cs="arial"/>
          <w:color w:val="000000"/>
          <w:sz w:val="20"/>
          <w:lang w:val="en-US" w:eastAsia="en-US" w:bidi="ar-SA"/>
        </w:rPr>
        <w:t xml:space="preserve"> (2005) sets out a number of ways in which the federal and provincial governments will coordinate and cooperate in areas such as listing new species at risk, recovery planning, stewardship, and environmental assessment. The </w:t>
      </w:r>
      <w:r>
        <w:rPr>
          <w:rFonts w:ascii="arial" w:eastAsia="arial" w:hAnsi="arial" w:cs="arial"/>
          <w:i/>
          <w:color w:val="000000"/>
          <w:sz w:val="20"/>
          <w:lang w:val="en-US" w:eastAsia="en-US" w:bidi="ar-SA"/>
        </w:rPr>
        <w:t>Agreement's</w:t>
      </w:r>
      <w:r>
        <w:rPr>
          <w:rFonts w:ascii="arial" w:eastAsia="arial" w:hAnsi="arial" w:cs="arial"/>
          <w:color w:val="000000"/>
          <w:sz w:val="20"/>
          <w:lang w:val="en-US" w:eastAsia="en-US" w:bidi="ar-SA"/>
        </w:rPr>
        <w:t xml:space="preserve"> overall purpose is coordination and cooperation, to ensure no species falls through the cracks.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Federal Coordination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 relies upon the timelines for federal decision making set out in the </w:t>
      </w:r>
      <w:r>
        <w:rPr>
          <w:rFonts w:ascii="arial" w:eastAsia="arial" w:hAnsi="arial" w:cs="arial"/>
          <w:i/>
          <w:color w:val="000000"/>
          <w:sz w:val="20"/>
          <w:lang w:val="en-US" w:eastAsia="en-US" w:bidi="ar-SA"/>
        </w:rPr>
        <w:t>Regulations Respecting the Coordination of Federal Authorities of Environmental Assessment Procedures and Requirements</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SOR/97-181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FCR</w:t>
      </w:r>
      <w:r>
        <w:rPr>
          <w:rFonts w:ascii="arial" w:eastAsia="arial" w:hAnsi="arial" w:cs="arial"/>
          <w:color w:val="000000"/>
          <w:sz w:val="20"/>
          <w:lang w:val="en-US" w:eastAsia="en-US" w:bidi="ar-SA"/>
        </w:rPr>
        <w:t xml:space="preserve">], enacted in 1997 pursuant to s. 59(a)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Sections 3, 5, 6 and 8 of the </w:t>
      </w:r>
      <w:r>
        <w:rPr>
          <w:rFonts w:ascii="arial" w:eastAsia="arial" w:hAnsi="arial" w:cs="arial"/>
          <w:i/>
          <w:color w:val="000000"/>
          <w:sz w:val="20"/>
          <w:lang w:val="en-US" w:eastAsia="en-US" w:bidi="ar-SA"/>
        </w:rPr>
        <w:t>FCR</w:t>
      </w:r>
      <w:r>
        <w:rPr>
          <w:rFonts w:ascii="arial" w:eastAsia="arial" w:hAnsi="arial" w:cs="arial"/>
          <w:color w:val="000000"/>
          <w:sz w:val="20"/>
          <w:lang w:val="en-US" w:eastAsia="en-US" w:bidi="ar-SA"/>
        </w:rPr>
        <w:t xml:space="preserve"> provide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Determination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(1) Subject to section 4, a federal authority that receives a project description from a province, the Agency or the proponent of the project shall, within 30 days after receipt of the project description, determine if</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authority is likely to require an environmental assessment of the project under section 5 of the Act;</w:t>
      </w:r>
    </w:p>
    <w:p>
      <w:pPr>
        <w:numPr>
          <w:numId w:val="5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authority is not likely to require an environmental assessment of the project under section 5 of the Act; or</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information is necessary to make a determination referred to in paragraph (a) or (b).</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federal authority determines that additional information is necessary pursuant to paragraph (1)(c), it shall request that information within 10 days after making the determination.</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federal authority shall make a determination referred to in paragraph (1)(a), (b) or (c) within 10 days after receipt of the information requested pursuant to subsection (2).</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(5), a federal authority shall inform the proponent of the project of a determination referred to in paragraph (1)(a) or (b) within 10 days after making that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Notification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 (1) A federal authority that has determined pursuant to paragraph 3(1)(a) or 4(1)(a) that it is likely to require an environmental assessment of a project shall ensure that written notice is given, within 10 days after making that determination, to other federal authorities that are likely to</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a power in respect of the project; or</w:t>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 in possession of specialist or expert information or knowledge that is necessary to conduct the environmental assessment of the project.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shall specify the name of the person to whom the other federal authorities are to respond, shall be accompanied by a project description and shall specify the time within which to respond referred to in subsection (3).</w:t>
      </w:r>
    </w:p>
    <w:p>
      <w:pPr>
        <w:numPr>
          <w:numId w:val="5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authority that gives the notice shall establish the time within which to respond under paragraph 6(1)(a), (b) or (c) in consultation with the federal authority to whom the notice is given, but that time shall not exceed 30 days.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Response Requirements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 (1) A federal authority that receives a notice referred to in section 5 shall respond to the person specified in the notice, indicating its determination that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likely to require an environmental assessment of the project under section 5 of the Act;</w:t>
      </w:r>
    </w:p>
    <w:p>
      <w:pPr>
        <w:numPr>
          <w:numId w:val="6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likely to require an environmental assessment of the project under section 5 of the Act;</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in possession of specialist or expert information or knowledge that is necessary to conduct the environmental assessment of the project; or</w:t>
      </w:r>
    </w:p>
    <w:p>
      <w:pPr>
        <w:numPr>
          <w:numId w:val="6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information is necessary to make a determination referred to in paragraph (a), (b) or (c).</w:t>
      </w:r>
    </w:p>
    <w:p>
      <w:pPr>
        <w:numPr>
          <w:numId w:val="6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federal authority determines that additional information is necessary pursuant to paragraph (1)(d), it shall request that information within 10 days after receipt of the notice.</w:t>
      </w:r>
    </w:p>
    <w:p>
      <w:pPr>
        <w:numPr>
          <w:numId w:val="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federal authority shall make a response referred to in paragraph (1)(a), (b), (c) or (d) within 10 days after receipt of the information requested pursuant to subsection (2).</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federal authority shall inform the proponent of the project of a determination referred to in paragraph (1)(a) or (b) within 10 days after making that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Scope of Environmental Assessment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 Where a project is subject to a screening or a comprehensive study, the responsible authorities other than a federal authority referred to in section 7 shall, after consulting with all federal authorities that respond pursuant to paragraph 6(1) (c), together determine</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scope of the project pursuant to subsection 15(1) of the Act;</w:t>
      </w:r>
    </w:p>
    <w:p>
      <w:pPr>
        <w:numPr>
          <w:numId w:val="6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factors to be considered pursuant to section 16 of the Act; and</w:t>
      </w:r>
    </w:p>
    <w:p>
      <w:pPr>
        <w:numPr>
          <w:numId w:val="6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scope of the factors referred to in paragraph (b).</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Non-Statutory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to the statutory provisions set out above, the plaintiff relies on parts of the following non-statutory federal government policies and guidelines:</w:t>
      </w:r>
      <w:r>
        <w:rPr>
          <w:rFonts w:ascii="arial" w:eastAsia="arial" w:hAnsi="arial" w:cs="arial"/>
          <w:sz w:val="20"/>
          <w:lang w:val="en-US" w:eastAsia="en-US" w:bidi="ar-SA"/>
        </w:rPr>
        <w:cr/>
      </w:r>
    </w:p>
    <w:p>
      <w:pPr>
        <w:numPr>
          <w:numId w:val="6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Department of Fisheries and Oceans ('"DFO")'s </w:t>
      </w:r>
      <w:r>
        <w:rPr>
          <w:rFonts w:ascii="arial" w:eastAsia="arial" w:hAnsi="arial" w:cs="arial"/>
          <w:i/>
          <w:color w:val="000000"/>
          <w:sz w:val="20"/>
          <w:lang w:val="en-US" w:eastAsia="en-US" w:bidi="ar-SA"/>
        </w:rPr>
        <w:t>Policy for the Management of Fish Habitat</w:t>
      </w:r>
      <w:r>
        <w:rPr>
          <w:rFonts w:ascii="arial" w:eastAsia="arial" w:hAnsi="arial" w:cs="arial"/>
          <w:color w:val="000000"/>
          <w:sz w:val="20"/>
          <w:lang w:val="en-US" w:eastAsia="en-US" w:bidi="ar-SA"/>
        </w:rPr>
        <w:t xml:space="preserve"> (1986) [</w:t>
      </w:r>
      <w:r>
        <w:rPr>
          <w:rFonts w:ascii="arial" w:eastAsia="arial" w:hAnsi="arial" w:cs="arial"/>
          <w:i/>
          <w:color w:val="000000"/>
          <w:sz w:val="20"/>
          <w:lang w:val="en-US" w:eastAsia="en-US" w:bidi="ar-SA"/>
        </w:rPr>
        <w:t>Habitat Policy</w:t>
      </w:r>
      <w:r>
        <w:rPr>
          <w:rFonts w:ascii="arial" w:eastAsia="arial" w:hAnsi="arial" w:cs="arial"/>
          <w:color w:val="000000"/>
          <w:sz w:val="20"/>
          <w:lang w:val="en-US" w:eastAsia="en-US" w:bidi="ar-SA"/>
        </w:rPr>
        <w:t>];</w:t>
      </w:r>
    </w:p>
    <w:p>
      <w:pPr>
        <w:numPr>
          <w:numId w:val="7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DFO's </w:t>
      </w:r>
      <w:r>
        <w:rPr>
          <w:rFonts w:ascii="arial" w:eastAsia="arial" w:hAnsi="arial" w:cs="arial"/>
          <w:i/>
          <w:color w:val="000000"/>
          <w:sz w:val="20"/>
          <w:lang w:val="en-US" w:eastAsia="en-US" w:bidi="ar-SA"/>
        </w:rPr>
        <w:t>Habitat Management Program: Standard Operating Policies</w:t>
      </w:r>
      <w:r>
        <w:rPr>
          <w:rFonts w:ascii="arial" w:eastAsia="arial" w:hAnsi="arial" w:cs="arial"/>
          <w:color w:val="000000"/>
          <w:sz w:val="20"/>
          <w:lang w:val="en-US" w:eastAsia="en-US" w:bidi="ar-SA"/>
        </w:rPr>
        <w:t xml:space="preserve"> (2006);</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DFO's National Habitat Management Training Program (2006);</w:t>
      </w:r>
    </w:p>
    <w:p>
      <w:pPr>
        <w:numPr>
          <w:numId w:val="7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DFOs bulletin "Environmental Assessments &amp; Major Projects: Confirmation of CEAA Requirements (2006);</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DFO's </w:t>
      </w:r>
      <w:r>
        <w:rPr>
          <w:rFonts w:ascii="arial" w:eastAsia="arial" w:hAnsi="arial" w:cs="arial"/>
          <w:i/>
          <w:color w:val="000000"/>
          <w:sz w:val="20"/>
          <w:lang w:val="en-US" w:eastAsia="en-US" w:bidi="ar-SA"/>
        </w:rPr>
        <w:t>Regional Habitat Regulatory Decision Framework</w:t>
      </w:r>
      <w:r>
        <w:rPr>
          <w:rFonts w:ascii="arial" w:eastAsia="arial" w:hAnsi="arial" w:cs="arial"/>
          <w:color w:val="000000"/>
          <w:sz w:val="20"/>
          <w:lang w:val="en-US" w:eastAsia="en-US" w:bidi="ar-SA"/>
        </w:rPr>
        <w:t xml:space="preserve"> (2009 and 2010);</w:t>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Canada-British Columbia Agreement on Species at Risk</w:t>
      </w:r>
      <w:r>
        <w:rPr>
          <w:rFonts w:ascii="arial" w:eastAsia="arial" w:hAnsi="arial" w:cs="arial"/>
          <w:color w:val="000000"/>
          <w:sz w:val="20"/>
          <w:lang w:val="en-US" w:eastAsia="en-US" w:bidi="ar-SA"/>
        </w:rPr>
        <w:t xml:space="preserve"> (2005); and</w:t>
      </w:r>
    </w:p>
    <w:p>
      <w:pPr>
        <w:numPr>
          <w:numId w:val="7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Canada's </w:t>
      </w:r>
      <w:r>
        <w:rPr>
          <w:rFonts w:ascii="arial" w:eastAsia="arial" w:hAnsi="arial" w:cs="arial"/>
          <w:i/>
          <w:color w:val="000000"/>
          <w:sz w:val="20"/>
          <w:lang w:val="en-US" w:eastAsia="en-US" w:bidi="ar-SA"/>
        </w:rPr>
        <w:t>Values and Ethics Code for the Public Sector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is part of a family-owned corporate group that includes two other corporate entities: Bullet Enterprises Ltd. ("Bullet") and Carhoun Holdings Ltd., which holds the shares of the plaintiff and Bullet. The shareholders of Carhoun Holdings are two brothers, Karel and Phillip Carhoun. Margaret Carhoun is Karel Carhoun's wife, and Susan Carhoun is Phillip Carhoun's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2002, JNJJ Enterprises Ltd. ("JNJJ"), a company owned by the Carhoun brothers' father, loaned Bullet funds to finance work on a Super 8 Motel, which was located on Sumas Way in Abbotsford, B.C., along with commercial rental properties owned by Bullet ("the Sumas Way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addition to the Sumas Way Property, Bullet owned a property on West 75th Avenue in Vancouver, BC, that was used as office space ("the Vancouver Property"). As the plaintiff had little or no income of its own, it was entirely dependent upon the Carhoun corporate group for its cash and financing needs. The Super 8 Motel was the sole revenue generator for the Carhoun corporate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Sumas Way Property, together with the Carhoun brothers' personal residences in Vancouver, were treated as "collective assets" by the Carhoun brothers and the Carhoun corporate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2005, the plaintiff borrowed $1,800,000 from JNJJ Enterprises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From 2006 to 2009, Bullet borrowed approximately $11,700,000 from Canadian Western Bank ("CWB") for new construction on the Motel. The loan was secured by, among other things, a mortgage over the Sumas Way Property. The plaintiff was a guarantor of this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April 26, 2007, the plaintiff borrowed $3,750,000 from Coast Capital Savings Credit Union ("Coast Capital"), which was secured by, among other things, a mortgage over five of the six properties I will refer to as the "Mission Lands" owned by the plaintiff in Mission,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November 6, 2007, the plaintiff borrowed $400,000 from HSBC Bank Canada ("HSBC").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By 2008, Bullet was having financial difficulties. Karel Carhoun agreed on cross-examination that Bullet's business at the Sumas Way Property (the Super 8 Motel) was not as good as anticipated after it re-opened following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April 24, 2008, November 5, 2009, November 18, 2009, and December 6, 2011, the plaintiff borrowed from JNJJ additional amounts totalling $520,000.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July 2008, the Carhoun brothers attempted to borrow up to 75% of the appraised values of their residences to raise the interest reserve required by Coast Capital to extend its financing for a year. Coast Capital extended its credit facility, and the Carhoun brothers took funds out of the equity in their respective homes. Coast Capital subsequently extended its credit facility on more than one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Thereafter, the revenue generated by the Sumas Way Property declined. Jessie Taha, the Senior Assistant Vice-President of Credit Risk Management at CWB, Bullet's main creditor at the time, testified that as of December 31, 2008, Bullet had a net cash flow of only $0.36 to cover each $1.00 of debt and that its finances were deteriorating as of 2009. Bullet's financial statements show that it reported losses in 2009, 2010, and 2011, and that its retained earnings deficits at the end of each year were $2,496,690, $3,365,340, and $5,276,406, respectively. Furthermore, its statements all contain going concern notes for these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These notes state that the plaintiff's viability in the immediate term was dependent on the continued support of its shareholders and other members of the Carhoun corporate group to satisfy working capital requirements, and that its viability in the longer term was dependent on the plaintiff continuing to realize profitable operations and positive cash flows. On cross-examination, the plaintiff's accountant, Michael Louie, agreed that a "going concern" note is added to a financial statement when management is aware of circumstances that might affect the company's ability to operate in the 12 months following the financial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By 2009, the plaintiff was indebted to JNJJ, Coast Capital, and HSBC, and had a contingent liability to CWB.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September 25, 2009, the plaintiff entered into an option to purchase the shares of the Sun Valley Trout Park Inc. with the owners of Trout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all relevant times, property taxes were in arrears for the Mission Lands and the Sumas Way Property. Karel Carhoun admitted that due to cash flow problems, he and his brother chose not to pay property taxes, as "there was nothing unlawful about deferring your property taxes". However, the failure to pay property tax was a ground of default under the plaintiff's CWB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By October of 2009, Bullet had defaulted on the CWB loan by failing to make payments, pay property taxes, and maintain an agreed cash-flow coverage ratio.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2009, the plaintiff incurred additional debt: the plaintiff continued to carry the debt incurred as of 2009 on which interest continued to accrue, and in 2010 took on additional debt (although possibly only on a contingent basis) from IMOR Capital Corp ("IMOR").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2010, Bullet again failed to pay its property taxes owing on the Sumas Way Property and the Mission Lands. In 2009 and 2010, Bullet failed to make loan payments to CWB. Karel Carhoun confirmed in his testimony that "we" were having cash flow issues at that time. By September 22, 2010, CWB advised that it would act on its assignment of rents and, if necessary, foreclose on the Sumas Way Property. CWB eventually appointed a receiver manager for rents, who complained that Bullet's revenue was not being used to pay its debt owing to CWB.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November of 2010, IMOR had agreed to refinance both the plaintiff and Bullet and to pay out the CWB loan. IMOR also reserved $200,000 from the loan advanced to the plaintiff for a deposit towards the proposed purchase of the Sun Valley Trout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October 2010, Bullet borrowed $10,400,000 from IMOR. The CWB loan was re-paid using these funds. The plaintiff was a guarantor of this loan. In November 2010, Bullet borrowed a further $5,000,000 from IMOR, of which only $4,000,000 was advanced. The plaintiff was either a co-borrower or guarantor of this $4,000,000 loan; regardless, it was treated as a contingent liability in the plaintiff's financial statements. The loans from IMOR were secured by debentures that granted charges over, among others, the Sumas Way Property and the Mission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conclude that IMOR was the corporate group's lender of last resort. Karel Carhoun agreed on cross-examination that it charged the plaintiff higher interest rates than a traditional bank, and that prior to entering into the agreement with IMOR, the plaintiff had attempted to secure financing through alternate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January 4, 2011, the plaintiff entered into a share purchase agreement with the owners of the Trout Park to purchase the shares in the Park for $2,000,000. The plaintiff borrowed $100,000 from IMOR to make the first instalment payment on the shares on January 24, 2011. The next day, the plaintiff assigned the share purchase agreement with Trout Park Inc. to IMOR as that was a term of the refinancing arrangement with IMOR.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October 6, 2011, Bullet borrowed $375,000 from Courbet Properties Ltd. ("Courbet"), which was secured by a mortgage over the property on the West 75th Avenue in Vancouver. In May 2013, Courbet started foreclosure proceedings against, among others, Bullet. The proceedings resulted in Courbet obtaining an order for conduct of sale of the Vancouver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November 2011, the IMOR credit facility was extended, for which IMOR took additional security over the Carhoun brothers' personal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financial statements for 2008 to 2011 all show that the plaintiff had two sources of minimal income in those years: property rentals and interest. The financial statements show that the plaintiff incurred a loss in each of these years and that its retained earnings declined from $1,725,904 at the beginning of 2007 to $57,221 at the end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By March of 2012, the IMOR loans expired and were in default. As of March 26, 2012, the outstanding balance owing to IMOR in respect of the $4,000,000 loan was $4,595,291.91.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April of 2012, IMOR appointed a receiver over the Sumas Way Property and by May of 2012, it commenced foreclosure proceedings against Bullet and the plaintiff for the Property, the Mission Lands, and the personal residences of the Carhoun brothers. On November 18, 2014, as a result of the foreclosure proceedings, title to the Mission Lands was vested in the name of IMOR's nominee pursuant to an order absolute. The Sumas Way Property was eventually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October 2012, Coast Capital started foreclosure proceedings on the Mission Lands against, among others, the plaintiff. The outstanding balance owing by the plaintiff to Coast Capital as of November 30, 2012, was $3,997,659.63. The Coast Capital foreclosure proceedings did not result in the sale of the Mission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outstanding balance owing by the plaintiff to HSBC as of December 21, 2012, was $213,190.73.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loans from JNJJ to the plaintiff continued periodically and by November of 2013, JNJJ was owed $2,592,269.64.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both 2012 and 2013, the plaintiff failed to pay the property taxes owing. JNJJ made these payments for the plaintiff. They totaled more than $100,000. In November 2013, JNJJ started foreclosure proceedings against, among others, the plaintiff. The outstanding balance owing by the plaintiff to JNJJ as of November 1, 2013, was $2,592,268.64. The foreclosure resulted in the sale of two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February 2013, HSBC started foreclosure proceedings against, among others, the plaintiff. The foreclosure resulted in the sale of another of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By November of 2014, title to the Mission Lands was vested in a nominee of the plaintiff's largest creditor, IMOR, pursuant to an order absolute granted in foreclosure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Mission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Karel Carhoun, whose evidence I will discuss in more detail below, gave evidence with respect to the plaintiff's acquisition of the lands in Mission that it sought to develop that was not entirely consistent with the registration of the titles to those lands. Nothing particular turns on the specific dates of acquisition and registration, and I use Mr. Carhoun's evidence as to the dates of the acquisition of the various properties for the purposes of this portion of my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1986, the plaintiff purchased two properties comprising six acres of property in Mission, B.C., northwest of Wren Street and Highway 7, also referred to as the Lougheed Highway. I have and will refer to these properties and the other properties described below as the Mission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1999, the plaintiff purchased two properties comprising 26 acres adjoining the six acres it had previously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order to facilitate the development it wished to create, the plaintiff proposed to fill in the two streams that continued through the properties. In the result, it needed an exemption from the Federal Government. In 1999, the plaintiff retained Scott Resource Services ("SRS") to perform an environmental assessment ("EA") of the two ravines that traversed the western portion of the 26 acres acquired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July or August of 1999, the plaintiff received a letter from the Stave Valley Salmond Enhancement Society expressing reservations over the potential development in the ravines. A copy of the letter was sent to Mr. Craig Sciankowy, a Habitat Biologist at the DFO.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July 2001, the plaintiff agreed to sell its four Mission properties to the Stewart MacDonald Group Ltd. for $3.95 million. The Group submitted Rezoning and Official Community Plan Amendment Applications to the District of Mission ("the District") in January 2002, proposing a development that required filling in the east ravine and diverting water flows to the western ravine.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Given the site review of the property conducted by Mr. V.A. Poulin, a Registered Professional Biologist, and the assessment of the ravines by SRS at that time, DFO considered it to be unreasonable to have to provide the District and the plaintiff with advice as to the required process with respect to HADD and a s. 35(2) authorization process, including an assessment pursuant to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Thereafter the proposed purchase of the plaintiff's properties by the Stewart MacDonald Group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2002, the District sought input from DFO regarding the Group's proposed development of the Mission Lands. Mr. Sciankowy advised that DFO did not oppose rezoning the Mission Lands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but given the ecological sensitivity of its watercourses, he recommended that there be no disturbance within the ravines and that the ravines and other creeks on the property be protected by the District in perpetuity.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Approximately two and a half months later, the District and the DFO signed a Memorandum of Understanding to adopt and implement the nearby Cedar Valley Environment Management Plan, stating that compensation or mitigation for any habitat loss within the nearby Cedar Valley was contemplated to take place within the boundaries of the Cedar 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May 2003, the plaintiff's representatives contacted DFO regarding a request to drill five test holes in the ravines to determine if, and to what extent, development could occur within the ravines.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August 2003, Mr. Sciankowy declined the request and advised the plaintiff that the use of heavy machinery and installation of the test holes would likely result in a HADD contrary to section 35(1)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He also advised that such a HADD would be unjustified since any development in the ravines would cause extensive habitat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light of this advice, the plaintiff asked the Minister of Fisheries and Oceans to reconsider the test hole advice, and, in November 2003, the Minister upheld Mr. Sciankowy's decision on the basis that there was no "environmentally friendly" way of drilling within a fisheries-sensitive zone such as the ravines and that DFO would not allow this initial damage to take place in order to determine whether further work would be allowed, when it was already known that the full project would not receive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September 2005, the District and a conservation organization named Ducks Unlimited announced the purchase by the latter of 112 acres immediately to the west of the plaintiff's property. The Ducks Unlimited property in this area became known as the Silverdale Creek Estuary Wetlands.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On April 7, 2005, a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screening was completed and signed for the Cedar Valley Connector project, and a s. 35(2)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authorization was granted for that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June 2005, the plaintiff became the registered owner of a further 7.5 acres of property contiguous to its other Mission properties, at the corner of Wren Street and Highway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November 30, 2006, the plaintiff executed an agreement for the sale and purchase of its Mission Lands for $8.75 million. However, the sale did not complete, as the proposed purchaser concluded that the size of the properties was insufficient for the use for which it wished to put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April 7, 2009, a further property comprising one-half acre on Raven Avenue contiguous to its other Mission properties, was acquired by the plaintiff. This brought Mission Lands held by the plaintiff to a total of 33.48 acres. This sixth lot making up the Mission Lands was held in trust for the plaintiff by Susan Carhoun and was subject to a first mortgage by Toronto-Dominion Bank.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Plaintiff's Proposed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Proposed Development was to be located in the District, north of Highway 7, and to the west of Wren Street, in the headwaters of a tributary stream that runs to the Silverdale Creek, whose wetlands are situated immediately west of the proposed development. The two ravines to which I have referred earlier were oriented north-south across the property, with a third ravine located on the western edge of the site, oriented east-west, and extending into the Silverdale Creek wetlands. Two ephemeral watercourses fed by stormwater and ground water seepage flow through two of the ravines and subsequently cross Highway 7 through a channelized wetland located between railway tracks and the highway for almost one kilometre before entering Silverdale Creek. The upper reaches of the creeks exist as narrow stream channels, while the lower reaches are unconfined, flowing through wetland habitat.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Mission Lands have a significant downward slope from the north or back of the property forward to Highway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Richard Butler, a geotechnical engineer called by the defendant, described in his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ground surface across the site varies from approximately 50 m elevation along or close to the north property line to about 10 m within the base of the Wren Creek and unnamed Tributary 1 ravines adjacent to the Lougheed Highway and south property line. Along the south property line at Lougheed Highway, ground surface slopes down to the west from approximately 30 m at Wren Avenue to 10 m near the west property line. At or adjacent to the west property line, the ground surface at another ravine varies from about elevation 35 m at the crest of the steep ravine slopes to 10 m or less at the base of the ravine.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two relevant ravines ultimately flow into Silverdale Creek, which is a fish bearing watercourse. Silverdale Creek joins the Silverdale wetlands just upstream of the confluence of the tributary stream. Silverdale Creek was designated as a 'sensitive stream' in British Columbia under the </w:t>
      </w:r>
      <w:r>
        <w:rPr>
          <w:rFonts w:ascii="arial" w:eastAsia="arial" w:hAnsi="arial" w:cs="arial"/>
          <w:i/>
          <w:color w:val="000000"/>
          <w:sz w:val="20"/>
          <w:lang w:val="en-US" w:eastAsia="en-US" w:bidi="ar-SA"/>
        </w:rPr>
        <w:t>Sensitive Streams Designation and Licensing Regulation</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BC Reg 89/2000</w:t>
        </w:r>
      </w:hyperlink>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Fish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21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Proposed Development contemplated the commercial and residential development of the Mission Lands. The development and a stormwater detention facility would be made up of 135,500 square meters. The commercial component would involve shops, amenities, and required parking. This component would cover the majority of the site at 110,200 square metres. Approximately 11,400 square metres of the property were to be set aside for residential development and 5,000 square metres for stormwater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April 1, 2009, SRS wrote to Mr. Karel Carhoun under the caption "Anticipated issues and environmental work plan for the proposed commercial development west of Wren Street and north of the Lougheed Highway, Mission, B.C.". In that letter, Mr. Carhoun was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Scott Resource Services Inc. (SRS) has conducted a review of background information regarding anticipated environmental issues for the commercial development at the above mentioned location. The commercial development will likely require an Authorization from Fisheries and Oceans Canada (DFO) for a "harmful alteration, disruption, or destruction" (HADD) of fish habitat under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However, ultimate determination of a HADD can only be made by DFO. In addition, an Approval under Section 9 of the B.C.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from the Ministry of Environment (MoE) will also be required. Should it be determined that a federal Authorization is required, such as an Authorization for a HADD under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the project would also be subject to a screening level environmental review and approval under Section 5(1) of the </w:t>
      </w:r>
      <w:r>
        <w:rPr>
          <w:rFonts w:ascii="arial" w:eastAsia="arial" w:hAnsi="arial" w:cs="arial"/>
          <w:i/>
          <w:color w:val="000000"/>
          <w:sz w:val="20"/>
          <w:lang w:val="en-US" w:eastAsia="en-US" w:bidi="ar-SA"/>
        </w:rPr>
        <w:t>Canadian Environmental Assessment Act</w:t>
      </w:r>
      <w:r>
        <w:rPr>
          <w:rFonts w:ascii="arial" w:eastAsia="arial" w:hAnsi="arial" w:cs="arial"/>
          <w:color w:val="000000"/>
          <w:sz w:val="20"/>
          <w:lang w:val="en-US" w:eastAsia="en-US" w:bidi="ar-SA"/>
        </w:rPr>
        <w:t xml:space="preserve"> (CEAA).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Next Steps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SRS anticipates that the next steps for this project would include but not be limited to the following.</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Acceptance of the commercial development project by the District of Mission (DoM).</w:t>
      </w:r>
    </w:p>
    <w:p>
      <w:pPr>
        <w:numPr>
          <w:numId w:val="7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of potential engineering design options by the DoM, including input from SRS.</w:t>
      </w:r>
    </w:p>
    <w:p>
      <w:pPr>
        <w:numPr>
          <w:numId w:val="7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Conduct a current and updated </w:t>
      </w:r>
      <w:r>
        <w:rPr>
          <w:rFonts w:ascii="arial" w:eastAsia="arial" w:hAnsi="arial" w:cs="arial"/>
          <w:i/>
          <w:color w:val="000000"/>
          <w:sz w:val="20"/>
          <w:lang w:val="en-US" w:eastAsia="en-US" w:bidi="ar-SA"/>
        </w:rPr>
        <w:t>Environmental Assessment</w:t>
      </w:r>
      <w:r>
        <w:rPr>
          <w:rFonts w:ascii="arial" w:eastAsia="arial" w:hAnsi="arial" w:cs="arial"/>
          <w:color w:val="000000"/>
          <w:sz w:val="20"/>
          <w:lang w:val="en-US" w:eastAsia="en-US" w:bidi="ar-SA"/>
        </w:rPr>
        <w:t xml:space="preserve"> (EA) of the site. This includes:</w:t>
      </w:r>
    </w:p>
    <w:p>
      <w:pPr>
        <w:numPr>
          <w:numId w:val="7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completion of detailed field surveys and comprehensive environmental inventory of the subject properties (fish, wildlife, vegetation and habitat types, archaeology, geotechnical); and,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consider </w:t>
      </w:r>
      <w:r>
        <w:rPr>
          <w:rFonts w:ascii="arial" w:eastAsia="arial" w:hAnsi="arial" w:cs="arial"/>
          <w:i/>
          <w:color w:val="000000"/>
          <w:sz w:val="20"/>
          <w:lang w:val="en-US" w:eastAsia="en-US" w:bidi="ar-SA"/>
        </w:rPr>
        <w:t>Species of Management Concern</w:t>
      </w:r>
      <w:r>
        <w:rPr>
          <w:rFonts w:ascii="arial" w:eastAsia="arial" w:hAnsi="arial" w:cs="arial"/>
          <w:color w:val="000000"/>
          <w:sz w:val="20"/>
          <w:lang w:val="en-US" w:eastAsia="en-US" w:bidi="ar-SA"/>
        </w:rPr>
        <w:t xml:space="preserve"> during appropriate timelines (i.e., breeding birds during spring and early summer, amphibians during spring, plants during spring and early summer) to determine actual presence or non-detection and provide required information to regulatory agencies for project review.</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Production of preliminary and/or detailed engineering construction drawings.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Confirmation of applicable federal, provincial, and municipal permits and approvals.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Confirmation of the total impacted habitat area based on the engineering drawings and present habitat mitigation and compensation options.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Liaison / negotiation with regulatory authorities to confirm habitat compensation agreement. If financial arrangement cannot be achieved, may involve detailed design and implementation of habitat compensation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Application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Applications process for Authorization (DFO), Approvals (Water Act), screening under the CEAA (usually a number of rounds of revisions required) and confirmation from the DoM.</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Presentation of potential engineering design options, results of field species surveys, and mitigation/compensation options to regulatory agencies (i.e. DFO, MoE, and the DoM) to provide comment and confirmation of project approval requirements by all regulatory agencies.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Preparation of a detailed habitat mitigation plans [sic] for the site based on preferred design option.</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Negotiate habitat compensation agreement, either financial or detailed habitat compensation plan. The habitat compensation agreement would document unavoidable habitat impacts and details of how the net residual habitat impacts will be compensated for.</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Acceptance of a preferred commercial development option by the DoM based on the information presented in the engineer's detailed design report, which should include additional environmental information, mitigation and details of habitat compensation agreement.</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Preparation of a generic construction </w:t>
      </w:r>
      <w:r>
        <w:rPr>
          <w:rFonts w:ascii="arial" w:eastAsia="arial" w:hAnsi="arial" w:cs="arial"/>
          <w:i/>
          <w:color w:val="000000"/>
          <w:sz w:val="20"/>
          <w:lang w:val="en-US" w:eastAsia="en-US" w:bidi="ar-SA"/>
        </w:rPr>
        <w:t>Environmental Management Plan</w:t>
      </w:r>
      <w:r>
        <w:rPr>
          <w:rFonts w:ascii="arial" w:eastAsia="arial" w:hAnsi="arial" w:cs="arial"/>
          <w:color w:val="000000"/>
          <w:sz w:val="20"/>
          <w:lang w:val="en-US" w:eastAsia="en-US" w:bidi="ar-SA"/>
        </w:rPr>
        <w:t xml:space="preserve"> (EMP) for inclusion with the Construction Tender documents which would provide prescriptive guidance for works related to core operation activities and outline the requirement for the submission, by the successful Contractor, of detailed, site-specific Environmental Protection Plan, component plans (i.e., Erosion and Sediment Control Plan, Construction Materials and Waste Management Plan, Spill Prevention and Emergency Response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lack of detail with respect to the Proposed Project in 2009 is likely explained in an email sent from Mr. Karel Carhoun to Mr. Mike Younie of the District of Mission dated March 30, 2009, wherein he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for your response. Unfortunately, some of your comments are indicative of the uphill battle we have been facing with respect to these properties. The fact that you never received my "Property Development Update" noted in my previous email (March 10/09) and didn't bother to request a copy for almost 3 weeks makes me wonder whether you actually value any of our comments on this issue or have bothered to review any of the other information that I have forwarded to you over the past several weeks.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truth, we have been reluctant to spend money on designs for these properties because we are not confident of the District's resolve to support our efforts to infill the ravines if there is pushback from DFO and MOE. Your comments don't ease this concern. While on one hand you say the District recognizes the significant economic and environmental benefits of our potential development, you go on to say "the only rider is that the environmental impacts from infilling are able to be compensated for as determined by the senior agencies which likely means there will be no significant impacts (species at risk in particular) that come out of the environmental studies". Have you read the Environmental Appeal Board decision regarding the Marshall Road connector property in Abbotsford (copy attached)? If you haven't read it - you should. Despite the fact that 4 species at risk were found in these ravines, the final decision of the EAB was still to permit the infill of the ravines save and except a small portion - which was protected. Amongst the reasons for permitting the infill of these ravines included the fact that the ravines were fragmented and that it was too late to effectively protect them. The ravines on our property are very similar and I would argue that regardless of the results of any "environmental studies", if neither the District or any other environmental group is willing to "purchase and protect" the ravines on our property then we should also be permitted to infill them. With respect to compensation on the Abbotsford EAB decision, it would appear that little compensation was required for the lost riparian areas save and except the small portion of the ravines that was protected. I would also like to note that the City of Abbotsford strongly supported the infill of the ravines in large part because of their desire to extend Marshall Road. With respect to our ravines, we feel the District should strongly support our application regardless of any pushback from MOE and DFO because of the significant economic and environmental benefits that will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your comments about DFO, the infill of the ravines </w:t>
      </w:r>
      <w:r>
        <w:rPr>
          <w:rFonts w:ascii="arial" w:eastAsia="arial" w:hAnsi="arial" w:cs="arial"/>
          <w:i/>
          <w:color w:val="000000"/>
          <w:sz w:val="20"/>
          <w:lang w:val="en-US" w:eastAsia="en-US" w:bidi="ar-SA"/>
        </w:rPr>
        <w:t>should</w:t>
      </w:r>
      <w:r>
        <w:rPr>
          <w:rFonts w:ascii="arial" w:eastAsia="arial" w:hAnsi="arial" w:cs="arial"/>
          <w:color w:val="000000"/>
          <w:sz w:val="20"/>
          <w:lang w:val="en-US" w:eastAsia="en-US" w:bidi="ar-SA"/>
        </w:rPr>
        <w:t xml:space="preserve"> be a non-issue. Unfortunately, it appears that we have to follow different rules than MOT and this will not be the case. DFO has always argued in the past that I could not infill the ravines because of the food that was being carried to the fish that were found in the swamp on the property south of the Highway which we drain into. Now that MOT are going to widen the Highway and basically destroy the existing creeks south of the Hwy. the chances of future fish in this area are negligible. So why is the infill of the ravines still considered a HADD and the requirement for CEAA? The HADD is the result of works by MOT and they should be required to compensate. Except for the water from our property, MOT's work is going nullify any value that DFO claims to come from our property. </w:t>
      </w:r>
      <w:r>
        <w:rPr>
          <w:rFonts w:ascii="arial" w:eastAsia="arial" w:hAnsi="arial" w:cs="arial"/>
          <w:i/>
          <w:color w:val="000000"/>
          <w:sz w:val="20"/>
          <w:lang w:val="en-US" w:eastAsia="en-US" w:bidi="ar-SA"/>
        </w:rPr>
        <w:t>We should not even have to go through the HADD process and the District should be arguing this point strongly on our behalf</w:t>
      </w:r>
      <w:r>
        <w:rPr>
          <w:rFonts w:ascii="arial" w:eastAsia="arial" w:hAnsi="arial" w:cs="arial"/>
          <w:color w:val="000000"/>
          <w:sz w:val="20"/>
          <w:lang w:val="en-US" w:eastAsia="en-US" w:bidi="ar-SA"/>
        </w:rPr>
        <w:t>. We have always said that we would take the existing water directly to the Wetlands property as part of our development. It would appear that given the damage that will be done to any creeks south of the Hwy that this would make much more sense than continuing to supply water to the current area. It could also be argued that part of MOT's compensation should contribute to the re-routing of the outfalls on our property. Quite frankly, the existing unstable conditions in the ravines on our properties are the direct result of the undetained District outfalls and could probably be considered a HADD. DFO and the District should be supportive of improving this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comment "the key will be to show that whatever compensation package you propose will have SIGNIFICANT benefits to resources" is of particular concern. If we are required to compensate to the level of "SIGNIFICANT benefits to resources" should it not be first determined that the ravines in their current state are a SIGNIFICANT benefit to resources. The existing "creeks" are unstable and degraded as a result of the District's undetained storm outfalls and could be considered to be detrimental as opposed to beneficial in their current condition. Upcoming Hwy widening by MOT is going to seriously compromise the creek systems south of the Hwy and seriously question the benefits of continuing to supply water to these areas. Why are we required to compensate SIGNIFICANTLY for benefits that should be considered MARGINAL at best. MOT on the other hand should be required to compensate significantly since the value of the habitat they are affecting is significant. Once again it could be argued that MOT should possibly be compensating for the lost value of our ravines since they are in effect going to nullify any value they might have.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DFO's policy of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considering the purchasing of a property for protection as a form of compensation makes no sense. Les Ogdan of Ducks Unlimited agrees and says that DFO appears to be coming around to this fact. Your email seems to indicate "... Highways may end up buying a property and then you could provide funds to augment the enhancement work". Obviously MOT can compensate by purchasing land despite the valuable habitat they are affecting. Can I ask what the difference is if I purchase the property and Highways provide funds for enhancement? Who are we kidding? Despite your claim that "riparian areas are already protected under law", there is little protection for Chester Creek running through the 100 acre parcel north of Nelson which is in the ALR. The same goes for the Sun Valley Trout Farm property which has development potential even if the setbacks from the Creek are respected. You can claim the riparian areas in our ravines are protected but the people who use the property to dump garbage and use it as a BMX track clearly aren't aware of this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On April 6, 2009, the plaintiff executed an environmental services contract with SRS to apply for a s. 35(2)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authorization. The plaintiff took the position that only by infilling the ravines and developing the full 135,500 square metres could its project be economically feasible.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SRS was known to DFO staff in the Lower Fraser Area, having provided consulting services in the Lower Fraser Area for other proponents.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On July 14, 2009, SRS wrote to the District advising that its consultants acknowledged that the plaintiff's Proposed Development would result in impacts to fish habitat and that they intended to request that the DFO consider issuing an authorization under s. 35(2)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August 24, 2009, the District approved a Development Variance Permit for the plaintiff and indicated its support for the plaintiff to enter into discussions with DFO to obtain a s. 35(2)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By this point, the plaintiff was intent on getting its proposed project considered in an environmental screening process, and expected that it could provide its submission to DFO, enter immediately into the screening process, and receive the necessary authorization to begin its proposed project in four to six months, despite the fact that it lacked basic information, such as a compensation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On September 9, 2009, Mr. Patrick Ehnes of SRS, on the plaintiff's behalf, submitted a letter to Mr. Sciankowy of the DFO, which indicated that its purpose was to see whether the project is "feasible from a fish habitat perspective before conducting the additional work necessary to complete a full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review document." The letter was accompanied by a completed DFO form entitled, "Request for Review under the Fish Habitat Protection Provisions of the Fisheries Act," dated September 4, 2009 and an "Environmental Impact Assessment" ("EIA") that identified fish and wildlife habitat, and the many ecological communities that could be affected by the Proposed Development (collectively, the "2009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Ehnes stated in his testimony that SRS submitted the 2009 Submission merely to "see [if] this [was] a project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letter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Environmental Impact Assessment for the proposed commercial and residential development at Wren Street and Highway 7, Mission,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Craig Sciankowy,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Enclosed please find a Fisheries and Oceans Canada (DFO) </w:t>
      </w:r>
      <w:r>
        <w:rPr>
          <w:rFonts w:ascii="arial" w:eastAsia="arial" w:hAnsi="arial" w:cs="arial"/>
          <w:i/>
          <w:color w:val="000000"/>
          <w:sz w:val="20"/>
          <w:lang w:val="en-US" w:eastAsia="en-US" w:bidi="ar-SA"/>
        </w:rPr>
        <w:t>Request for Review under the Fish Habitat Protection Provisions of the Fisheries Act</w:t>
      </w:r>
      <w:r>
        <w:rPr>
          <w:rFonts w:ascii="arial" w:eastAsia="arial" w:hAnsi="arial" w:cs="arial"/>
          <w:color w:val="000000"/>
          <w:sz w:val="20"/>
          <w:lang w:val="en-US" w:eastAsia="en-US" w:bidi="ar-SA"/>
        </w:rPr>
        <w:t>. The enclosed package details the proposed works, associated mitigation strategy and compensation concepts for the above referenced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Attached is a copy of the following:</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DFO </w:t>
      </w:r>
      <w:r>
        <w:rPr>
          <w:rFonts w:ascii="arial" w:eastAsia="arial" w:hAnsi="arial" w:cs="arial"/>
          <w:i/>
          <w:color w:val="000000"/>
          <w:sz w:val="20"/>
          <w:lang w:val="en-US" w:eastAsia="en-US" w:bidi="ar-SA"/>
        </w:rPr>
        <w:t>Request for Review under the Fish Habitat Protection Provisions of the Fisheries Act form</w:t>
      </w:r>
      <w:r>
        <w:rPr>
          <w:rFonts w:ascii="arial" w:eastAsia="arial" w:hAnsi="arial" w:cs="arial"/>
          <w:color w:val="000000"/>
          <w:sz w:val="20"/>
          <w:lang w:val="en-US" w:eastAsia="en-US" w:bidi="ar-SA"/>
        </w:rPr>
        <w:t xml:space="preserve"> (completed); and,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Scott Resource Services Inc. letter (dated September 4, 2009) detailing additional information requirements for Sections A through D on the DFO application for environmental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anticipated that the information contained in this submission will form the basis for a formal application for environmental review under the </w:t>
      </w:r>
      <w:r>
        <w:rPr>
          <w:rFonts w:ascii="arial" w:eastAsia="arial" w:hAnsi="arial" w:cs="arial"/>
          <w:i/>
          <w:color w:val="000000"/>
          <w:sz w:val="20"/>
          <w:lang w:val="en-US" w:eastAsia="en-US" w:bidi="ar-SA"/>
        </w:rPr>
        <w:t>Canadian Environmental Assessment Act</w:t>
      </w:r>
      <w:r>
        <w:rPr>
          <w:rFonts w:ascii="arial" w:eastAsia="arial" w:hAnsi="arial" w:cs="arial"/>
          <w:color w:val="000000"/>
          <w:sz w:val="20"/>
          <w:lang w:val="en-US" w:eastAsia="en-US" w:bidi="ar-SA"/>
        </w:rPr>
        <w:t xml:space="preserve"> (CEAA). The purpose of this submission is to confirm the project is feasible from a fish habitat perspective before conducting the additional work necessary to complete a full CEAA review document. The bulk of the submission includes information on fish habitat, fish habitat utilization and wildlife habitat within the study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Details of fish habitat impacts; and, preliminary habitat compensation rational and fish habitat improvement strategies are included in Sections 5.2.1, 5.2.2. The basic habitat enhancement concept is to utilize "Salmon Strongholds", a strategy recently advocated by the Pacific Fisheries Resource Conservation Council, as an approach to supplement existing programs and reinforce Canada's salmon and steelhead conservation efforts. One of the "Salmon Stronghold Strategy" suggested components is "Organizing land exchanges to set aside crucial riparian areas while permitting agriculture and other development to proceed where conditions are more suitable".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trust this is the information you require at this time. If you require any additional information, please call the undersigned if you have any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At that time, Mr. Sciankowy was the Team Leader of Habitat Management for the DFO in its Lower Fraser Area office, and reported to Mr. Corino Salomi, the Area Manager for the Ecosystem Management Branch of the Lower Fraser Area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I will discuss below, DFO followed certain policies, practices and procedures with respect to project proposals seeking s. 35(2) exemptions. I find that those policies, practices and procedures were well known to the plaintiff's Qualified Environmental Professionals ("QEPs"), Messrs Scott and Ehnes.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find as well that where it suited its self-determined convenience, the plaintiff attempted at many junctures to avoid at least some of these policies, practices and procedures; a choice that caused delays with respect to the review and granting of its s. 35(2)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the fall of 2009, Ms. Lisa McDonald was the senior Habitat Biologist in the Lower Fraser DFO office, whose territory included the District. She was the only habitat biologist responsible for her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McDonald was contacted by SRS before receiving their 2009 Submission. She testified that it was "unusual" for SRS to submit a proposal for review without giving her some type of advanced notice seeking preliminary comments. She noted that it was "very rare" that where there was a "real likelihood" that a project was going to result in a HADD, SRS would not call her or invite her to a site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McDonald agreed in her evidence that at the time of her assessment, she treated Mr. Ehnes's 2009 Submission as an application for an authorization, and that in her October 26, 2009, response letter she was not providing advice, but rather a decision that the authorization would not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McDonald gave evidence that her impression of the request for review, based on its transmittal letter, was that it was a "submission to put out preliminary feelers" and that SRS was "looking for some preliminary advice to see if this [proposed project] was something that was feasible."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McDonald took 32 business days to respond to the plaintiff. She reviewed DFO's correspondence on the plaintiff's 2002 and 2003 requests and testified that she did not recall any inconsistencies between the past requests and the most recent one with regard to the description of the fish habitat on the property. Further, she noted that the advice provided by DFO in the past was "consistent with the type of ... advice we would still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Ms. McDonald explained that in her review of the file, she focused her analysis on potential habitat values and the potential impacts to those values. Her analysis was informed by the DFO's </w:t>
      </w:r>
      <w:r>
        <w:rPr>
          <w:rFonts w:ascii="arial" w:eastAsia="arial" w:hAnsi="arial" w:cs="arial"/>
          <w:i/>
          <w:color w:val="000000"/>
          <w:sz w:val="20"/>
          <w:lang w:val="en-US" w:eastAsia="en-US" w:bidi="ar-SA"/>
        </w:rPr>
        <w:t>Policy for the Management of Fish Habitat</w:t>
      </w:r>
      <w:r>
        <w:rPr>
          <w:rFonts w:ascii="arial" w:eastAsia="arial" w:hAnsi="arial" w:cs="arial"/>
          <w:color w:val="000000"/>
          <w:sz w:val="20"/>
          <w:lang w:val="en-US" w:eastAsia="en-US" w:bidi="ar-SA"/>
        </w:rPr>
        <w:t xml:space="preserve"> (1986) [</w:t>
      </w:r>
      <w:r>
        <w:rPr>
          <w:rFonts w:ascii="arial" w:eastAsia="arial" w:hAnsi="arial" w:cs="arial"/>
          <w:i/>
          <w:color w:val="000000"/>
          <w:sz w:val="20"/>
          <w:lang w:val="en-US" w:eastAsia="en-US" w:bidi="ar-SA"/>
        </w:rPr>
        <w:t>Habitat Policy</w:t>
      </w:r>
      <w:r>
        <w:rPr>
          <w:rFonts w:ascii="arial" w:eastAsia="arial" w:hAnsi="arial" w:cs="arial"/>
          <w:color w:val="000000"/>
          <w:sz w:val="20"/>
          <w:lang w:val="en-US" w:eastAsia="en-US" w:bidi="ar-SA"/>
        </w:rPr>
        <w:t xml:space="preserve">], and the DFO's </w:t>
      </w:r>
      <w:r>
        <w:rPr>
          <w:rFonts w:ascii="arial" w:eastAsia="arial" w:hAnsi="arial" w:cs="arial"/>
          <w:i/>
          <w:color w:val="000000"/>
          <w:sz w:val="20"/>
          <w:lang w:val="en-US" w:eastAsia="en-US" w:bidi="ar-SA"/>
        </w:rPr>
        <w:t>Practitioners Guide to the Risk Management Framework for DFO Habitat Management Staff</w:t>
      </w:r>
      <w:r>
        <w:rPr>
          <w:rFonts w:ascii="arial" w:eastAsia="arial" w:hAnsi="arial" w:cs="arial"/>
          <w:color w:val="000000"/>
          <w:sz w:val="20"/>
          <w:lang w:val="en-US" w:eastAsia="en-US" w:bidi="ar-SA"/>
        </w:rPr>
        <w:t xml:space="preserve">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Following the various reviews of her draft response by other DFO employees and supervisors, Ms. McDonald responded to the SRS letter by letter to Mr. Ehnes dated October 26, 2009, stating in part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ravines and associated creeks (i.e. Wren Creek and the unnamed tributary) traversing the subject property are part of the Silverdale Creek watershed. Silverdale Creek supports populations of coho, pink, chinook and chum salmon, and cutthroat and rainbow trout. Fish inhabiting Silverdale Creek depend on Wren Creek and the unnamed tributary for sources of food, nutrients and water supply in order to carry out their life processes. Furthermore, culverts under Highway 7 that may be currently obstructing direct use of these creeks by fish will be made passable during the summer of 2010. Once obstructions to fish passage are removed, fish may inhabit Wren Creek and the unnamed tributary directly.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information provided in the September 11, 2009 proposal, DFO understands that the proposed plans include infilling Wren Creek and the unnamed tributary, which would result in the destruction of approximately 9,600 m2 of floodplain habitat, 500 m2 of instream habitat and 53,900 m2 of riparian habitat. In total, approximately 6.4 hectares of important fish habitat is being proposed for destruction in order to increase developable area associated with a private commercial and residential development.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DFO recommends that the proposed development be relocated or redesigned such that impacts to Wren Creek and the unnamed tributary are avoided. If the proponent chooses to relocate and/or redesign their proposal and wishes to submit their revised plans to DFO for review, they should ensure that the plans are consistent with the District of Mission's streamside protection and enhancement area (SPEA) bylaw. Otherwise, if a variance to the District's SPEA bylaw is required, the proponent should discuss variance options with the District prior to submitting revised plans to DFO.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event that the District determines that an undue hardship situation exists (please refer to the attached </w:t>
      </w:r>
      <w:r>
        <w:rPr>
          <w:rFonts w:ascii="arial" w:eastAsia="arial" w:hAnsi="arial" w:cs="arial"/>
          <w:i/>
          <w:color w:val="000000"/>
          <w:sz w:val="20"/>
          <w:lang w:val="en-US" w:eastAsia="en-US" w:bidi="ar-SA"/>
        </w:rPr>
        <w:t>Variances to the BC Riparian Area Regulations</w:t>
      </w:r>
      <w:r>
        <w:rPr>
          <w:rFonts w:ascii="arial" w:eastAsia="arial" w:hAnsi="arial" w:cs="arial"/>
          <w:color w:val="000000"/>
          <w:sz w:val="20"/>
          <w:lang w:val="en-US" w:eastAsia="en-US" w:bidi="ar-SA"/>
        </w:rPr>
        <w:t xml:space="preserve">), and required SPEAs are less than those required by the </w:t>
      </w:r>
      <w:r>
        <w:rPr>
          <w:rFonts w:ascii="arial" w:eastAsia="arial" w:hAnsi="arial" w:cs="arial"/>
          <w:i/>
          <w:color w:val="000000"/>
          <w:sz w:val="20"/>
          <w:lang w:val="en-US" w:eastAsia="en-US" w:bidi="ar-SA"/>
        </w:rPr>
        <w:t>Riparian Area Regulations</w:t>
      </w:r>
      <w:r>
        <w:rPr>
          <w:rFonts w:ascii="arial" w:eastAsia="arial" w:hAnsi="arial" w:cs="arial"/>
          <w:color w:val="000000"/>
          <w:sz w:val="20"/>
          <w:lang w:val="en-US" w:eastAsia="en-US" w:bidi="ar-SA"/>
        </w:rPr>
        <w:t xml:space="preserve">, please ensure that a letter from the District that confirms a hardship situation is included in the revised submission. The hardship letter should detail how the site qualifies for a hardship according to the criteria identified in </w:t>
      </w:r>
      <w:r>
        <w:rPr>
          <w:rFonts w:ascii="arial" w:eastAsia="arial" w:hAnsi="arial" w:cs="arial"/>
          <w:i/>
          <w:color w:val="000000"/>
          <w:sz w:val="20"/>
          <w:lang w:val="en-US" w:eastAsia="en-US" w:bidi="ar-SA"/>
        </w:rPr>
        <w:t>Variances to the BC Riparian Area Regulations</w:t>
      </w:r>
      <w:r>
        <w:rPr>
          <w:rFonts w:ascii="arial" w:eastAsia="arial" w:hAnsi="arial" w:cs="arial"/>
          <w:color w:val="000000"/>
          <w:sz w:val="20"/>
          <w:lang w:val="en-US" w:eastAsia="en-US" w:bidi="ar-SA"/>
        </w:rPr>
        <w:t xml:space="preserve"> and must also specify the developable area that would be required to alleviate the hardship.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McDonald explained that DFO would "require support that relocate/redesign options had been considered". She noted that "strictly financial gain purposes" would not necessarily justify the authorization of impacts and that at that early stage, she did not consider possible compensation options to be of relevance as the first option of the hierarchy of preferences had not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Following the October 2009 letter, the plaintiff requested follow-up meetings with DFO. In early 2010, Mr. Sciankowy took over the plaintiff's file as Ms. McDonald was leaving the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his evidence, Mr. Sciankowy explained that by then, DFO had concerns regarding the Proposed Development, as its footprint was extensive. The streams in the two ravines that were to be affected were considered to provide an important contribution for food nutrient for the fish habitat downstream. A significant loss of food nutrient for juvenile Coho salmon would be associated with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January 22, 2010, Mr. Sciankowy and Mr. Salomi attended a meeting at the District's office with the Carhoun brothers, Mr. Ehnes, Mr. Scott, and District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the meeting, Stacey Crawford, an Economic Development Officer with the District, described the potential economic benefits of the project to the District. Messrs Ehnes and Scott then gave a presentation that focused on fish habitat enhancement and improvement, and compensation ideas. In the presentation, SRS indicated that stormwater best management practices would be implemented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Messrs Ehnes and Scott confirmed that the total impact on fish habitat was 64,000 square metres and identified the plaintiff's proposed direct habitat compensation as a "transfer of agreement of sale" for the Sun Valley Trout Park to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Sciankowy gave evidence that the proposed project's impact on fish habitat was the largest he had ever seen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SRS's assertion that stormwater best-management practices would be implemented did not alleviate DFO's concerns about stormwater management for the proposed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At the conclusion of the meeting, DFO representatives indicated that they would consider the materials provided to determine if they were useful or changed DFO's perspective on the Proposed Development, and have a follow-up meeting or discussion with the District and the plaintiff's representatives.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February 5, 2010, Mr. Sciankowy and Mr. Salomi met again with the Carhoun brothers, representatives of SRS, and District employees. DFO staff provided their assessment of the information that had been presented and they discussed their concerns. At the conclusion of the meeting, DFO staff indicated they would reconsider the 2009 Submission in light of the documents and information provided at the meetings, following which they would provide a formal written response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Although the plaintiff contended at trial that the 2009 Submission was complete with even more information than required by the DFO guidelines, the 2009 Submission in fact made numerous explicit references to additional information being provided by the plaintiff at an unspecified future date, including a stormwater management plan, habitat enhancement compensation options, habitat impact mitigation plans, a comprehensive habitat compensation plan, an environmental management plan that included general recommendations for erosion and sediment control during construction, and final construction drawings, all yet to be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Sciankowy provided DFO's formal response to the plaintiff regarding the 2009 Submission by letter dated March 18, 2010, setting out DFO's understanding and consideration of the project, and providing a final recommendation that the Proposed Development be redesigned and relocated. Mr. Sciankowy also explained DFO's consideration of "cumulative effects" due to a number of projects that had already impacted fish habitat and future projects that could impact fish habitat. In particular, the recently approved expansion of Highway 7 required compensation property for 16,000 metres squared of impact, and the Cedar Valley Plan suggested that 12 hectares (120,000 metres squared) of habitat would require compensation for potential losses associated with the plan. Mr. Sciankowy advised that the fact that the proposed project would contribute to cumulative impacts to fish habitat in the already strained Silverdale Creek watershed was, in his view, a relevant factor. DFO continued to make this recommendation based on the policy guideline to first avoid HADD before considering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On March 24, 2010, without offering to redesign or relocate its proposed project, the plaintiff again requested a review or reconsideration of DFO's March 2010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Paul Sprout, then the Regional Director General of DFO, reviewed the plaintiff's request and elected to exercise his discretion to initiate a Regional Director General ("RDG") Review. He selected two individuals to conduct the review and set down the terms of reference to guide the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April 26, 2010, Mr. Sprout confirmed to the plaintiff that he had appointed Adam Silverstein and another senior DFO official, Dale Paterson, to carry out a review of the file, including both technical and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Paterson and Mr. Silverstein interviewed the habitat practitioners in the Lower Fraser Area, met with the proponent, and toured both the Mission Lands and Trout Park. It then took less than three months for these two individuals to engage with additional stakeholders, including the District and the province, review and analyse the data and the policies, conduct an independent problem-solving exercise and draft a 16-page report outlining their findings to Mr. Sprout (the "RDG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After speaking with the various stakeholders and visiting the development and compensation sites, Mr. Paterson and Mr. Silverstein conducted an independent review of the technical information and policy documents, and worked together to develop their final conclusions. A copy of their RDG Report dated July 13, 2010, which summarizes their understanding of the Proposed Development and outlines their findings, was provided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Paterson and Mr. Silverstein did identify some potential to offset losses to fish habitat, which could be more fully explored within the context of an EA screening process. As a result, the Lower Fraser Area habitat staff were directed to initiate an EA process for the Proposed Development. This direction did not suggest that an EA screening process should have been commenced earlier, as it would not have made sense to do so at the time. It does indicate, however, that the RDG Review fulfilled its intended objectives and complied with the terms of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RDG Report recommended that if the proponent was willing to make significant commitments to additional mitigation and compensation measures, DFO could consider those commitments and evaluate them in the context of an EA screening.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This conclusion allowed Mr. Sprout to identify some potential opportunity for effective mitigation and/or compensation in relation to the Proposed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suggestion by these senior staff was that ultimately the difference that they saw was some potential for compensation or mitigation that would allow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to be triggered. The plaintiff asserts that as a result, Ms. McDonald's rejection of the 2009 Submission, having not given any consideration to compensation in her analysis, was procedurally incorrect, as compensation should have been taken into account in that assessment, but I decline to draw such an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Mr. Sprout's view, the completion date of the RDG Report was consistent with the timeframe he anticipated when he initiated the review: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I'd like to put this into perspective. The proponent wrote to me in March, the latter part of March. That's the timing of his letter to me raising these concerns. By the middle -- by the third or the fourth week in April, we'd identified two individuals, we developed factors to inform the review, and a letter had gone back to the proponent indicating the review was going to be conducted and there would be an on-site in May. And then in July the report is produced that is a termination of the review. In my view that is expediting and taking very seriously the aspects that were raised in the initial proponent letter to me and doing so in a timely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view I'm pleased to see the quickness of the review, the timeliness of it, and I think it does show responsiveness on behalf of a public institution that at times is not well loved by many in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On August 18, 2010, Mr. Silverstein informed Karel Carhoun, that he and Mr. Paterson had completed their review. They concluded that while the previous assessment of the value of the fish habitat and the risk posed by the project were correct, if the plaintiff was willing to make significant commitments toward habitat compensation and stormwater management, DFO would be willing to initiate the EA process under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(the "EA Screening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asserts that the commitments to compensation Mr. Silverstein and Mr. Paterson required in order to commence the EA Screening Process had no more force, information, or detail than the commitments provided in the 2009 Submission itself, and submitted that it was simply a way in which DFO could concede that the process was required to be entered into, while avoiding having to admit that their failure to do so before was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defendant argues, and I agree, that this assertion is incorrect, as the RDG Report stated that the DFO would require a commitment to "significant mitigation and compensation measures", and not merely a significant commitment to stormwater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After dealing with the RDG Report, Mr. Sprout retired, and was replaced in his position by Ms. Susan Farlinger.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Throughout the EA Screening Process, details and information about the stormwater management on the Proposed Development were requested from the plaintiff. For example, at an August 18, 2010, meeting, it was sought as a condition of starting the screening.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early September 2010, Mr. Sciankowy was advised by Mr. Salomi that the RDG Review had been completed and "the project would now move forward and move into a Canadian Environmental Assessment Act Review." Mr. Sciankowy then requested the file and information about the RDG Review from Mr. Paterson so that he "would sort of be clear about what had happened and what the decisions were around the review in case that might inform how the EA process would be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agreed to make some commitments to its proposed project, and on September 23, 2010, Mr. Sciankowy posted the plaintiff's Proposed Development on the Agency's website, indicating that an EA in respect of the plaintiff's Proposed Development had been commenced on September 21,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On October 27, 2010, Mr. Sciankowy met with the plaintiff and its QEPs to discuss the EA Screening Process and the additional information that was required from the plaintiff. Mr. Sciankowy told the plaintiff's representatives that the information they had submitted was incomplete for an EA screening. Also, he again brought up stormwater management as something for which the DFO needed information. Notwithstanding this advice, the plaintiff insisted that Mr. Sciankowy move ahead with a screening.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November 5, 2010, Mr. Sciankowy sent out a number of letters seeking expert and stakeholder input from federal and provincial agencies as well as Indigenous peoples, in respect of the EA of the Mission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On January 26, 2011, SRS sent DFO a "conceptual compensation plan", as an addendum to the plaintiff's 2009 Submission (the "Conceptual Compensation Plan"). In this document, the plaintiff indicated that in order to compensate for the destruction of habitat on the Mission Lands, it had "secured the purchase" of Sun Valley Trout Park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a March 15, 2011, conversation with Mr. Scott, Mr. Sciankowy again raised the issue of stormwater management for the proposed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a letter dated July 15, 2011, Mr. Sciankowy advised that the concepts outlined in the plaintiff's Conceptual Compensation Plan "have the potential to provide adequate fish habitat to offset losses of fish habitat" anticipated but that DFO's opinion "does not constitute approval of your development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On November 4, 2011, the plaintiff, its QEPs, and a number of representatives of the province and Environment Canada ("EC") met at the Mission Lands for a site visit. At that visit, provincial and federal employees noted for the first time the presence of wetlands on the Mission Lands site. As the Highway 7 project had impacted the nearby wetlands, EC was able to provide a template referral of the proponent to the federal policy on wetland conservation.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On December 22, 2011, EC sent DFO a letter outlining its concerns with respect to the impact of the Proposed Development on the Mission Lands' wetlands. In response, DFO asked the plaintiff to provide a letter of assurance that it would protect the wetlands and offset any damage to them. The plaintiff provided a letter of assurance on January 14,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January 19, 2012, EC sent a final letter to DFO, reiterating its concerns and stressing its position that the plaintiff make provision for the damage it would cause to the wetlands. Following the conclusion of advice from EC, senior management at DFO decided to issue a positive result in the EA Screening Process, i.e., to conclude "no significant negative environmental effects." The next week, DFO concluded the EA Screening Process and informed the plaintiff of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On February 15, 2012, after significant revisions to the document were made at the plaintiff's request, the Minister's delegate, Brad Fanos, signed the EA Screening Report in which the Minister concluded that the plaintiff's project was not likely to cause significant adverse environmental effects if the plaintiff followed certain mitigation and compensation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EA Screening Report required measures including purchasing and enhancing the Trout Park and ensuring that it was protected in perpetuity; developing an environmental management plan including a monitoring plan to mitigate potential construction-related adverse effects; developing an integrated stormwater management plan to mitigate the potential urban-related adverse effects such as changes in hydrology to downstream wetlands and watercourses; and collecting pre-project baseline data about the productivity of the wetlands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Ultimately, on February 29, 2012, Karel Carhoun offered to redesign the proposed project, reducing its footprint by avoiding development of 2.48 acres at the western edge of the Mission Lands, adjacent to the Silverdale Wetlands, provided that DFO complete a memorandum of understanding and issue the s. 35(2) authorization by March 9,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On May 29, 2012, after significant revisions to the draft authorization were made at the plaintiff's request, Mr. Salomi signed and issued a s. 35(2) authorization for the plaintiff (the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Issues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plaintiff's pleadings in this case were the subject of an unsuccessful challenge by the defendant in this Court; </w:t>
      </w:r>
      <w:hyperlink r:id="rId177" w:history="1">
        <w:r>
          <w:rPr>
            <w:rFonts w:ascii="arial" w:eastAsia="arial" w:hAnsi="arial" w:cs="arial"/>
            <w:i/>
            <w:color w:val="0077CC"/>
            <w:sz w:val="20"/>
            <w:u w:val="single"/>
            <w:shd w:val="clear" w:color="auto" w:fill="FFFFFF"/>
            <w:lang w:val="en-US" w:eastAsia="en-US" w:bidi="ar-SA"/>
          </w:rPr>
          <w:t>2014 BCSC 1295</w:t>
        </w:r>
      </w:hyperlink>
      <w:r>
        <w:rPr>
          <w:rFonts w:ascii="arial" w:eastAsia="arial" w:hAnsi="arial" w:cs="arial"/>
          <w:color w:val="000000"/>
          <w:sz w:val="20"/>
          <w:lang w:val="en-US" w:eastAsia="en-US" w:bidi="ar-SA"/>
        </w:rPr>
        <w:t xml:space="preserve">, with an unsuccessful appeal therefrom to the Court of Appeal; </w:t>
      </w:r>
      <w:hyperlink r:id="rId178" w:history="1">
        <w:r>
          <w:rPr>
            <w:rFonts w:ascii="arial" w:eastAsia="arial" w:hAnsi="arial" w:cs="arial"/>
            <w:i/>
            <w:color w:val="0077CC"/>
            <w:sz w:val="20"/>
            <w:u w:val="single"/>
            <w:shd w:val="clear" w:color="auto" w:fill="FFFFFF"/>
            <w:lang w:val="en-US" w:eastAsia="en-US" w:bidi="ar-SA"/>
          </w:rPr>
          <w:t>2015 BCCA 163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BCCA Carhoun</w:t>
      </w:r>
      <w:r>
        <w:rPr>
          <w:rFonts w:ascii="arial" w:eastAsia="arial" w:hAnsi="arial" w:cs="arial"/>
          <w:color w:val="000000"/>
          <w:sz w:val="20"/>
          <w:lang w:val="en-US" w:eastAsia="en-US" w:bidi="ar-SA"/>
        </w:rPr>
        <w:t>]. A subsequent motion for amendments to the plaintiff's amended notice of civil claim was dismissed, as was the defendant's applicant for security for costs (</w:t>
      </w:r>
      <w:hyperlink r:id="rId179" w:history="1">
        <w:r>
          <w:rPr>
            <w:rFonts w:ascii="arial" w:eastAsia="arial" w:hAnsi="arial" w:cs="arial"/>
            <w:i/>
            <w:color w:val="0077CC"/>
            <w:sz w:val="20"/>
            <w:u w:val="single"/>
            <w:shd w:val="clear" w:color="auto" w:fill="FFFFFF"/>
            <w:lang w:val="en-US" w:eastAsia="en-US" w:bidi="ar-SA"/>
          </w:rPr>
          <w:t>2016 BCSC 500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amended notice of civil claim at the time of trial ran to 61 pages and included 408 paragraphs that detailed various allegations against some 62 individuals. No evidence was led that would justify the claims against most of these individuals, and in argument, counsel for the plaintiff conceded that a claim had not been made out against Cory Kahl, Diana Trager, Brad Fanos, Steve Gotch, Rebecca Reid, Bruce Reid, Paul Sprout, Susan Farlinger, Adam Silverstein, Dale Paterson, Greg Savard, Bonnie Antcliffe, Sharon Ashley, David Balfour, Claire Dansereau, Randy Kamp, Dan Cody, Michael Murray, Mark Strahl, Ailish Murphy, Coral DeShield, Jennifer Wilson, Barry Smith, Blair Hammond, Andrew Robinson, Laura MacLean, Julie Poirier, Elaine Feldman, Lisa Walls, Virginia Poter, Sue Milburn-Hopwood, Colleen Volk, Chris Barlow, an individual whose first name was not provided but whose surname was Nunn, an individual whose first name was not provided but whose surname was Kennedy, Sharon Johal, an individual whose first name was not provided but whose surname was Gwin, Christine Stoneman, Chad Ziai, Lisa Robichaud, Allison Webb, Terry Davis, Juanita Ivings, an individual whose first name was not provided but whose surname was Faure, Christine Lavergne, an individual whose first name was not provided but whose surname was Carroll, Nicholas Winfield, Guy Beaupre, Andrea Tanaka, Bob More, Lori Wallace, Stephen Hureau, Andrew Stewart, Sarah Yakabowski, Blair Kestevan, Gail Shea, Jan Kirkby, Mary Taylor, Carole Leblonde, Tasha Sargent, an individual whose first name was not provided but whose surname was Brisson, and an individual whose first name was not provided but whose surname was Milford.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the result, I dismiss the allegations against these individuals. I will address the fact that no evidence was offered to support these allegations when I address the matter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By the conclusion of the evidence at trial, the plaintiff's case was limited to criticism of the conduct of the Minister of the Department of Fisheries and Oceans, Mr. Salomi, Mr. Sciankowy, and Ms. Lisa McDonald, as delegates of the collective body, the DFO. By the conclusion of the trial, the plaintiff had limited its case to three issues, which I will summarize as:</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claim of misfeasance can be found against the defendant and one or more of the defendant's delegates;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defendant or any of its delegates were negligent in delaying the initiation and processing of the plaintiff's requested s. 35(2) authorization to infill and develop potential fish habitat areas and to provide an exemption under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for possible liability flowing from HADD; and</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or any of its delegates are found liable, the quantum of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Adverse Inferences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defendant contends that an adverse inference ought to be drawn against the plaintiff for its failure to call Philip Carhoun and Mr. Scott as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There is ample judicial authority for the proposition that a court may draw an adverse inference if a party fails to call a witness who would have knowledge of the facts and would be assumed to be willing to assist that party, and where the party does not provide an explanation for not calling that witness; for example,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 31, citing </w:t>
      </w:r>
      <w:r>
        <w:rPr>
          <w:rFonts w:ascii="arial" w:eastAsia="arial" w:hAnsi="arial" w:cs="arial"/>
          <w:i/>
          <w:color w:val="000000"/>
          <w:sz w:val="20"/>
          <w:lang w:val="en-US" w:eastAsia="en-US" w:bidi="ar-SA"/>
        </w:rPr>
        <w:t>Barker v. McQuahe</w:t>
      </w:r>
      <w:r>
        <w:rPr>
          <w:rFonts w:ascii="arial" w:eastAsia="arial" w:hAnsi="arial" w:cs="arial"/>
          <w:color w:val="000000"/>
          <w:sz w:val="20"/>
          <w:lang w:val="en-US" w:eastAsia="en-US" w:bidi="ar-SA"/>
        </w:rPr>
        <w:t xml:space="preserve"> (1964), 49 W.W.R. 685 (B.C.C.A.); and </w:t>
      </w:r>
      <w:r>
        <w:rPr>
          <w:rFonts w:ascii="arial" w:eastAsia="arial" w:hAnsi="arial" w:cs="arial"/>
          <w:i/>
          <w:color w:val="000000"/>
          <w:sz w:val="20"/>
          <w:lang w:val="en-US" w:eastAsia="en-US" w:bidi="ar-SA"/>
        </w:rPr>
        <w:t>Tayner v. Brard</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2016 BCSC 1738</w:t>
        </w:r>
      </w:hyperlink>
      <w:r>
        <w:rPr>
          <w:rFonts w:ascii="arial" w:eastAsia="arial" w:hAnsi="arial" w:cs="arial"/>
          <w:color w:val="000000"/>
          <w:sz w:val="20"/>
          <w:lang w:val="en-US" w:eastAsia="en-US" w:bidi="ar-SA"/>
        </w:rPr>
        <w:t xml:space="preserve"> at paras. 129-132.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defendant contends that with respect to the plaintiff's failure to call Philip Carhoun, adverse inferences should be drawn on two bases.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first is that Philip Carhoun was aware of flaws in the plaintiff's 2009 business plan that prejudiced its ability to fund the Authorization process and that had he been called to testify, he could have explained how the plaintiff intended to proceed with the Authorization process despite those flaws, including the plaintiff's lack of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second adverse inference the defendant seeks with respect to Philip Carhoun is that he wished to pursue designs or options for the Proposed Development that did not involve infilling the ravines.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Edwards v. Parkinson's Heating Ltd.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2018 BCSC 593</w:t>
        </w:r>
      </w:hyperlink>
      <w:r>
        <w:rPr>
          <w:rFonts w:ascii="arial" w:eastAsia="arial" w:hAnsi="arial" w:cs="arial"/>
          <w:color w:val="000000"/>
          <w:sz w:val="20"/>
          <w:lang w:val="en-US" w:eastAsia="en-US" w:bidi="ar-SA"/>
        </w:rPr>
        <w:t>, I was asked to draw an inference adverse from the defendant's failure to call one of their employees as a witness. I declined to do so, explaining why at paras. 58 - 61: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In </w:t>
      </w:r>
      <w:r>
        <w:rPr>
          <w:rFonts w:ascii="arial" w:eastAsia="arial" w:hAnsi="arial" w:cs="arial"/>
          <w:i/>
          <w:color w:val="000000"/>
          <w:sz w:val="20"/>
          <w:lang w:val="en-US" w:eastAsia="en-US" w:bidi="ar-SA"/>
        </w:rPr>
        <w:t>Barker</w:t>
      </w:r>
      <w:r>
        <w:rPr>
          <w:rFonts w:ascii="arial" w:eastAsia="arial" w:hAnsi="arial" w:cs="arial"/>
          <w:color w:val="000000"/>
          <w:sz w:val="20"/>
          <w:lang w:val="en-US" w:eastAsia="en-US" w:bidi="ar-SA"/>
        </w:rPr>
        <w:t>, an adverse inference was drawn against a plaintiff who failed to call as witnesses various doctors who had treated him following a motor vehicle accident. Davey J.A., as he then was, wrote for the court at p. 689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 plaintiff who seeks damages for personal injuries ought to call all doctors who attended him in respect of any important aspect of the matters that are in dispute, or explain why he does not do so. Doctors will not knowingly break their professional confidence by revealing matters concerning their patients' health to other persons, and it is too much to ask defendants to gamble, as respondent did with Dr. Cluff, by calling them blindly. Drs. Devlin and Bogoch were called in for consultation by Dr. Walker concerning the diagnosis and treatment of appellant's chest condition. No explanation was given for not calling them, and it is a fair inference that they were not called because they would not, or could not, support Dr. Walker's diagnosis of a cardio-spasm. Had either of them done so, it would have measurably advanced appellant's case, although it would have still remained to be proved that the cardiospasm was caused by injuries received in the collision. The failure to call Dr. Devlin is still more striking because Dr. Walker blurted out that Dr. Devlin concurred in some aspect of Dr. Walker's diagnosis of cardio-spasm, which, of course, was not admissible evidence of Dr. Devlin's opinion if in fact it was his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The case was relied upon in a number of cases that succeeded it, but in my view, the application of the case was weakened, if not overcome by the line of authorities that began with </w:t>
      </w:r>
      <w:r>
        <w:rPr>
          <w:rFonts w:ascii="arial" w:eastAsia="arial" w:hAnsi="arial" w:cs="arial"/>
          <w:i/>
          <w:color w:val="000000"/>
          <w:sz w:val="20"/>
          <w:lang w:val="en-US" w:eastAsia="en-US" w:bidi="ar-SA"/>
        </w:rPr>
        <w:t>Swirski v. Hachey</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[1995] B.C.J. No. 2686</w:t>
        </w:r>
      </w:hyperlink>
      <w:r>
        <w:rPr>
          <w:rFonts w:ascii="arial" w:eastAsia="arial" w:hAnsi="arial" w:cs="arial"/>
          <w:color w:val="000000"/>
          <w:sz w:val="20"/>
          <w:lang w:val="en-US" w:eastAsia="en-US" w:bidi="ar-SA"/>
        </w:rPr>
        <w:t xml:space="preserve"> (S.C.). There, Mr. Justice Wlikinson [sic] held at para. 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summarize:</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doctor-patient confidentiality attaching to the plaintiff's treating doctors concerning information relevant to the claims made herein for purposes of this action.</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counsel in this case are at liberty to discuss such matters with the plaintiff's said physicians in the absence of the plaintiff or her counsel.</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Province, the commencement of an action for damages for injury is a waiver of doctor-patient confidentiality for medical matters relevant to and bearing upon matters raised in the action.</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province such waiver also constitutes as a matter of law an implied authorization to the physicians for the release of such information for purposes of the litigation.</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privilege, the only basis for imposing any restriction on such discussion would be the risk of inadvertent release of irrelevant (and thus still confidential) information.</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future cases (unless and until this decision has been overruled) it is not necessary for defence counsel to apply for approval to discuss the case with the plaintiff's physicians, but as a matter of practice in preparing the case for the court, general notice should be given to the plaintiff of an intention to seek informal discussions with named medical treatment givers. The notice should not be given until the limits of relevance and confidentiality have been set with reference to documents.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will then be on the plaintiff to make application to bar or restrict such interviews.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decision in no way compels plaintiffs' treating doctors to take part in such meetings. They may do so or not as they wish and may impose such conditions as they wish, just as any other witness may do.</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and future cases, where deletions have been made in doctors' medical records, copies of the amended records should be supplied by defendants' counsel and the doctors' attention drawn to information still regarded as confidential. The Professional Conduct Handbook ought to be followed.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After this decision, the practice that evolved was for defence counsel in personal injury cases to engage in discussions with treating doctors, either by consent, or pursuant to a court order, rendering the reasoning in </w:t>
      </w:r>
      <w:r>
        <w:rPr>
          <w:rFonts w:ascii="arial" w:eastAsia="arial" w:hAnsi="arial" w:cs="arial"/>
          <w:i/>
          <w:color w:val="000000"/>
          <w:sz w:val="20"/>
          <w:lang w:val="en-US" w:eastAsia="en-US" w:bidi="ar-SA"/>
        </w:rPr>
        <w:t>Barker</w:t>
      </w:r>
      <w:r>
        <w:rPr>
          <w:rFonts w:ascii="arial" w:eastAsia="arial" w:hAnsi="arial" w:cs="arial"/>
          <w:color w:val="000000"/>
          <w:sz w:val="20"/>
          <w:lang w:val="en-US" w:eastAsia="en-US" w:bidi="ar-SA"/>
        </w:rPr>
        <w:t xml:space="preserve"> no longer apposite.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Here, the argument for an adverse inference is similarly weak, as the plaintiffs could, and perhaps did, examine Mr. Cameron for discovery, or examine another of Parkinson's employees or representatives, who could have been obliged to inform himself or herself of the information that Mr. Cameron could have provided. In the circumstances I therefore decline to draw the inference contended for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For the same reasons, I have reached the same conclusion with respect to the defendant's assertion that I should draw an adverse inference with respect to the failure to call Phillip Carhoun as a witness, and I therefore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Because Mr. Scott was retained by the plaintiff as an expert advisor, the principles articulated by Wlikinson J. in </w:t>
      </w:r>
      <w:r>
        <w:rPr>
          <w:rFonts w:ascii="arial" w:eastAsia="arial" w:hAnsi="arial" w:cs="arial"/>
          <w:i/>
          <w:color w:val="000000"/>
          <w:sz w:val="20"/>
          <w:lang w:val="en-US" w:eastAsia="en-US" w:bidi="ar-SA"/>
        </w:rPr>
        <w:t>Swirski</w:t>
      </w:r>
      <w:r>
        <w:rPr>
          <w:rFonts w:ascii="arial" w:eastAsia="arial" w:hAnsi="arial" w:cs="arial"/>
          <w:color w:val="000000"/>
          <w:sz w:val="20"/>
          <w:lang w:val="en-US" w:eastAsia="en-US" w:bidi="ar-SA"/>
        </w:rPr>
        <w:t xml:space="preserve">, referred to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do not apply to the plaintiff's failure to call Mr. Scott. The plaintiff has provided no explanation as to why it did not call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defendant also asks that an inference adverse to the plaintiff should be drawn in respect of the plaintiff's failure to call Mr. Scott as a witness. In particular, the defendant seeks an adverse inference that Mr. Scott on behalf of SRS advised the plaintiff that the Authorization process would likely be lengthy and costly. The defendant contends that had Mr. Scott been called to testify, he could have advised what, if any, advice SRS provided to the plaintiff in respect of the Authorization process, and that such evidence would be relevant to the plaintiff's mitigation of its losses or its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An adverse inference may also be drawn against a party who does not call a material witness over whom the party has exclusive control, and again does not provide an explanation. The failure to call such a witness may amount to an implied admission that the evidence of that absent witness could be contrary to the party's case, or at least would not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Scott was the owner of SRS and its primary contact for Karel Carhoun. SRS worked with the plaintiff for many years and during the material period. He was retained as an expert advisor by the plaintiff to advance its proposed property development project to the defendant. When Karel Carhoun was questioned about the conversations he had with Mr. Scott regarding archeological assessments and stormwater management plans, Mr. Carhoun could not remember what he had instructed Mr. Scott to do and what Mr. Scott's advice was. As a result, the Court does not have the benefit of any evidence about what Mr. Scott advised the plaintiff during the Authorization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 contends that based upon Mr. Scott's experience in dealing with DFO respecting applications for s. 35(2) exemptions, he would have warned the plaintiff that the process would be delayed if certain information was not provided to DFO, or about the improbability of an authorization being issued. I accept this as a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This possibility was raised by Ms. Murphy, who testified that in the fall of 2011, during the visit to the Mission Lands, she stood with Mr. Scott, away from Karel Carhoun, and Mr. Scott told her that he thought it was a "nice" property and that he had told the proponent that it would be a "real challenge to develop this piece of property because of the environmental values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addition, the defendant asserts that Mr. Scott had key evidence about what, if any, advice SRS provided the plaintiff about the time and cost of the Authorization process. Neither Karel Carhoun nor Mr. Ehnes were able to provide evidence about this issue due to their lack of recollections.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lack of evidence about what advice the Carhoun brothers received from SRS concerning the Authorization process and the probability of an authorization being issued persuades me that I can and should draw the inferences sought by the defendants with respect to the failure to call Mr. Scott as a witness. As a result, I will and do draw those inferences.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plaintiff submits that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expressly requires that federal authorities ensure that an EA is conducted as early as is practicable in the planning stage of the project and before the revocable decisions are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plaintiff submits further that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is simply a process and that within that process; DFO makes its own independent assessment of the significant environmental effects on fish habitat, while other federal authorities would concurrently make their own independent assessment of the significant environmental effects within their own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defendant contends that at the relevant times, s. 35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interacted in significant ways with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that like the </w:t>
      </w:r>
      <w:r>
        <w:rPr>
          <w:rFonts w:ascii="arial" w:eastAsia="arial" w:hAnsi="arial" w:cs="arial"/>
          <w:i/>
          <w:color w:val="000000"/>
          <w:sz w:val="20"/>
          <w:lang w:val="en-US" w:eastAsia="en-US" w:bidi="ar-SA"/>
        </w:rPr>
        <w:t>Act, CEAA</w:t>
      </w:r>
      <w:r>
        <w:rPr>
          <w:rFonts w:ascii="arial" w:eastAsia="arial" w:hAnsi="arial" w:cs="arial"/>
          <w:color w:val="000000"/>
          <w:sz w:val="20"/>
          <w:lang w:val="en-US" w:eastAsia="en-US" w:bidi="ar-SA"/>
        </w:rPr>
        <w:t xml:space="preserve"> was directed to a predominantly public purpose: the protection of a healthy environment for the benefit of the public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As set out above, s. 4(1)(a) sets out the purposes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including, first and foremost, the need to "ensure that projects are considered in a careful and precautionary manner ... in order to ensure that such projects do not cause significant adverse environmental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Section 4(2)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further requires the Government of Canada, the Minister, the Canadian Environmental Assessment Agency (the "Agency"), and all bodies subject to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to exercise their powers in a manner that protects the environment and human health and applies the precautionary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If the responsible authority contemplated by the legislation (the "RA") determines that a project is not likely to cause significant adverse environmental effects, it can then allow the project to proceed. Conversely, if the RA considers that the project is likely to cause significant adverse environmental effects, it is barred from allowing the project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If the RA, after the conclusion of the EA screening, is "uncertain whether the project ...[was] likely to cause significant adverse environmental effects", it is required to refer the project to the Minister of Environment, who would in turn arrange for the referral of the project to a mediator or a review panel: s. 20(1)(c).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Greenpeace Canada v. Canada (Attorney General)</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2014 FC 463</w:t>
        </w:r>
      </w:hyperlink>
      <w:r>
        <w:rPr>
          <w:rFonts w:ascii="arial" w:eastAsia="arial" w:hAnsi="arial" w:cs="arial"/>
          <w:color w:val="000000"/>
          <w:sz w:val="20"/>
          <w:lang w:val="en-US" w:eastAsia="en-US" w:bidi="ar-SA"/>
        </w:rPr>
        <w:t xml:space="preserve">, red'v on other grounds, </w:t>
      </w:r>
      <w:hyperlink r:id="rId184" w:history="1">
        <w:r>
          <w:rPr>
            <w:rFonts w:ascii="arial" w:eastAsia="arial" w:hAnsi="arial" w:cs="arial"/>
            <w:i/>
            <w:color w:val="0077CC"/>
            <w:sz w:val="20"/>
            <w:u w:val="single"/>
            <w:shd w:val="clear" w:color="auto" w:fill="FFFFFF"/>
            <w:lang w:val="en-US" w:eastAsia="en-US" w:bidi="ar-SA"/>
          </w:rPr>
          <w:t>2015 FCA 186</w:t>
        </w:r>
      </w:hyperlink>
      <w:r>
        <w:rPr>
          <w:rFonts w:ascii="arial" w:eastAsia="arial" w:hAnsi="arial" w:cs="arial"/>
          <w:color w:val="000000"/>
          <w:sz w:val="20"/>
          <w:lang w:val="en-US" w:eastAsia="en-US" w:bidi="ar-SA"/>
        </w:rPr>
        <w:t>, Mr. Justice Russell held at para. 108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In order to assess the Project properly, the Panel was obliged to conduct itself in accordance with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the judicial guidance that has attached itself to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At paras. 208-210, he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[208] ...The Panel is rendering an opinion on environmental impact at a very early stage in life of this Project. The EA Report amounts to an opinion that, based upon present knowledge, and if appropriate measures are taken, then the Project is not likely to cause significant adverse environmental effects. Many will disagree but, as things presently stand, Parliament has decided that this is the range and function of an EA under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The Panel must ensure that s. </w:t>
      </w:r>
      <w:r>
        <w:rPr>
          <w:rFonts w:ascii="arial" w:eastAsia="arial" w:hAnsi="arial" w:cs="arial"/>
          <w:i/>
          <w:color w:val="000000"/>
          <w:sz w:val="20"/>
          <w:lang w:val="en-US" w:eastAsia="en-US" w:bidi="ar-SA"/>
        </w:rPr>
        <w:t>37</w:t>
      </w:r>
      <w:r>
        <w:rPr>
          <w:rFonts w:ascii="arial" w:eastAsia="arial" w:hAnsi="arial" w:cs="arial"/>
          <w:color w:val="000000"/>
          <w:sz w:val="20"/>
          <w:lang w:val="en-US" w:eastAsia="en-US" w:bidi="ar-SA"/>
        </w:rPr>
        <w:t xml:space="preserve"> decision-makers have a sufficient evidentiary record upon which to base their decisions, and it can make recommendations for follow-up and mitigation to ensure that its conclusions continue to hold. However, it is not required and has no jurisdiction to monitor those recommendations and ensure that commitments and expectations are met. That role must, by necessity, be left to other agencies and responsible authorities.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[209] In essence, the Applicants are saying that the information available to the Panel in this case was not specific enough to even make contingent predictions about the environmental effects of this Project. In my view, however, apart from those instances that I set out below, I cannot say that the Panel's approach was, given the nature of this Project and the full context in which the EA Report was produced, not in accordance with the requirements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that it was unreasonable. Section 34(1)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specifically directs the Panel to set out any mitigation measures and follow-up program which it feels are required. Such mitigation measures and follow-up must, inevitably, be assessed, executed and monitored by others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[210] As Justice Tremblay-Lamer pointed out in </w:t>
      </w:r>
      <w:r>
        <w:rPr>
          <w:rFonts w:ascii="arial" w:eastAsia="arial" w:hAnsi="arial" w:cs="arial"/>
          <w:i/>
          <w:color w:val="000000"/>
          <w:sz w:val="20"/>
          <w:lang w:val="en-US" w:eastAsia="en-US" w:bidi="ar-SA"/>
        </w:rPr>
        <w:t>Pembina Institute</w:t>
      </w:r>
      <w:r>
        <w:rPr>
          <w:rFonts w:ascii="arial" w:eastAsia="arial" w:hAnsi="arial" w:cs="arial"/>
          <w:color w:val="000000"/>
          <w:sz w:val="20"/>
          <w:lang w:val="en-US" w:eastAsia="en-US" w:bidi="ar-SA"/>
        </w:rPr>
        <w:t>, above,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sum,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represents a sophisticated legislative system for addressing the uncertainty surrounding environmental effects. To this end, it mandates early assessment of adverse environmental consequences as well as mitigation measures, coupled with the flexibility of follow-up processes capable of adapting to new information and changed circumstances. The dynamic and fluid nature of the process means that perfect certainty regarding environmental effects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However, these comments must be read in the context of what Russell J. had written at paras. 117-119: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[117] There is nothing in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itself to tell us when a project is sufficiently realized to allow for a meaningful EA in accordance with the Act, so we need to turn to the case law for guidance on this central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[118] In this regard, the Applicants rightly refer the Court to the words of Justice Reed in </w:t>
      </w:r>
      <w:r>
        <w:rPr>
          <w:rFonts w:ascii="arial" w:eastAsia="arial" w:hAnsi="arial" w:cs="arial"/>
          <w:i/>
          <w:color w:val="000000"/>
          <w:sz w:val="20"/>
          <w:lang w:val="en-US" w:eastAsia="en-US" w:bidi="ar-SA"/>
        </w:rPr>
        <w:t>Friends of the Island</w:t>
      </w:r>
      <w:r>
        <w:rPr>
          <w:rFonts w:ascii="arial" w:eastAsia="arial" w:hAnsi="arial" w:cs="arial"/>
          <w:color w:val="000000"/>
          <w:sz w:val="20"/>
          <w:lang w:val="en-US" w:eastAsia="en-US" w:bidi="ar-SA"/>
        </w:rPr>
        <w:t xml:space="preserve">, above, to the effect that an EA decision should occur at a time when the proponent selects a specific project, and </w:t>
      </w:r>
      <w:r>
        <w:rPr>
          <w:rFonts w:ascii="arial" w:eastAsia="arial" w:hAnsi="arial" w:cs="arial"/>
          <w:color w:val="000000"/>
          <w:sz w:val="20"/>
          <w:u w:val="single"/>
          <w:lang w:val="en-US" w:eastAsia="en-US" w:bidi="ar-SA"/>
        </w:rPr>
        <w:t>describes it in a sufficient level of detail to allow for and facilitate meaningful agency and public review of potential environmental effects. In other words, there must be something that goes beyond the concept stage</w:t>
      </w:r>
      <w:r>
        <w:rPr>
          <w:rFonts w:ascii="arial" w:eastAsia="arial" w:hAnsi="arial" w:cs="arial"/>
          <w:color w:val="000000"/>
          <w:sz w:val="20"/>
          <w:lang w:val="en-US" w:eastAsia="en-US" w:bidi="ar-SA"/>
        </w:rPr>
        <w:t>. Justice Reed noted that "public hearings on a generic proposal are not a substitute for a specific evaluation of the actual project which it is planned to construct" (paras 53 and 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[119] It seems to me, however, that the issue of whether a proposed project has the detail required to facilitate a meaningful EA and allow for agency and public review will always be a question of fact in each case. There is no easy conceptual answer to this issue, and it will always depend upon the particular project and the contents of the particular proposal. What is more, this is a matter that the assessing panel itself will always have to consider and decide, because it is an inherent aspect of environmental assessment in accordance with the CEAA. In my view, all the Court can do is to assess whether, on a given set of facts, and given the nature of the project proposed, such a finding by any panel is reasonable. I think this view is supported by other cases that have dealt with this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defendant contends that the plaintiff's allegations of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are unsupported by the evidence, as the front-line employees of both the DFO and EC were working in a regulatory arena that required them to weigh, in a precautionary manner, the cumulative effects of development projects where the overarching principle was to achieve no "net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plaintiff responded to this contention by referring to a submission made by the defendant in </w:t>
      </w:r>
      <w:r>
        <w:rPr>
          <w:rFonts w:ascii="arial" w:eastAsia="arial" w:hAnsi="arial" w:cs="arial"/>
          <w:i/>
          <w:color w:val="000000"/>
          <w:sz w:val="20"/>
          <w:lang w:val="en-US" w:eastAsia="en-US" w:bidi="ar-SA"/>
        </w:rPr>
        <w:t>Greenpeace</w:t>
      </w:r>
      <w:r>
        <w:rPr>
          <w:rFonts w:ascii="arial" w:eastAsia="arial" w:hAnsi="arial" w:cs="arial"/>
          <w:color w:val="000000"/>
          <w:sz w:val="20"/>
          <w:lang w:val="en-US" w:eastAsia="en-US" w:bidi="ar-SA"/>
        </w:rPr>
        <w:t>, where Russell J. paraphrased the submissions of the Attorney General for Canada at para. 104 in the following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 stresses] the more fluid and "predictive" nature of environmental assessment and the difficulties of assessing all of the consequences of a project in advance on the basis of existing knowledge. They say that the potentially paralyzing effects of the precautionary principle have been recognized by the Courts, which have endorsed "adaptive management" as a necessary counterbalance to ensure that socially and economically desirable projects can come to fruition.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 am not persuaded that the submission in </w:t>
      </w:r>
      <w:r>
        <w:rPr>
          <w:rFonts w:ascii="arial" w:eastAsia="arial" w:hAnsi="arial" w:cs="arial"/>
          <w:i/>
          <w:color w:val="000000"/>
          <w:sz w:val="20"/>
          <w:lang w:val="en-US" w:eastAsia="en-US" w:bidi="ar-SA"/>
        </w:rPr>
        <w:t>Greenpeace</w:t>
      </w:r>
      <w:r>
        <w:rPr>
          <w:rFonts w:ascii="arial" w:eastAsia="arial" w:hAnsi="arial" w:cs="arial"/>
          <w:color w:val="000000"/>
          <w:sz w:val="20"/>
          <w:lang w:val="en-US" w:eastAsia="en-US" w:bidi="ar-SA"/>
        </w:rPr>
        <w:t xml:space="preserve"> is at odds with the defendant's submission before me, but in any event, I find that submissions by the defendant in unrelated proceedings to which the plaintiff was not a party are of limited significance in the action before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Misfeasance in public office is an intentional tort, which exists in order "to protect each citizen's reasonable expectation that a public officer will not intentionally injure a member of the public through deliberate and unlawful conduct in the exercise of public functions":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Misfeasance is considered among the most egregious of tortious misconduct, and an allegation of misfeasance carries with it the stench of dishonesty, as it challenges the integrity of the decision 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 submits that because DFO knew it would not issue a s. 35(2) permit when it received the plaintiff's application in September 2009, DFO chose not to incur the time and expense of conducting the required EA as a precondition to providing an answer to the plaintiff, who was required to spend significant funds prior to submitting its application pursuant to the DFO's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defendant describes the plaintiff's claim in misfeasance as based in part on the assertion that the defendant's employees acted in a manner contrary to their alleged statutory obligations and did so intentionally.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 contends that the DFO and its delegates, Ms. McDonald, Mr. Sciankowy, and Mr. Salomi, committed misfeasance in public office in numerous respects. The plaintiff submits that "individual" biases and bad faith became "institutional" bias and bad faith of DFO generally, and that the mechanisms in place (i.e., decision protocols, management oversight) to ensure compliance with legislation and policies were simply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defendant contends that insufficient evidence was led to establish misfeasance on the part of the DFO or any of the employees against whom allegations of misfeasance were maintained at the conclusion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Three Rivers District Council v. Bank of England</w:t>
      </w:r>
      <w:r>
        <w:rPr>
          <w:rFonts w:ascii="arial" w:eastAsia="arial" w:hAnsi="arial" w:cs="arial"/>
          <w:color w:val="000000"/>
          <w:sz w:val="20"/>
          <w:lang w:val="en-US" w:eastAsia="en-US" w:bidi="ar-SA"/>
        </w:rPr>
        <w:t>, [2000] 2 W.L.R. 1220, Lord Steyn discussed the requirements for proof of the tort of misfeasance in public office, which can be distilled to four principal questions:</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conduct complained of that of public officers, exercising power in that capacity?</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officers act knowingly or recklessly beyond their powers?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they thereby cause damage to the claimant?</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they know that the act(s) in question probably would cause such damage or were they reckless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There is no dispute over the first requirement in this case, as the conduct complained of is that of public officers exercising their public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plaintiff contends that as the defendant admitted the element of foreseeability with respect to its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must be taken to have conceded the same element of the tort of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 find that the defendant's concession that the element of foreseeability was made out for the purposes of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apply equally to the plaintiff's claim in misfeasance, thus satisfying the fourth requirement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Lord Steyn also described two different forms of liability for misfeasance in public office: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there is the case of targeted malice by a public officer i.e. conduct specifically intended to injure a person or persons. This type of case involves bad faith in the sense of the exercise of public power for an improper or ulterior motive. The second form is where a public officer acts knowing that he has no power to do the act complained of and that the act will probably injure the plaintiff. It involves bad faith inasmuch as the public officer does not have an honest belief that his act is 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Lord Steyn concluded that the element of proximity or "duty" was not essential to the misfeasance claim, agreeing that no antecedent right is required "beyond the right not to damage or injure by deliberate abuse of power by a public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ambit of the tort of misfeasance in public office has traditionally been narrow. In </w:t>
      </w:r>
      <w:r>
        <w:rPr>
          <w:rFonts w:ascii="arial" w:eastAsia="arial" w:hAnsi="arial" w:cs="arial"/>
          <w:i/>
          <w:color w:val="000000"/>
          <w:sz w:val="20"/>
          <w:lang w:val="en-US" w:eastAsia="en-US" w:bidi="ar-SA"/>
        </w:rPr>
        <w:t>Powder Mountain Resorts Ltd. v. British Columbia</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 Madam Justice Newbury observed at para. 2 that this is so for important public policy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tort must be used cautiously. Otherwise, the courts risk straying into the arena of political decision-making, bypassing the normal restraints associated with judicial review, and becoming the arbiters of the personal thought processes of public officials. One recent commentator (Phillip Allott, "EC Directives and Misfeasance in Public Office", [2000] 59 </w:t>
      </w:r>
      <w:r>
        <w:rPr>
          <w:rFonts w:ascii="arial" w:eastAsia="arial" w:hAnsi="arial" w:cs="arial"/>
          <w:i/>
          <w:color w:val="000000"/>
          <w:sz w:val="20"/>
          <w:lang w:val="en-US" w:eastAsia="en-US" w:bidi="ar-SA"/>
        </w:rPr>
        <w:t>Camb</w:t>
      </w:r>
      <w:r>
        <w:rPr>
          <w:rFonts w:ascii="arial" w:eastAsia="arial" w:hAnsi="arial" w:cs="arial"/>
          <w:color w:val="000000"/>
          <w:sz w:val="20"/>
          <w:lang w:val="en-US" w:eastAsia="en-US" w:bidi="ar-SA"/>
        </w:rPr>
        <w:t>. L.J. 4) has written that the court should not, by means of the tort, take on the role of "ombudsman, a parliamentary committee, or an organ of public opinion in reviewing even egregious acts of maladministration, official incompetence, or bad judgement." (at 6.) To avoid dangers of this kind, a balance must be sought between curbing unlawful behaviour on the part of governmental officials on the one hand, and on the other, protecting officials who are charged with making decisions for the public good, from unmeritorious claims by persons adversely affected by such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the plaintiffs were the family members of an individual who was shot by Toronto police officers. They alleged that the officers had willfully refused to comply with a statutory requirement to co-operate with an internal investigation into the shooting, and this refusal constituted a misfeasance in public office. The Supreme Court of Canada accepted that there were two alternative branches to the tort of misfeasance in public office, which Mr. Justice Iacobucci, writing for the Court, described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Three Rivers</w:t>
      </w:r>
      <w:r>
        <w:rPr>
          <w:rFonts w:ascii="arial" w:eastAsia="arial" w:hAnsi="arial" w:cs="arial"/>
          <w:color w:val="000000"/>
          <w:sz w:val="20"/>
          <w:lang w:val="en-US" w:eastAsia="en-US" w:bidi="ar-SA"/>
        </w:rPr>
        <w:t xml:space="preserve">, the House of Lords held that the tort of misfeasance in public office can arise in one of two ways, what I shall call Category A and Category B. Category A involves conduct that is specifically intended to injure a person or class of persons. Category B involves a public officer who acts with knowledge both that she or he has no power to do the act complained of and that the act is likely to injure the Plaintiff. This understanding of the tort has been endorsed by a number of Canadian courts: see for example </w:t>
      </w:r>
      <w:r>
        <w:rPr>
          <w:rFonts w:ascii="arial" w:eastAsia="arial" w:hAnsi="arial" w:cs="arial"/>
          <w:i/>
          <w:color w:val="000000"/>
          <w:sz w:val="20"/>
          <w:lang w:val="en-US" w:eastAsia="en-US" w:bidi="ar-SA"/>
        </w:rPr>
        <w:t>Powder Mountain Resorts,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Alberta (Minister of Public Works, Supply and Services)</w:t>
      </w:r>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Granite Power Corp. v. Ontario</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[2002] O.J. No. 2188</w:t>
        </w:r>
      </w:hyperlink>
      <w:r>
        <w:rPr>
          <w:rFonts w:ascii="arial" w:eastAsia="arial" w:hAnsi="arial" w:cs="arial"/>
          <w:color w:val="000000"/>
          <w:sz w:val="20"/>
          <w:lang w:val="en-US" w:eastAsia="en-US" w:bidi="ar-SA"/>
        </w:rPr>
        <w:t xml:space="preserve"> (QL) (S.C.J.). It is important, however, to recall that the two categories merely represent two different ways in which a public officer can commit the tort; in each instance, the plaintiff must prove each of the tort's constituent elements. It is thus necessary to consider the elements that are common to each form of the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While the ingredients that must be proven for each category are the same, Iacobucci J. explained slight differences in how each category must be proven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there are two such elements. First, the public officer must have engaged in deliberate and unlawful conduct in his or her capacity as a public officer. Second, the public officer must have been aware both that his or her conduct was unlawful and that it was likely to harm the plaintiff. What distinguishes one form of misfeasance in a public office from the other is the manner in which the plaintiff proves each ingredient of the tort. In Category B, the plaintiff must prove the two ingredients independently of one another. In Category A, the fact that the public officer has acted for the express purpose of harming the plaintiff is sufficient to satisfy each ingredient of the tort, owing to the fact that a public officer does not have the authority to exercise his or her powers for an improper purpose, such as deliberately harming a member of the public. In each instance, the tort involves deliberate disregard of official duty coupled with knowledge that the misconduct is likely to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Knowledge that the interests of the plaintiff might be harmed by a decision or course of conduct will not suffice. The public official in question must also know that they were acting unlawfully. The reason for this was explained by Iacobucci J. as follows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matter of policy, I do not believe that it is necessary to place any further restrictions on the ambit of the tort. The requirement that the defendant must have been aware that his or her conduct was unlawful reflects the well-established principle that misfeasance in a public office requires an element of "bad faith" or "dishonesty". In a democracy, public officers must retain the authority to make decisions that, where appropriate, are adverse to the interests of certain citizens. Knowledge of harm is thus an insufficient basis on which to conclude that the defendant has acted in bad faith or dishonestly. A public officer may in good faith make a decision that she or he knows to be adverse to interests of certain members of the public. In order for the conduct to fall within the scope of the tort, the officer must deliberately engage in conduct that he or she knows to be inconsistent with the obligations of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Thus, the tort is not committed if a public officer engaged in unlawful conduct inadvertently and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the Supreme Court of Canada confirmed that proximity will be recognized for claims of misfeasance in public office where a defendant's act foreseeably causes physical harm to a plaintiff or that plaintiff's property, so long as those plaintiff or plaintiffs are so closely and directly affected by the act that the defendant ought reasonably to have them in contemplation as being so affected when directing his or her mind to the acts or omissions which are called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Georgian Glen Developments Ltd. v. Barrie (City)</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[2005] O.J. No. 3765</w:t>
        </w:r>
      </w:hyperlink>
      <w:r>
        <w:rPr>
          <w:rFonts w:ascii="arial" w:eastAsia="arial" w:hAnsi="arial" w:cs="arial"/>
          <w:color w:val="000000"/>
          <w:sz w:val="20"/>
          <w:lang w:val="en-US" w:eastAsia="en-US" w:bidi="ar-SA"/>
        </w:rPr>
        <w:t xml:space="preserve"> (S.C.J.), Mr. Justice Howden of the Ontario Superior Court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plaintiff in this case has sued the municipality, a municipal corporation, rather than an individual officer or officers. The caselaw demonstrates that courts have not maintained any distinction between officer holders and the office itself. The tort of misfeasance in public office has been sustained against a wide variety of defendants including individual officer holders, municipalities and government ministries and bodies. The seminal case of </w:t>
      </w:r>
      <w:r>
        <w:rPr>
          <w:rFonts w:ascii="arial" w:eastAsia="arial" w:hAnsi="arial" w:cs="arial"/>
          <w:i/>
          <w:color w:val="000000"/>
          <w:sz w:val="20"/>
          <w:lang w:val="en-US" w:eastAsia="en-US" w:bidi="ar-SA"/>
        </w:rPr>
        <w:t>Three Rivers District Council v. Bank of England</w:t>
      </w:r>
      <w:r>
        <w:rPr>
          <w:rFonts w:ascii="arial" w:eastAsia="arial" w:hAnsi="arial" w:cs="arial"/>
          <w:color w:val="000000"/>
          <w:sz w:val="20"/>
          <w:lang w:val="en-US" w:eastAsia="en-US" w:bidi="ar-SA"/>
        </w:rPr>
        <w:t xml:space="preserve"> (2002) W.L.R. 1220 (H.L.) noted that the term "public office" has a wide meaning. </w:t>
      </w:r>
      <w:r>
        <w:rPr>
          <w:rFonts w:ascii="arial" w:eastAsia="arial" w:hAnsi="arial" w:cs="arial"/>
          <w:i/>
          <w:color w:val="000000"/>
          <w:sz w:val="20"/>
          <w:lang w:val="en-US" w:eastAsia="en-US" w:bidi="ar-SA"/>
        </w:rPr>
        <w:t>Three Rivers</w:t>
      </w:r>
      <w:r>
        <w:rPr>
          <w:rFonts w:ascii="arial" w:eastAsia="arial" w:hAnsi="arial" w:cs="arial"/>
          <w:color w:val="000000"/>
          <w:sz w:val="20"/>
          <w:lang w:val="en-US" w:eastAsia="en-US" w:bidi="ar-SA"/>
        </w:rPr>
        <w:t xml:space="preserve"> and the other cases implicitly suggest that proceedings can be maintained against an individual office holder as well as against an entire entity as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While the Supreme Court of Canada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appeared to require actual knowledge of likely harm to the plaintiff, it cited </w:t>
      </w:r>
      <w:r>
        <w:rPr>
          <w:rFonts w:ascii="arial" w:eastAsia="arial" w:hAnsi="arial" w:cs="arial"/>
          <w:i/>
          <w:color w:val="000000"/>
          <w:sz w:val="20"/>
          <w:lang w:val="en-US" w:eastAsia="en-US" w:bidi="ar-SA"/>
        </w:rPr>
        <w:t>Three Rivers</w:t>
      </w:r>
      <w:r>
        <w:rPr>
          <w:rFonts w:ascii="arial" w:eastAsia="arial" w:hAnsi="arial" w:cs="arial"/>
          <w:color w:val="000000"/>
          <w:sz w:val="20"/>
          <w:lang w:val="en-US" w:eastAsia="en-US" w:bidi="ar-SA"/>
        </w:rPr>
        <w:t xml:space="preserve"> with approval which envisaged a wider approach to the knowledge issue. Speaking for the court, Iacobucci J. clarified the requirement of subjective knowledge to include cases of recklessness or willful blindness in stating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misfeasance in a public office is an intentional tort that requires subjective awareness that harm to the plaintiff is a likely consequence of the alleged misconduct. At the very least, according to a number of cases, the defendant must have been subjectively reckless or willfully blind as to the possibility that harm was a likely consequence of the alleged misconduct; see for example </w:t>
      </w:r>
      <w:r>
        <w:rPr>
          <w:rFonts w:ascii="arial" w:eastAsia="arial" w:hAnsi="arial" w:cs="arial"/>
          <w:i/>
          <w:color w:val="000000"/>
          <w:sz w:val="20"/>
          <w:lang w:val="en-US" w:eastAsia="en-US" w:bidi="ar-SA"/>
        </w:rPr>
        <w:t>Three Rivers, supra; Powder Mountain Resorts, supra; and Alberta (Minister of Public Works, Supply and Services)</w:t>
      </w:r>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J.P. v. British Columbia (Children and Family Development)</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2017 BCCA 308</w:t>
        </w:r>
      </w:hyperlink>
      <w:r>
        <w:rPr>
          <w:rFonts w:ascii="arial" w:eastAsia="arial" w:hAnsi="arial" w:cs="arial"/>
          <w:color w:val="000000"/>
          <w:sz w:val="20"/>
          <w:lang w:val="en-US" w:eastAsia="en-US" w:bidi="ar-SA"/>
        </w:rPr>
        <w:t>, the Court of Appeal held at para. 327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Category B misfeasance is more complex. It does not require a finding of specific intent to harm the plaintiff, but rather an objective determination that the public officer knowingly engaged in a deliberate unlawful act with an awareness that his or her conduct would likely harm the plaintiff or a class of plaintiffs. Knowledge of harm alone is insufficient to establish that the public officer acted in bad faith or dishonestly. Rather, the officer must know that the deliberate conduct is inconsistent with the obligations of the office, including that it exceeds the powers of the office, or omits a legally required act: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28 and </w:t>
      </w:r>
      <w:r>
        <w:rPr>
          <w:rFonts w:ascii="arial" w:eastAsia="arial" w:hAnsi="arial" w:cs="arial"/>
          <w:i/>
          <w:color w:val="000000"/>
          <w:sz w:val="20"/>
          <w:lang w:val="en-US" w:eastAsia="en-US" w:bidi="ar-SA"/>
        </w:rPr>
        <w:t>Powder Mountain</w:t>
      </w:r>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plaintiff contends that DFO delegate staff are required to comply with the law and policies, and not ignore them for the sake of their convenience or any other challenges they may have in processing applications. Therefore, Ms. McDonald, Mr. Sciankowy, and Mr. Salomi acted knowingly, repeatedly, and recklessly with disregard to the illegality of their actions, as they did not follow DFO's own rules under the legislated EA process, as set out in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its associated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Relying on the discussion of misfeasance in </w:t>
      </w:r>
      <w:r>
        <w:rPr>
          <w:rFonts w:ascii="arial" w:eastAsia="arial" w:hAnsi="arial" w:cs="arial"/>
          <w:i/>
          <w:color w:val="000000"/>
          <w:sz w:val="20"/>
          <w:lang w:val="en-US" w:eastAsia="en-US" w:bidi="ar-SA"/>
        </w:rPr>
        <w:t>J.P.</w:t>
      </w:r>
      <w:r>
        <w:rPr>
          <w:rFonts w:ascii="arial" w:eastAsia="arial" w:hAnsi="arial" w:cs="arial"/>
          <w:color w:val="000000"/>
          <w:sz w:val="20"/>
          <w:lang w:val="en-US" w:eastAsia="en-US" w:bidi="ar-SA"/>
        </w:rPr>
        <w:t>, the defendants contend that the plaintiff did not sufficiently plead its claim in misfeasance. In that case, the trial judge made findings of fact with respect to a provincial government employee who was not named in the pleadings until four days before the trial judge released his reasons for judgment, and without any particulars of his alleged malfeasant conduct. The employee was called as a witness at trial but was never cross-examined on category A misfeasance or on the allegation of bad faith (at paras. 332, 342). As a result, the trial judge was found to have made impugned factual findings without an adequate evidentiary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 asserts that it has sufficiently pleaded its claim in misfeasance and alleges egregious misconduct against a wide variety of individuals in numerous paragraphs in its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amended notice of civil claim is neither a model of brevity nor precision, and was the subject of applications in this Court and in the Court of Appeal. I find that despite its shortcomings, it sufficiently raised allegations framed in misfeasance against identified individuals who gave evidence at trial to permit the plaintiff's pursuit of its claim in misfeasance.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plaintiff further contends that the defendants, as a collective body, acted with knowledge that they failed to follow the </w:t>
      </w:r>
      <w:r>
        <w:rPr>
          <w:rFonts w:ascii="arial" w:eastAsia="arial" w:hAnsi="arial" w:cs="arial"/>
          <w:i/>
          <w:color w:val="000000"/>
          <w:sz w:val="20"/>
          <w:lang w:val="en-US" w:eastAsia="en-US" w:bidi="ar-SA"/>
        </w:rPr>
        <w:t>FCR</w:t>
      </w:r>
      <w:r>
        <w:rPr>
          <w:rFonts w:ascii="arial" w:eastAsia="arial" w:hAnsi="arial" w:cs="arial"/>
          <w:color w:val="000000"/>
          <w:sz w:val="20"/>
          <w:lang w:val="en-US" w:eastAsia="en-US" w:bidi="ar-SA"/>
        </w:rPr>
        <w:t xml:space="preserve"> and that DFO officials deliberately failed to follow the timelines they were obligated to follow pursuant to the </w:t>
      </w:r>
      <w:r>
        <w:rPr>
          <w:rFonts w:ascii="arial" w:eastAsia="arial" w:hAnsi="arial" w:cs="arial"/>
          <w:i/>
          <w:color w:val="000000"/>
          <w:sz w:val="20"/>
          <w:lang w:val="en-US" w:eastAsia="en-US" w:bidi="ar-SA"/>
        </w:rPr>
        <w:t>FCR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In the plaintiff's written submissions, it alleges that the defendant, as a collective body, committed a category B misfeasance as a </w:t>
      </w:r>
      <w:r>
        <w:rPr>
          <w:rFonts w:ascii="arial" w:eastAsia="arial" w:hAnsi="arial" w:cs="arial"/>
          <w:i/>
          <w:color w:val="000000"/>
          <w:sz w:val="20"/>
          <w:lang w:val="en-US" w:eastAsia="en-US" w:bidi="ar-SA"/>
        </w:rPr>
        <w:t>respondeat superior</w:t>
      </w:r>
      <w:r>
        <w:rPr>
          <w:rFonts w:ascii="arial" w:eastAsia="arial" w:hAnsi="arial" w:cs="arial"/>
          <w:color w:val="000000"/>
          <w:sz w:val="20"/>
          <w:lang w:val="en-US" w:eastAsia="en-US" w:bidi="ar-SA"/>
        </w:rPr>
        <w:t>, due to the actions of its delegates Ms. McDonald, Mr. Salomi, and Mr. Sciankowy, who failed to process the plaintiff's application for the project in 2009. The plaintiff makes this submission despite the fact that such a specific assertion is not made in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Powder Mountain</w:t>
      </w:r>
      <w:r>
        <w:rPr>
          <w:rFonts w:ascii="arial" w:eastAsia="arial" w:hAnsi="arial" w:cs="arial"/>
          <w:color w:val="000000"/>
          <w:sz w:val="20"/>
          <w:lang w:val="en-US" w:eastAsia="en-US" w:bidi="ar-SA"/>
        </w:rPr>
        <w:t>, Newbury J. ultimately held that misfeasance in public office could only be found against individual actors in that case, stating at para. 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Judicial caution is also indicated by the particular factual context of the case at bar. It involves the concurrent actions of several government functionaries, some elected and some not, operating in different spheres of bureaucratic and executive authority, all with different responsibilities, levels of knowledge and constraints. Since the plaintiffs alleged vicarious liability on the part of the Province for the intentional wrongs of its agents (Mr. Vander Zalm and Mrs. McCarthy, who was then Minister of Economic Development) and employees (Messrs. Flitton, then Deputy Minister of Lands, and two other Ministry officials, Messrs. Lee and Hall), it is important to consider the actions and motivations of each of the individual actors separately. One should not attribute, for example, the detailed knowledge of persons at one level of administration to persons at another level who have only general knowledge of the subject and are largely dependent on the advice of others. It is also important to keep in mind the practical context in which the decision-makers were operating. Certainly at the level of Cabinet minister or Premier, it is likely the matter of preliminary approval of PMR's proposal was only one of many decisions required to be made by the government of the day, some of greater and some of lesser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am prepared to assume, for the purpose of assessing the plaintiff's claim in misfeasance, but without so finding, that a misfeasance case can be made out against a collective--in this case DFO--as the individuals whose conduct has been called into question have been named, but no personal remedy against them has been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plaintiff alleges that because of bias and predetermination on the part of employees of the DFO, their refusal to issue an authorization for Proposed Development in October 2009 and March 2010, on the basis of an unacceptable HADD, was unlawful and/or incorrect. In support, the plaintiff raises for two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First, the plaintiff asserts that DFO based its refusal on erroneous information, instead of on the merits of the 2009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plaintiff submits that initiating the EA process prescribed under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sooner than what actually occurred would simply have ensured that all potential impacts to the environment would be considered, including those on fish habitat, and that the proponent would be given an opportunity to fully address those concerns as well as any others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do not accept that the time and expense that would have been necessitated by the earlier initiation of the EA process was warranted, unless some concrete and viable plan to address the stormwater and habitat impacts that were identified by the DFO was articulated by the plaintiff. Given the volume of applications to DFO, the early referral of an incomplete application would have meant that other completed applications would have to await the processing of the plaintiff's incomplete application, to the detriment of other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As I have already concluded above, the plaintiff's QEPs were aware of what was required to initiate the EA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RDG Report did not challenge the initial risk assessment made by the habitat practitioners in the Lower Fraser Area, nor did it refute their findings with respect to impacts on fish and fish habitat. Indeed, in the course of their review, neither Mr. Paterson nor Mr. Silverstein saw anything that indicated that those practitioners had made any mistakes in carrying out their work, misapplied DFO policies, or acted inappropriately in carrying out their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Rather, Mr. Silverstein and Mr. Paterson confirmed that the October 2009 Letter drafted by Ms. McDonald was the appropriate letter to send to the proponent in the circumstances, and that this letter was a timely response to the plaintiff's 2009 Submission. They further found that the facts and findings in Mr. Sciankowy's letter of March 2010, including his consideration of cumulative effects, were correct and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argues that DFO was required to conduct an EA screening process upon the submission of an application requesting an authorization where the proposed project was likely to cause a HADD and says that in this case the EA Screening Process should have been initiated upon submission of the 2009 correspondence from SRS.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Second, the plaintiff asserts that DFO's refusal was intended to avoid the commencement of an EA, which the plaintiff says was required upon the submission of its application and DFO's determination that the Proposed Development would result in an unacceptable HADD.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 plaintiff contends that neither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nor the </w:t>
      </w:r>
      <w:r>
        <w:rPr>
          <w:rFonts w:ascii="arial" w:eastAsia="arial" w:hAnsi="arial" w:cs="arial"/>
          <w:i/>
          <w:color w:val="000000"/>
          <w:sz w:val="20"/>
          <w:lang w:val="en-US" w:eastAsia="en-US" w:bidi="ar-SA"/>
        </w:rPr>
        <w:t>Policy for the Management of Fish Habitat</w:t>
      </w:r>
      <w:r>
        <w:rPr>
          <w:rFonts w:ascii="arial" w:eastAsia="arial" w:hAnsi="arial" w:cs="arial"/>
          <w:color w:val="000000"/>
          <w:sz w:val="20"/>
          <w:lang w:val="en-US" w:eastAsia="en-US" w:bidi="ar-SA"/>
        </w:rPr>
        <w:t xml:space="preserve"> precluded DFO's legal obligations under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that it was unlawful for Ms. McDonald to ignore her obligations under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FCR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The DFO's </w:t>
      </w:r>
      <w:r>
        <w:rPr>
          <w:rFonts w:ascii="arial" w:eastAsia="arial" w:hAnsi="arial" w:cs="arial"/>
          <w:i/>
          <w:color w:val="000000"/>
          <w:sz w:val="20"/>
          <w:lang w:val="en-US" w:eastAsia="en-US" w:bidi="ar-SA"/>
        </w:rPr>
        <w:t>Practitioners Guide to the Risk Management Framework</w:t>
      </w:r>
      <w:r>
        <w:rPr>
          <w:rFonts w:ascii="arial" w:eastAsia="arial" w:hAnsi="arial" w:cs="arial"/>
          <w:color w:val="000000"/>
          <w:sz w:val="20"/>
          <w:lang w:val="en-US" w:eastAsia="en-US" w:bidi="ar-SA"/>
        </w:rPr>
        <w:t xml:space="preserve"> was intended to provide "broad guidance" to habitat management practitioners, and to provide a "foundation for discussions" with proponents and partners. Section 2.3 of the </w:t>
      </w:r>
      <w:r>
        <w:rPr>
          <w:rFonts w:ascii="arial" w:eastAsia="arial" w:hAnsi="arial" w:cs="arial"/>
          <w:i/>
          <w:color w:val="000000"/>
          <w:sz w:val="20"/>
          <w:lang w:val="en-US" w:eastAsia="en-US" w:bidi="ar-SA"/>
        </w:rPr>
        <w:t>Guide</w:t>
      </w:r>
      <w:r>
        <w:rPr>
          <w:rFonts w:ascii="arial" w:eastAsia="arial" w:hAnsi="arial" w:cs="arial"/>
          <w:color w:val="000000"/>
          <w:sz w:val="20"/>
          <w:lang w:val="en-US" w:eastAsia="en-US" w:bidi="ar-SA"/>
        </w:rPr>
        <w:t xml:space="preserve"> states that the habitat protection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rather than those of the policies, form the regulatory context in which practitioners review development proposals.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plaintiff alleges that DFO should have proceeded with the EA Screening Process when notice was not received within 30 days from the other agencies. However, even before the November 5, 2010, letters went out, the plaintiff was on notice that DFO considered not only that it needed to notify others with expertise on species at risk but also that it needed to hold actual discussions with those agencies to conduct the EA Screening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 admitted the application was not complete until it submitted its Conceptual Compensation Plan in January 2011, thus causing a delay of several months. This delay had an impact on the ability of staff to consider the plaintiff's Proposed Development. Ms. Huxter of EC testified as to her inability to move the file along until she received the Conceptual Compensation Plan from DFO in January 2011, as there was nothing to consider until that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Without the plaintiff's completed Conceptual Compensation Plan, the other agencies would not have a complete application from the plaintiff to determine how they would respond to DFO until sometime after January 26, 2011, when it was provided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When the plaintiff finally sent a compensation plan to DFO in January 2011, it was labelled "conceptual" and contained scant information. Ms. Huxter noted that the word "conceptual" indicated to her that the plan was not "confirmed" or final and that that lack of finality would have to be taken into consideration in the review of the plan. For instance, it was unclear what the plaintiff's interest in the Trout Park land was and how the land would be managed in perpetuity.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Whether the EA Screening Process was conducted reasonably and fairly is dependant upon whether the plaintiff's application materials were incomplete from September 9, 2009 until January 26, 2011, as it was not until the latter date that the plaintiff supplied its Conceptual Compensation Plan to DFO. Karel Carhoun admitted that the plaintiff's application was not complete until the Conceptual Compensation Plan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Quebec (Attorney General) v. Moses</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2010 SCC 17</w:t>
        </w:r>
      </w:hyperlink>
      <w:r>
        <w:rPr>
          <w:rFonts w:ascii="arial" w:eastAsia="arial" w:hAnsi="arial" w:cs="arial"/>
          <w:color w:val="000000"/>
          <w:sz w:val="20"/>
          <w:lang w:val="en-US" w:eastAsia="en-US" w:bidi="ar-SA"/>
        </w:rPr>
        <w:t xml:space="preserve"> at para. 38, the Supreme Court of Canada held that a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assessment is obligatory prior to the grant of a s. 35(2) permit. The defendant contends that if a federal authority does not intend to issue an approval that would enable the project to be carried out, then it follows that an EA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The federal courts have repeatedly held that s. 11(1)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requires that an EA be initiated if or when, in the opinion of the RA, a project proponent has provided sufficient information about a proposed project that it could be determined whether and to what extent it might cause adverse environmental effects; see e.g., </w:t>
      </w:r>
      <w:r>
        <w:rPr>
          <w:rFonts w:ascii="arial" w:eastAsia="arial" w:hAnsi="arial" w:cs="arial"/>
          <w:i/>
          <w:color w:val="000000"/>
          <w:sz w:val="20"/>
          <w:lang w:val="en-US" w:eastAsia="en-US" w:bidi="ar-SA"/>
        </w:rPr>
        <w:t>Greenpeace</w:t>
      </w:r>
      <w:r>
        <w:rPr>
          <w:rFonts w:ascii="arial" w:eastAsia="arial" w:hAnsi="arial" w:cs="arial"/>
          <w:color w:val="000000"/>
          <w:sz w:val="20"/>
          <w:lang w:val="en-US" w:eastAsia="en-US" w:bidi="ar-SA"/>
        </w:rPr>
        <w:t xml:space="preserve"> at para. 185, where the Court observed that "the statutory language of practicability ...is the key concept for determining how and when an EA should be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 asserts that the defendant never requested an assessment of alternatives to its proposed project and that in any event, the defendant was required to consider what it did submit.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reject this submission. The absence of a detailed compensation plan was a significant barrier for all government personnel who struggled to understand the plaintiff's intentions at the relevant time. Without a compensation plan, the proposal was incomplete. Sending the materials for review without the needed information slowed rather than expedited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plaintiff says that it was not advised of any concern that its compensation plan was insufficient in the initial rejection letters, nor told that that was a basis for the rejection of its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reject this submission as well. In fact, the plaintiff presented not a compensation plan, but a vague, uncertain, and potentially unattainable plan that presupposed its ownership of the Trout Park, which it would have been unable to attain, and the transfer of that farm to an unspecified entity who would perform unspecified tasks to bring about effective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reject as unreasonable the plaintiff's submission that the requirement of a detailed and complete compensation plan prior to receiving feedback from federal authorities is illogical. As a proponent may not be aware of specific concerns of the various agencies involved, the scenario put forward by the plaintiff would, very likely, create the need for multiple additional compensation plans when that feedback is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Indeed, Mr. Sciankowy explained that an EA screening process was triggered only when DFO was of the view that it was likely an authorization would be required. The defendant contends that at that time, it would have been premature to commence an authorization process for the Proposed Development because it was in the early planning stages and not acceptable to DFO. In the absence of a project for which DFO would be willing to issue an authorization, the defendant says it was premature to initiate an EA screening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 further contends that the evidence from EC was that they were not waiting for information from the plaintiff; there was in fact nothing the plaintiff could have provided to enable them to provide any actual substantial advice; and, in fact, EC's intention was to wait until June 2012, the date they optimistically aimed to have completed a Recovery Strategy for the Oregon Forest Snail (the "Snail"), so that "critical habitat" could be defined and they would finally have a legitimate justification for denying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reject this contention. Mr. Salomi also testified that as DFO was not going to take any action at that time, there was no reason to initiate an authorization process under the legislation. He noted that, in fact, Ms. McDonald's advice was that the Proposed Development, as described, would not be authorized. As such, there was no reason commence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1986 </w:t>
      </w:r>
      <w:r>
        <w:rPr>
          <w:rFonts w:ascii="arial" w:eastAsia="arial" w:hAnsi="arial" w:cs="arial"/>
          <w:i/>
          <w:color w:val="000000"/>
          <w:sz w:val="20"/>
          <w:lang w:val="en-US" w:eastAsia="en-US" w:bidi="ar-SA"/>
        </w:rPr>
        <w:t>Habitat Policy</w:t>
      </w:r>
      <w:r>
        <w:rPr>
          <w:rFonts w:ascii="arial" w:eastAsia="arial" w:hAnsi="arial" w:cs="arial"/>
          <w:color w:val="000000"/>
          <w:sz w:val="20"/>
          <w:lang w:val="en-US" w:eastAsia="en-US" w:bidi="ar-SA"/>
        </w:rPr>
        <w:t xml:space="preserve"> was described as the central guiding policy document used by DFO throughout the period at issue. It set out the parameters of the exercise of discretion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DFO's overarching guiding principles of "no net loss" and the hierarchy of preferences stem from this policy. The steps practitioners are to take in assessing a project are outlined at s. 5.1 and only where it is "impossible or impractical" to maintain the same level of habitat productive capacity using redesign and relocation would DFO accede to exploring compensation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Several witnesses for the defendant relied on the DFO's </w:t>
      </w:r>
      <w:r>
        <w:rPr>
          <w:rFonts w:ascii="arial" w:eastAsia="arial" w:hAnsi="arial" w:cs="arial"/>
          <w:i/>
          <w:color w:val="000000"/>
          <w:sz w:val="20"/>
          <w:lang w:val="en-US" w:eastAsia="en-US" w:bidi="ar-SA"/>
        </w:rPr>
        <w:t>Habitat Policy</w:t>
      </w:r>
      <w:r>
        <w:rPr>
          <w:rFonts w:ascii="arial" w:eastAsia="arial" w:hAnsi="arial" w:cs="arial"/>
          <w:color w:val="000000"/>
          <w:sz w:val="20"/>
          <w:lang w:val="en-US" w:eastAsia="en-US" w:bidi="ar-SA"/>
        </w:rPr>
        <w:t xml:space="preserve"> hierarchy of preferences as a basis for determining the plaintiff's HADD as "Unacceptable" without initiating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process. The plaintiff submits this is a clear example of the defendants treating their non-statutory guidance as overriding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 plaintiff contends that this is inconsistent with the conclusion reached by the Federal Court of Appeal in </w:t>
      </w:r>
      <w:r>
        <w:rPr>
          <w:rFonts w:ascii="arial" w:eastAsia="arial" w:hAnsi="arial" w:cs="arial"/>
          <w:i/>
          <w:color w:val="000000"/>
          <w:sz w:val="20"/>
          <w:lang w:val="en-US" w:eastAsia="en-US" w:bidi="ar-SA"/>
        </w:rPr>
        <w:t>Maple Lodge Farms Limited v. Government of Canada and the Minister of Economic Development, responsible for Industry, Trade and Commerce</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[1981] 1 F.C. 500</w:t>
        </w:r>
      </w:hyperlink>
      <w:r>
        <w:rPr>
          <w:rFonts w:ascii="arial" w:eastAsia="arial" w:hAnsi="arial" w:cs="arial"/>
          <w:color w:val="000000"/>
          <w:sz w:val="20"/>
          <w:lang w:val="en-US" w:eastAsia="en-US" w:bidi="ar-SA"/>
        </w:rPr>
        <w:t xml:space="preserve"> at para. 29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hold otherwise would be to adopt the position that guidelines, once adopted, indicate what are to be considered to be the only relevant considerations for the exercise of a discretion. Such a conclusion would be contrary to the fundamental principle that guidelines, which are not regulations and do not have the force of law, cannot limit or qualify the scope of the discretion conferred by statute, or create a right to something that has been made discretionary by statute. The Minister may validly and properly indicate the kind of considerations by which he will be guided as a general rule in the exercise of his discretion (</w:t>
      </w:r>
      <w:r>
        <w:rPr>
          <w:rFonts w:ascii="arial" w:eastAsia="arial" w:hAnsi="arial" w:cs="arial"/>
          <w:i/>
          <w:color w:val="000000"/>
          <w:sz w:val="20"/>
          <w:lang w:val="en-US" w:eastAsia="en-US" w:bidi="ar-SA"/>
        </w:rPr>
        <w:t>see British Oxygen Co. Ltd. v. Minister of Technology</w:t>
      </w:r>
      <w:r>
        <w:rPr>
          <w:rFonts w:ascii="arial" w:eastAsia="arial" w:hAnsi="arial" w:cs="arial"/>
          <w:color w:val="000000"/>
          <w:sz w:val="20"/>
          <w:lang w:val="en-US" w:eastAsia="en-US" w:bidi="ar-SA"/>
        </w:rPr>
        <w:t xml:space="preserve">, [1971] A.C. 610; </w:t>
      </w:r>
      <w:r>
        <w:rPr>
          <w:rFonts w:ascii="arial" w:eastAsia="arial" w:hAnsi="arial" w:cs="arial"/>
          <w:i/>
          <w:color w:val="000000"/>
          <w:sz w:val="20"/>
          <w:lang w:val="en-US" w:eastAsia="en-US" w:bidi="ar-SA"/>
        </w:rPr>
        <w:t>Capital Cities Communications Inc. et al. v. Canadian Radio-Television Com'n et al. (1977)</w:t>
      </w:r>
      <w:r>
        <w:rPr>
          <w:rFonts w:ascii="arial" w:eastAsia="arial" w:hAnsi="arial" w:cs="arial"/>
          <w:color w:val="000000"/>
          <w:sz w:val="20"/>
          <w:lang w:val="en-US" w:eastAsia="en-US" w:bidi="ar-SA"/>
        </w:rPr>
        <w:t xml:space="preserve">, 1977 CanLII 12 (SCC), </w:t>
      </w:r>
      <w:hyperlink r:id="rId192" w:history="1">
        <w:r>
          <w:rPr>
            <w:rFonts w:ascii="arial" w:eastAsia="arial" w:hAnsi="arial" w:cs="arial"/>
            <w:i/>
            <w:color w:val="0077CC"/>
            <w:sz w:val="20"/>
            <w:u w:val="single"/>
            <w:shd w:val="clear" w:color="auto" w:fill="FFFFFF"/>
            <w:lang w:val="en-US" w:eastAsia="en-US" w:bidi="ar-SA"/>
          </w:rPr>
          <w:t>81 D.L.R. (3d) 609</w:t>
        </w:r>
      </w:hyperlink>
      <w:r>
        <w:rPr>
          <w:rFonts w:ascii="arial" w:eastAsia="arial" w:hAnsi="arial" w:cs="arial"/>
          <w:color w:val="000000"/>
          <w:sz w:val="20"/>
          <w:lang w:val="en-US" w:eastAsia="en-US" w:bidi="ar-SA"/>
        </w:rPr>
        <w:t xml:space="preserve"> at pp. 628- 9, </w:t>
      </w:r>
      <w:hyperlink r:id="rId192" w:history="1">
        <w:r>
          <w:rPr>
            <w:rFonts w:ascii="arial" w:eastAsia="arial" w:hAnsi="arial" w:cs="arial"/>
            <w:i/>
            <w:color w:val="0077CC"/>
            <w:sz w:val="20"/>
            <w:u w:val="single"/>
            <w:shd w:val="clear" w:color="auto" w:fill="FFFFFF"/>
            <w:lang w:val="en-US" w:eastAsia="en-US" w:bidi="ar-SA"/>
          </w:rPr>
          <w:t>[1978] 2 S.C.R. 141</w:t>
        </w:r>
      </w:hyperlink>
      <w:r>
        <w:rPr>
          <w:rFonts w:ascii="arial" w:eastAsia="arial" w:hAnsi="arial" w:cs="arial"/>
          <w:color w:val="000000"/>
          <w:sz w:val="20"/>
          <w:lang w:val="en-US" w:eastAsia="en-US" w:bidi="ar-SA"/>
        </w:rPr>
        <w:t xml:space="preserve"> at pp. 169-71, </w:t>
      </w:r>
      <w:hyperlink r:id="rId192" w:history="1">
        <w:r>
          <w:rPr>
            <w:rFonts w:ascii="arial" w:eastAsia="arial" w:hAnsi="arial" w:cs="arial"/>
            <w:i/>
            <w:color w:val="0077CC"/>
            <w:sz w:val="20"/>
            <w:u w:val="single"/>
            <w:shd w:val="clear" w:color="auto" w:fill="FFFFFF"/>
            <w:lang w:val="en-US" w:eastAsia="en-US" w:bidi="ar-SA"/>
          </w:rPr>
          <w:t>36 C.P.R. (2d) 1</w:t>
        </w:r>
      </w:hyperlink>
      <w:r>
        <w:rPr>
          <w:rFonts w:ascii="arial" w:eastAsia="arial" w:hAnsi="arial" w:cs="arial"/>
          <w:color w:val="000000"/>
          <w:sz w:val="20"/>
          <w:lang w:val="en-US" w:eastAsia="en-US" w:bidi="ar-SA"/>
        </w:rPr>
        <w:t xml:space="preserve">), but he cannot fetter his discretion by treating the guidelines as binding upon him and excluding other valid or relevant reasons for the exercise of his discretion (see </w:t>
      </w:r>
      <w:r>
        <w:rPr>
          <w:rFonts w:ascii="arial" w:eastAsia="arial" w:hAnsi="arial" w:cs="arial"/>
          <w:i/>
          <w:color w:val="000000"/>
          <w:sz w:val="20"/>
          <w:lang w:val="en-US" w:eastAsia="en-US" w:bidi="ar-SA"/>
        </w:rPr>
        <w:t>Re Hopedale Developments Ltd. and Town of Oakville (1964)</w:t>
      </w:r>
      <w:r>
        <w:rPr>
          <w:rFonts w:ascii="arial" w:eastAsia="arial" w:hAnsi="arial" w:cs="arial"/>
          <w:color w:val="000000"/>
          <w:sz w:val="20"/>
          <w:lang w:val="en-US" w:eastAsia="en-US" w:bidi="ar-SA"/>
        </w:rPr>
        <w:t xml:space="preserve">, 1964 CanLII 196 (ON CA), </w:t>
      </w:r>
      <w:hyperlink r:id="rId193" w:history="1">
        <w:r>
          <w:rPr>
            <w:rFonts w:ascii="arial" w:eastAsia="arial" w:hAnsi="arial" w:cs="arial"/>
            <w:i/>
            <w:color w:val="0077CC"/>
            <w:sz w:val="20"/>
            <w:u w:val="single"/>
            <w:shd w:val="clear" w:color="auto" w:fill="FFFFFF"/>
            <w:lang w:val="en-US" w:eastAsia="en-US" w:bidi="ar-SA"/>
          </w:rPr>
          <w:t>47 D.L.R. (2d) 482</w:t>
        </w:r>
      </w:hyperlink>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[1965] 1 O.R. 259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This contention is unjustified. The plaintiff concedes that these guidelines may not be legally binding on a decision maker in the sense that it may be an error of law to misinterpret or misapply them, but argued that the use of guidelines and other "soft law" techniques to achieve an acceptable level of consistency in administrative decisions is particularly important for tribunals exercising discretion whether on procedural, evidential, or substandard issues in the performance of adjudicative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Girard v. Canada</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[1994] F.C.J. No. 420</w:t>
        </w:r>
      </w:hyperlink>
      <w:r>
        <w:rPr>
          <w:rFonts w:ascii="arial" w:eastAsia="arial" w:hAnsi="arial" w:cs="arial"/>
          <w:color w:val="000000"/>
          <w:sz w:val="20"/>
          <w:lang w:val="en-US" w:eastAsia="en-US" w:bidi="ar-SA"/>
        </w:rPr>
        <w:t xml:space="preserve"> (T.D.), Mr. Justice Rouleau stated at para. 37 that "a directive or policy does not have the force of law because it lacks the essential features of a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The principle was reiterated in </w:t>
      </w:r>
      <w:r>
        <w:rPr>
          <w:rFonts w:ascii="arial" w:eastAsia="arial" w:hAnsi="arial" w:cs="arial"/>
          <w:i/>
          <w:color w:val="000000"/>
          <w:sz w:val="20"/>
          <w:lang w:val="en-US" w:eastAsia="en-US" w:bidi="ar-SA"/>
        </w:rPr>
        <w:t>Byer v. Canada</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[2002] F.C.J. No. 672</w:t>
        </w:r>
      </w:hyperlink>
      <w:r>
        <w:rPr>
          <w:rFonts w:ascii="arial" w:eastAsia="arial" w:hAnsi="arial" w:cs="arial"/>
          <w:color w:val="000000"/>
          <w:sz w:val="20"/>
          <w:lang w:val="en-US" w:eastAsia="en-US" w:bidi="ar-SA"/>
        </w:rPr>
        <w:t xml:space="preserve"> (T.D.), where Madam Justice Tremblay-Lamer determined that a policy on claims and </w:t>
      </w:r>
      <w:r>
        <w:rPr>
          <w:rFonts w:ascii="arial" w:eastAsia="arial" w:hAnsi="arial" w:cs="arial"/>
          <w:i/>
          <w:color w:val="000000"/>
          <w:sz w:val="20"/>
          <w:lang w:val="en-US" w:eastAsia="en-US" w:bidi="ar-SA"/>
        </w:rPr>
        <w:t>ex gratia</w:t>
      </w:r>
      <w:r>
        <w:rPr>
          <w:rFonts w:ascii="arial" w:eastAsia="arial" w:hAnsi="arial" w:cs="arial"/>
          <w:color w:val="000000"/>
          <w:sz w:val="20"/>
          <w:lang w:val="en-US" w:eastAsia="en-US" w:bidi="ar-SA"/>
        </w:rPr>
        <w:t xml:space="preserve"> payments was administrative in nature, and was not, as such, enforceable, and accordingly there were no damages that flowed from the government's failure to comply with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Comeau's Sea Foods Ltd. v. Canada (Minister of Fisheries and Oceans)</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[1997] 1 S.C.R. 12</w:t>
        </w:r>
      </w:hyperlink>
      <w:r>
        <w:rPr>
          <w:rFonts w:ascii="arial" w:eastAsia="arial" w:hAnsi="arial" w:cs="arial"/>
          <w:color w:val="000000"/>
          <w:sz w:val="20"/>
          <w:lang w:val="en-US" w:eastAsia="en-US" w:bidi="ar-SA"/>
        </w:rPr>
        <w:t xml:space="preserve"> at 25-26, the Supreme Court of Canada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Canada's fisheries are a "common property resource", belonging to all the people of Canada. Under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it is the Minister's duty to manage, conserve and develop the fishery on behalf of Canadians in the public interest (s.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The plaintiff submits that the s. 35(2) Authorization decision is secondary and conditional on the course of action decision taken as a result of the EA conducted under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It submits that when DFO received its application, its discretion with respect to the issuance of the s. 35(2) was fettered by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that once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was triggered, DFO could request further information from the plaintiff or its consultants, if required, and that the plaintiff could also deal with other agencies' early processes.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MiningWatch Canada v. Canada (Fisheries and Oceans)</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2010 SCC 2</w:t>
        </w:r>
      </w:hyperlink>
      <w:r>
        <w:rPr>
          <w:rFonts w:ascii="arial" w:eastAsia="arial" w:hAnsi="arial" w:cs="arial"/>
          <w:color w:val="000000"/>
          <w:sz w:val="20"/>
          <w:lang w:val="en-US" w:eastAsia="en-US" w:bidi="ar-SA"/>
        </w:rPr>
        <w:t xml:space="preserve">, the Supreme Court of Canada held that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is a detailed set of procedures that federal authorities must follow before projects that may adversely affect the environment are permitted to proceed. The Court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is, in the words of its formal title, "[a]n Act to establish a federal environmental assessment process". It provides a process for integrating environmental considerations into planning and decision making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Preamble</w:t>
      </w:r>
      <w:r>
        <w:rPr>
          <w:rFonts w:ascii="arial" w:eastAsia="arial" w:hAnsi="arial" w:cs="arial"/>
          <w:i/>
          <w:color w:val="000000"/>
          <w:sz w:val="20"/>
          <w:lang w:val="en-US" w:eastAsia="en-US" w:bidi="ar-SA"/>
        </w:rPr>
        <w:t>; Friends of the Oldman River Society v. Canada (Minister of Transport)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w:t>
      </w:r>
      <w:r>
        <w:rPr>
          <w:rFonts w:ascii="arial" w:eastAsia="arial" w:hAnsi="arial" w:cs="arial"/>
          <w:color w:val="000000"/>
          <w:sz w:val="20"/>
          <w:lang w:val="en-US" w:eastAsia="en-US" w:bidi="ar-SA"/>
        </w:rPr>
        <w:t>, at p. 71). In broad overview, the Act sets forth five potential procedural options or tracks for environmental assessment depending upon the nature of the project, i.e., the physical work or physical activity to be reviewed. These five tracks vary in levels of intensity of assessment:</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Assessment</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Screening</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Comprehensive Study</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888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870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 Assessment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Section 7(1) provides that if a project is described on the </w:t>
      </w:r>
      <w:r>
        <w:rPr>
          <w:rFonts w:ascii="arial" w:eastAsia="arial" w:hAnsi="arial" w:cs="arial"/>
          <w:i/>
          <w:color w:val="000000"/>
          <w:sz w:val="20"/>
          <w:lang w:val="en-US" w:eastAsia="en-US" w:bidi="ar-SA"/>
        </w:rPr>
        <w:t>Exclusion List Regulations</w:t>
      </w:r>
      <w:r>
        <w:rPr>
          <w:rFonts w:ascii="arial" w:eastAsia="arial" w:hAnsi="arial" w:cs="arial"/>
          <w:color w:val="000000"/>
          <w:sz w:val="20"/>
          <w:lang w:val="en-US" w:eastAsia="en-US" w:bidi="ar-SA"/>
        </w:rPr>
        <w:t xml:space="preserve">, 2007, </w:t>
      </w:r>
      <w:hyperlink r:id="rId198" w:history="1">
        <w:r>
          <w:rPr>
            <w:rFonts w:ascii="arial" w:eastAsia="arial" w:hAnsi="arial" w:cs="arial"/>
            <w:i/>
            <w:color w:val="0077CC"/>
            <w:sz w:val="20"/>
            <w:u w:val="single"/>
            <w:shd w:val="clear" w:color="auto" w:fill="FFFFFF"/>
            <w:lang w:val="en-US" w:eastAsia="en-US" w:bidi="ar-SA"/>
          </w:rPr>
          <w:t>SOR/2007-108</w:t>
        </w:r>
      </w:hyperlink>
      <w:r>
        <w:rPr>
          <w:rFonts w:ascii="arial" w:eastAsia="arial" w:hAnsi="arial" w:cs="arial"/>
          <w:color w:val="000000"/>
          <w:sz w:val="20"/>
          <w:lang w:val="en-US" w:eastAsia="en-US" w:bidi="ar-SA"/>
        </w:rPr>
        <w:t xml:space="preserve">, or is required in response to an emergency, no environmental assessment need be carried out. Projects on this list are considered to have insignificant environmental effects. Projects in the </w:t>
      </w:r>
      <w:r>
        <w:rPr>
          <w:rFonts w:ascii="arial" w:eastAsia="arial" w:hAnsi="arial" w:cs="arial"/>
          <w:i/>
          <w:color w:val="000000"/>
          <w:sz w:val="20"/>
          <w:lang w:val="en-US" w:eastAsia="en-US" w:bidi="ar-SA"/>
        </w:rPr>
        <w:t>Exclusion List Regulations</w:t>
      </w:r>
      <w:r>
        <w:rPr>
          <w:rFonts w:ascii="arial" w:eastAsia="arial" w:hAnsi="arial" w:cs="arial"/>
          <w:color w:val="000000"/>
          <w:sz w:val="20"/>
          <w:lang w:val="en-US" w:eastAsia="en-US" w:bidi="ar-SA"/>
        </w:rPr>
        <w:t>, 2007 include, for example, the proposed maintenance or repair of a physical work (so long as it is not carried out in a national park, park reserve, national historic site or historic canal) (Sch. 1, s. 1).</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Screening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least intense environmental assessment track is termed a "screening". If a proposed project does not appear in the exclusion list or the comprehensive study list (discussed below), then a screening is required pursuant to s. 18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Projects requiring a screening are those considered to have some potential for adverse environmental effects, but those effects are not considered to be significant enough to warrant the more intense assessments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The plaintiff contends that DFO should have followed the purpose of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legislation and other guidance. It refers to the decision of the Supreme Court of Canada in </w:t>
      </w:r>
      <w:r>
        <w:rPr>
          <w:rFonts w:ascii="arial" w:eastAsia="arial" w:hAnsi="arial" w:cs="arial"/>
          <w:i/>
          <w:color w:val="000000"/>
          <w:sz w:val="20"/>
          <w:lang w:val="en-US" w:eastAsia="en-US" w:bidi="ar-SA"/>
        </w:rPr>
        <w:t>Friends of the Oldman River Society v. Canada (Minister of Transport)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w:t>
      </w:r>
      <w:r>
        <w:rPr>
          <w:rFonts w:ascii="arial" w:eastAsia="arial" w:hAnsi="arial" w:cs="arial"/>
          <w:color w:val="000000"/>
          <w:sz w:val="20"/>
          <w:lang w:val="en-US" w:eastAsia="en-US" w:bidi="ar-SA"/>
        </w:rPr>
        <w:t xml:space="preserve"> at 38-39, where it was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basic principles of law are not in doubt. Just as subordinate legislation cannot conflict with its parent legislation (</w:t>
      </w:r>
      <w:r>
        <w:rPr>
          <w:rFonts w:ascii="arial" w:eastAsia="arial" w:hAnsi="arial" w:cs="arial"/>
          <w:i/>
          <w:color w:val="000000"/>
          <w:sz w:val="20"/>
          <w:lang w:val="en-US" w:eastAsia="en-US" w:bidi="ar-SA"/>
        </w:rPr>
        <w:t>Belanger v. The King</w:t>
      </w:r>
      <w:r>
        <w:rPr>
          <w:rFonts w:ascii="arial" w:eastAsia="arial" w:hAnsi="arial" w:cs="arial"/>
          <w:color w:val="000000"/>
          <w:sz w:val="20"/>
          <w:lang w:val="en-US" w:eastAsia="en-US" w:bidi="ar-SA"/>
        </w:rPr>
        <w:t xml:space="preserve"> (1916), 1916 CanLII 87 (SCC), </w:t>
      </w:r>
      <w:hyperlink r:id="rId199" w:history="1">
        <w:r>
          <w:rPr>
            <w:rFonts w:ascii="arial" w:eastAsia="arial" w:hAnsi="arial" w:cs="arial"/>
            <w:i/>
            <w:color w:val="0077CC"/>
            <w:sz w:val="20"/>
            <w:u w:val="single"/>
            <w:shd w:val="clear" w:color="auto" w:fill="FFFFFF"/>
            <w:lang w:val="en-US" w:eastAsia="en-US" w:bidi="ar-SA"/>
          </w:rPr>
          <w:t>54 S.C.R. 265</w:t>
        </w:r>
      </w:hyperlink>
      <w:r>
        <w:rPr>
          <w:rFonts w:ascii="arial" w:eastAsia="arial" w:hAnsi="arial" w:cs="arial"/>
          <w:color w:val="000000"/>
          <w:sz w:val="20"/>
          <w:lang w:val="en-US" w:eastAsia="en-US" w:bidi="ar-SA"/>
        </w:rPr>
        <w:t>), so too it cannot conflict with other Acts of Parliament (</w:t>
      </w:r>
      <w:r>
        <w:rPr>
          <w:rFonts w:ascii="arial" w:eastAsia="arial" w:hAnsi="arial" w:cs="arial"/>
          <w:i/>
          <w:color w:val="000000"/>
          <w:sz w:val="20"/>
          <w:lang w:val="en-US" w:eastAsia="en-US" w:bidi="ar-SA"/>
        </w:rPr>
        <w:t>R. &amp; W. Paul, Ltd. v. Wheat Commission</w:t>
      </w:r>
      <w:r>
        <w:rPr>
          <w:rFonts w:ascii="arial" w:eastAsia="arial" w:hAnsi="arial" w:cs="arial"/>
          <w:color w:val="000000"/>
          <w:sz w:val="20"/>
          <w:lang w:val="en-US" w:eastAsia="en-US" w:bidi="ar-SA"/>
        </w:rPr>
        <w:t xml:space="preserve">, [1937] A.C. 139 (H.L.)), unless a statute so authorizes </w:t>
      </w:r>
      <w:r>
        <w:rPr>
          <w:rFonts w:ascii="arial" w:eastAsia="arial" w:hAnsi="arial" w:cs="arial"/>
          <w:i/>
          <w:color w:val="000000"/>
          <w:sz w:val="20"/>
          <w:lang w:val="en-US" w:eastAsia="en-US" w:bidi="ar-SA"/>
        </w:rPr>
        <w:t>(Re George Edwin Gray</w:t>
      </w:r>
      <w:r>
        <w:rPr>
          <w:rFonts w:ascii="arial" w:eastAsia="arial" w:hAnsi="arial" w:cs="arial"/>
          <w:color w:val="000000"/>
          <w:sz w:val="20"/>
          <w:lang w:val="en-US" w:eastAsia="en-US" w:bidi="ar-SA"/>
        </w:rPr>
        <w:t xml:space="preserve"> (1918), 1918 CanLII 533 (SCC), </w:t>
      </w:r>
      <w:hyperlink r:id="rId200" w:history="1">
        <w:r>
          <w:rPr>
            <w:rFonts w:ascii="arial" w:eastAsia="arial" w:hAnsi="arial" w:cs="arial"/>
            <w:i/>
            <w:color w:val="0077CC"/>
            <w:sz w:val="20"/>
            <w:u w:val="single"/>
            <w:shd w:val="clear" w:color="auto" w:fill="FFFFFF"/>
            <w:lang w:val="en-US" w:eastAsia="en-US" w:bidi="ar-SA"/>
          </w:rPr>
          <w:t>57 S.C.R. 150</w:t>
        </w:r>
      </w:hyperlink>
      <w:r>
        <w:rPr>
          <w:rFonts w:ascii="arial" w:eastAsia="arial" w:hAnsi="arial" w:cs="arial"/>
          <w:color w:val="000000"/>
          <w:sz w:val="20"/>
          <w:lang w:val="en-US" w:eastAsia="en-US" w:bidi="ar-SA"/>
        </w:rPr>
        <w:t xml:space="preserve">). Ordinarily, then, an Act of Parliament must prevail over inconsistent or conflicting subordinate legislation. However, as a matter of construction a court will, where possible, prefer an interpretation that permits reconciliation of the two. "Inconsistency" in this context refers to a situation where two legislative enactments cannot stand together; see </w:t>
      </w:r>
      <w:r>
        <w:rPr>
          <w:rFonts w:ascii="arial" w:eastAsia="arial" w:hAnsi="arial" w:cs="arial"/>
          <w:i/>
          <w:color w:val="000000"/>
          <w:sz w:val="20"/>
          <w:lang w:val="en-US" w:eastAsia="en-US" w:bidi="ar-SA"/>
        </w:rPr>
        <w:t>Daniels v. White</w:t>
      </w:r>
      <w:r>
        <w:rPr>
          <w:rFonts w:ascii="arial" w:eastAsia="arial" w:hAnsi="arial" w:cs="arial"/>
          <w:color w:val="000000"/>
          <w:sz w:val="20"/>
          <w:lang w:val="en-US" w:eastAsia="en-US" w:bidi="ar-SA"/>
        </w:rPr>
        <w:t xml:space="preserve">, 1968 CanLII 67(SCC), </w:t>
      </w:r>
      <w:hyperlink r:id="rId201" w:history="1">
        <w:r>
          <w:rPr>
            <w:rFonts w:ascii="arial" w:eastAsia="arial" w:hAnsi="arial" w:cs="arial"/>
            <w:i/>
            <w:color w:val="0077CC"/>
            <w:sz w:val="20"/>
            <w:u w:val="single"/>
            <w:shd w:val="clear" w:color="auto" w:fill="FFFFFF"/>
            <w:lang w:val="en-US" w:eastAsia="en-US" w:bidi="ar-SA"/>
          </w:rPr>
          <w:t>[1968] S.C.R. 517</w:t>
        </w:r>
      </w:hyperlink>
      <w:r>
        <w:rPr>
          <w:rFonts w:ascii="arial" w:eastAsia="arial" w:hAnsi="arial" w:cs="arial"/>
          <w:color w:val="000000"/>
          <w:sz w:val="20"/>
          <w:lang w:val="en-US" w:eastAsia="en-US" w:bidi="ar-SA"/>
        </w:rPr>
        <w:t xml:space="preserve">. The rule in that case was stated in respect of two inconsistent statutes where one was deemed to repeal the other by virtue of the inconsistency. However, the underlying rationale is the same as where subordinate legislation is said to be inconsistent with another Act of Parliament -- there is a presumption that the legislature did not intend to make or empower the making of contradictory enactments. There is also some doctrinal similarity to the principle of paramountcy in constitutional division of powers cases where inconsistency has also been defined in terms of contradiction - i.e., "compliance with one law involves breach of the other"; see </w:t>
      </w:r>
      <w:r>
        <w:rPr>
          <w:rFonts w:ascii="arial" w:eastAsia="arial" w:hAnsi="arial" w:cs="arial"/>
          <w:i/>
          <w:color w:val="000000"/>
          <w:sz w:val="20"/>
          <w:lang w:val="en-US" w:eastAsia="en-US" w:bidi="ar-SA"/>
        </w:rPr>
        <w:t>Smith v. The Queen</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[1960] S.C.R. 776</w:t>
        </w:r>
      </w:hyperlink>
      <w:r>
        <w:rPr>
          <w:rFonts w:ascii="arial" w:eastAsia="arial" w:hAnsi="arial" w:cs="arial"/>
          <w:color w:val="000000"/>
          <w:sz w:val="20"/>
          <w:lang w:val="en-US" w:eastAsia="en-US" w:bidi="ar-SA"/>
        </w:rPr>
        <w:t>, at p. 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The plaintiff submits that although s. 35(2)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viewed as a discretionary decision by DFO, the legislative framework required that before DFO was in a position to issue the permit, it was fettered by the requirement to conduct an EA under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its related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The plaintiff submits that once a HADD is determined, the need for a s. 35(2) authorization triggers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but the Court of Appeal in dealing with the relevant statutory provisions in the pleadings appeal in this case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If a proponent applies for an exemption under s. 35(2), the Minister must first trigger an environmental screening pursuant to s. 5(1)(d) of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which states: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An environmental assessment of a project is required before a federal authority exercises one of the following powers or performs one of the following duties or functions in respect of a project, namely, where a federal authority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a provision prescribed pursuant to paragraph 59(f), issues a permit of licence, grants an approval or takes any other action for the purpose of enabling the project to be carried out in whole or in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Section 2 of the </w:t>
      </w:r>
      <w:r>
        <w:rPr>
          <w:rFonts w:ascii="arial" w:eastAsia="arial" w:hAnsi="arial" w:cs="arial"/>
          <w:i/>
          <w:color w:val="000000"/>
          <w:sz w:val="20"/>
          <w:lang w:val="en-US" w:eastAsia="en-US" w:bidi="ar-SA"/>
        </w:rPr>
        <w:t>Law List Regulations</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S.O.R./94-636</w:t>
        </w:r>
      </w:hyperlink>
      <w:r>
        <w:rPr>
          <w:rFonts w:ascii="arial" w:eastAsia="arial" w:hAnsi="arial" w:cs="arial"/>
          <w:color w:val="000000"/>
          <w:sz w:val="20"/>
          <w:lang w:val="en-US" w:eastAsia="en-US" w:bidi="ar-SA"/>
        </w:rPr>
        <w:t xml:space="preserve">, prescribes s. 35(2) of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to be a designated power of the Minister requiring an environmental assessment pursuant to s. 5(1)(d) of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The plaintiff argues that ss. 16 and 26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remove any legitimate excuse of a federal authority to avoid conducting an EA, because it could somehow limit its discretion on what factors to consider when assessing a proposed project, and that if a federal authority such as the DFO could preclude an EA under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disregard considerations such as sustainable development, then there was no need for DFO to have a decision protocol and reviews by DFO delegates like Mr. Gotch to ensure that decisions were being made consistent with legislation and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I do not accept the plaintiff's submission that the provisions of ss. 16 and 26 of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oblige an RA referred to in that legislation to automatically embark upon an EA as soon as a project proposal is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While paragraphs (a)-(d) of s. 16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require the RA to consider environmental and cumulative effects, the significance of effects, comments from the public, and mitigation measures, paragraph (e) of s. 16 provides that the RA may also consider:</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matter relevant to the screening ...such as the need for the project and alternatives to the project, that the responsible authority ...may require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my view, these statutory requirements do not mean there could be no legitimate reason to not initiate the EA process, and even if the process were initiated, the RA could terminate the EA process entirely, pursuant to s.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The plaintiff submits that once in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DFO's discretion with respect to determining the significance of effects on fish habitat was to be guided by policies and other guidance materials, and that once the significant environmental effects on fish habitat were determined, there was some discretion, albeit not unfettered, to issue an unacceptable HADD letter to redesign or relocate, or to terminate the 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The defendant contends that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its associated regulations do not entitle a proponent to an EA assessment until such time as its staff pre-determine the acceptability or otherwise of the proposed project and entertain a s. 35(2) authorization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In response, the plaintiff contends that it was not a case of doing things right that delayed the approval of its proposal, but rather a failure on the part of DFO to trigger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in breach of the relevant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The defendant contends that, in this case, a true policy decision was made at a lower level of decision making, to do the EA Screening Process of the Proposed Development "right" rather than "fast". In response to questions about why DFO did not just conclude the EA Screening Process without having received EC's advice, a number of DFO witnesses testified that, as a matter of policy, they would not make such a decision knowing that environmental issues outside of their area of expertise were engaged. That course of action was simply not considered to be an acceptable discharge of their regulatory duties pursuant to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In this case, it was for the staff at EC, not DFO habitat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The plaintiff also submits that the decision of Messrs. Paterson and Silverstein to commence the EA on August 18, 2010, also triggered the </w:t>
      </w:r>
      <w:r>
        <w:rPr>
          <w:rFonts w:ascii="arial" w:eastAsia="arial" w:hAnsi="arial" w:cs="arial"/>
          <w:i/>
          <w:color w:val="000000"/>
          <w:sz w:val="20"/>
          <w:lang w:val="en-US" w:eastAsia="en-US" w:bidi="ar-SA"/>
        </w:rPr>
        <w:t>FCR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their respective timelines, and, accordingly, DFO was obligated to comply with the timelines as set out in the </w:t>
      </w:r>
      <w:r>
        <w:rPr>
          <w:rFonts w:ascii="arial" w:eastAsia="arial" w:hAnsi="arial" w:cs="arial"/>
          <w:i/>
          <w:color w:val="000000"/>
          <w:sz w:val="20"/>
          <w:lang w:val="en-US" w:eastAsia="en-US" w:bidi="ar-SA"/>
        </w:rPr>
        <w:t>FCR</w:t>
      </w:r>
      <w:r>
        <w:rPr>
          <w:rFonts w:ascii="arial" w:eastAsia="arial" w:hAnsi="arial" w:cs="arial"/>
          <w:color w:val="000000"/>
          <w:sz w:val="20"/>
          <w:lang w:val="en-US" w:eastAsia="en-US" w:bidi="ar-SA"/>
        </w:rPr>
        <w:t xml:space="preserve"> from that point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The plaintiff asserts that the RDG Review ultimately failed to sufficiently comment on what had been the plaintiff's overarching concern: the failure of DFO to trigger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once the HADD was determined. The evidence of Mr. Sprout at trial was that he agreed it was somewhat deficient, and that he would have personally liked to have seen more analysis of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Lisa McDonald testified that an unacceptable HADD could be determined before or after an EA was initiated.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Other witnesses employed by DFO and EC also stated that a determination of an "unacceptable" HADD could be made before a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screening had been initiated. For example, Mr. Paterson said the determination was made before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The plaintiff submits that if this was the case, there would be no need for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legislation to exist or for it to include a termination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Alberta Wilderness Assn. v. Canada (Minister of Fisheries and Oceans)</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[1999] 1 F.C. 483</w:t>
        </w:r>
      </w:hyperlink>
      <w:r>
        <w:rPr>
          <w:rFonts w:ascii="arial" w:eastAsia="arial" w:hAnsi="arial" w:cs="arial"/>
          <w:color w:val="000000"/>
          <w:sz w:val="20"/>
          <w:lang w:val="en-US" w:eastAsia="en-US" w:bidi="ar-SA"/>
        </w:rPr>
        <w:t xml:space="preserve"> at para. 18 (C.A.), the Federal Court of Appeal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requirements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are legislated directions that are explicit in mandating the necessity of an environmental assessment as a prerequisite to ministerial action. It is clear that the Minister has no jurisdiction to issue authorizations in the absence of an environmental assessment. It is equally clear that any assessment must be conducted in accordance with the Act, including for example, the requirement imposed under section 16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The plaintiff does not disagree that DFO has certain discretion with respect to whether or not the s. 35(2) permit was ultimately issued, but contends that by outright rejecting the plaintiff's Submission without first completing the EA as contemplated in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DFO was in fact fettering its own discretion to issue a s. 35(2) authorization to the plaintiff based upon its original application. The plaintiff submits that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precluded DFO from issuing a s. 35(2) authorization to the plaintiff without first concluding an EA. Such fettering of its own discretion was unfair to the plaintiff and inconsistent with the legislation and non-statutory guidance, as well as the principles of natural justice and procedural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While the plaintiff's application in this litigation was made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it had to seek the s. 35 authorization to comply with the law and avoid sanctions, the application must also be considered in light of the requirements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its associated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defendant was left with inadequate information from the plaintiff with respect to the extent to which the proposed project would adversely affect the neighbouring Silverdale Wetlands and its proposed mitigation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accept the defendant's assertion that an EA only has to be initiated when the proponent had provided sufficient information about a project's environmental implications such that it could be determined whether the project might cause adverse environmental effects and an authorization has been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As opposed to any suggestion that there were wetlands present within the Proposed Development, the only references to wetlands in the material that accompanied Mr. Ehnes's letter of September 9, 2009 were to "incorporate habitat creation opportunities in site development planning (i.e. wet stormwater detention facility/wetland)", "neighboring property (wetlands)", and "the creation of engineered wetlands/detention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 Sciankowy gave evidence that the terms "floodplain" and "wetlands" were often used interchangeably by DFO, proponents, and QEPs, although the plaintiff conceded that doing so might be improper. The Bianchini Report that accompanied the plaintiff's 2009 Submission made no reference to any wetlands on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Ms. Lisa Fox appeared as a witness for the plaintiff to provide evidence with respect to her involvement with the plaintiff's project, in particular in her role at the material time with the Fraser Valley Conservancy. Ms. Fox testified as to her understanding of the relationship between the various NGO and non-profit organizations involved in the plaintiff's project; of the Snail issues involved, as well as with respect to the Highway 7 Widening Project ("H7WP"), and in particular with respect to the H7WP memorandum of understanding and compensation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Ms. Fox was an unimpressive witness--very partisan--favouring the positions taken by Mr. Karel Carhoun. She offered a very self-interested perspective, seeing those who disagreed with her as dishonest or worse. She clearly tried to avoid any eye contact with cross-examining counsel and was difficult to persuade to answer the questions asked of her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Mr. Silverstein was a good and careful witness at trial. He listened carefully to the questions he was asked, and answered knowledgeably. It was clear that he was prepared to appropriately stand his ground on the matters upon which he was questioned.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Paterson, who is now retired, was called as a witness by the plaintiff to provide evidence on DFO's Policies; his involvement with the plaintiff's project, in particular the RDG's Review of the October 26, 2009 and March 18, 2010 rejection of the plaintiff's 2009 Submission; and his relationship to other DFO staff involved in the plaintiff's project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Mr. Paterson likened Wren Creek to capillaries in the body and described the Coho juvenile's preference for utilizing these type of smaller creeks, should they have access to them. He described the eight implementation strategies of the 1986 </w:t>
      </w:r>
      <w:r>
        <w:rPr>
          <w:rFonts w:ascii="arial" w:eastAsia="arial" w:hAnsi="arial" w:cs="arial"/>
          <w:i/>
          <w:color w:val="000000"/>
          <w:sz w:val="20"/>
          <w:lang w:val="en-US" w:eastAsia="en-US" w:bidi="ar-SA"/>
        </w:rPr>
        <w:t>Habitat Policy</w:t>
      </w:r>
      <w:r>
        <w:rPr>
          <w:rFonts w:ascii="arial" w:eastAsia="arial" w:hAnsi="arial" w:cs="arial"/>
          <w:color w:val="000000"/>
          <w:sz w:val="20"/>
          <w:lang w:val="en-US" w:eastAsia="en-US" w:bidi="ar-SA"/>
        </w:rPr>
        <w:t xml:space="preserve"> and noted the first was "conservation and protection". The dominant principle, he described, was "no net loss". This understanding was supported by virtually all DFO witnesses. Beyond no net loss, DFO sought a "net gain" in the productive capacity of fish habitat everywhere. That goal could be accomplished through active conservation, restoration of damaged fish habitat, and the development of new habitats. Mr. Paterson went on to describe the general approach to assessing a project, by beginning at the "top" and by first looking at redesign and relocate. This approach was shared by Mr. Ehnes and Mr. Bianchini in their reports and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Although I declared him an adverse witness during the course of his evidence, I find that he was an impressive witness--knowledgeable, careful and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Ms. McDonald also explained that DFO would initiate an EA process if it planned to issue an authorization to allow a project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am unable to accept the criticisms of either Mr. Sciankowy or Mr. Salomi. To the contrary, I found them both to be knowledgeable professionals, who fairly and diligently did their best to accommodate overwhelming workloads.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Despite lengthy and often repetitive cross-examination, Mr. Salomi gave measured evidence and displayed commendable patience.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Mr. Sciankowy impressed me as a loyal employee and an honest man. In cross-examination he was sensible, practical, and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Mr. Bianchini appeared as a witness for the plaintiff on behalf of the plaintiff's QEP, Bianchini Biological Services ("BBS"). He gave evidence with respect to the independent report that formed part of the EIA submitted by SRS; his experience working with terrestrial species at risk; his work with respect to the Snail; his personal involvement with the Snail Recovery Strategy Team; and his subsequent dealings with the defendant during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As discussed above, Mr. Bianchini agreed that the terms "wetland" and "floodplain" were not interchangeable, but said that he believed that the wetland areas may not have been "wetlands" during his initial assessment in 2009, but might have been so designated two years later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While the plaintiff submits that Mr. Bianchini was forthright with the Court throughout the course of his evidence, I reject, as disingenuous, his evidence about what might have been in 2009. Further, I do not accept the plaintiff's submission that his theory is somehow supported by the notes made by Mr. Sciankowy when reviewing the Highway 7 proposal and confirming that after the proposed works were completed, the culverts in the area were jammed, causing a backup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The wetlands only became a topic for investigation when they were appreciated in late fall 2011, as EC had a role in implementing the </w:t>
      </w:r>
      <w:r>
        <w:rPr>
          <w:rFonts w:ascii="arial" w:eastAsia="arial" w:hAnsi="arial" w:cs="arial"/>
          <w:i/>
          <w:color w:val="000000"/>
          <w:sz w:val="20"/>
          <w:lang w:val="en-US" w:eastAsia="en-US" w:bidi="ar-SA"/>
        </w:rPr>
        <w:t>Federal Policy on Wetland Conservation</w:t>
      </w:r>
      <w:r>
        <w:rPr>
          <w:rFonts w:ascii="arial" w:eastAsia="arial" w:hAnsi="arial" w:cs="arial"/>
          <w:color w:val="000000"/>
          <w:sz w:val="20"/>
          <w:lang w:val="en-US" w:eastAsia="en-US" w:bidi="ar-SA"/>
        </w:rPr>
        <w:t xml:space="preserve"> (1991) and the </w:t>
      </w:r>
      <w:r>
        <w:rPr>
          <w:rFonts w:ascii="arial" w:eastAsia="arial" w:hAnsi="arial" w:cs="arial"/>
          <w:i/>
          <w:color w:val="000000"/>
          <w:sz w:val="20"/>
          <w:lang w:val="en-US" w:eastAsia="en-US" w:bidi="ar-SA"/>
        </w:rPr>
        <w:t>Federal Policy on Wetland Conservation Implementation Guide for Federal Land Managers</w:t>
      </w:r>
      <w:r>
        <w:rPr>
          <w:rFonts w:ascii="arial" w:eastAsia="arial" w:hAnsi="arial" w:cs="arial"/>
          <w:color w:val="000000"/>
          <w:sz w:val="20"/>
          <w:lang w:val="en-US" w:eastAsia="en-US" w:bidi="ar-SA"/>
        </w:rPr>
        <w:t xml:space="preserve">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Witnesses from EC described the way in which they understood the </w:t>
      </w:r>
      <w:r>
        <w:rPr>
          <w:rFonts w:ascii="arial" w:eastAsia="arial" w:hAnsi="arial" w:cs="arial"/>
          <w:i/>
          <w:color w:val="000000"/>
          <w:sz w:val="20"/>
          <w:lang w:val="en-US" w:eastAsia="en-US" w:bidi="ar-SA"/>
        </w:rPr>
        <w:t>Federal Policy on Wetland Conservation</w:t>
      </w:r>
      <w:r>
        <w:rPr>
          <w:rFonts w:ascii="arial" w:eastAsia="arial" w:hAnsi="arial" w:cs="arial"/>
          <w:color w:val="000000"/>
          <w:sz w:val="20"/>
          <w:lang w:val="en-US" w:eastAsia="en-US" w:bidi="ar-SA"/>
        </w:rPr>
        <w:t xml:space="preserve"> to operate and how they sought to apply it to this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Their evidence does not support the plaintiff's contention that the EC's identification of the wetlands improperly delayed its file. The misidentification and delay arose from its own material, prepared by its own QEPs.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At the bottom of the ravines, there are three lower gradient areas that the plaintiff's QEPs referred to in the 2009 Submission as large active floodplains. The 2009 Submission described a loss of 9,600 square metres of active floodplain, but made no reference to wetlands within the Mission Land boundaries.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Ms. Murphy, the EC reviewer, explained that this statement was highly misleading to her. The term "floodplain" would not have raised issues, for her, with respect to wetlands because there are lots of floodplains in Canada that are not wetlands. She testified that she relied on the plaintiff's report to characterize impacts, as its QEPs are the ones on the site doing studies. She explained that there is no inventory of wetlands across the province and, because of resourcing and workload, the staff at EC had to be strategic in terms of the people, time, and projects that are referred to their in-house wetland specialists.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 found Ms. Murphy to be somewhat scattered in her evidence, but attribute that in large measure, if not entirely, to nervousness on her part. She tended to give rather lengthy answers and provide unnecessary details which sometimes led to qualification in her later answers. Nonetheless,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Mr. Bianchini did determine the habitat on the Mission Lands to be suitable for ten federally and provincially listed wildlife species at risk: the Northern water-meal, provincially red listed; the Red-legged frog, a SARA-listed special concern, provincially blue listed; the Green Heron, provincially blue listed; the Western Screech owl, SARA-listed special concern, provincially blue listed; the Dun Skipper butterfly, SARA-listed threatened, provincially blue listed; the Snail, SARA-listed endangered, provincially red listed; the Pacific sideband snail, provincially blue listed; the Pacific water shrew, SARA-listed endangered, provincially red listed; the Trowbridge's shrew, provincially blue listed; and the Snowshoe hare, provincially red listed.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One of these species, the Snail, is limited in its dispersal ability by its small stature and slow locomotion. It will range within, on average, a 32-square-metre radius (8m x 4m). The Snail provides a number of benefits to the ecological community. First, the Snail is a decomposer and consumer of live and decaying plant matter. Second, its shell acts as a "calcium cookie" for predators, including other snails, by sequestering calcium it takes in from stinging nettle. Third, the mucus membrane the Snail uses for locomotion gathers and transports mycorrhizae (fungus) around the forest floor. This mycorrhizae interacts with and maintains a symbiotic relationship with tree roots, allowing trees to take up more nutrients, which allows them to grow larger and faster. Fourth, the diversity of the Snail population has inherent value to the ecosystem. Not all snails share the same lifecycles; different snails will be active at different times of the year thus providing the above listed functions consistently throughout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In 2002 the Snail was assessed as endangered by the Committee on the Status of Endangered Wildlife in Canada ("COSEWIC"), the federal scientific body that informs the listing of species under </w:t>
      </w:r>
      <w:r>
        <w:rPr>
          <w:rFonts w:ascii="arial" w:eastAsia="arial" w:hAnsi="arial" w:cs="arial"/>
          <w:i/>
          <w:color w:val="000000"/>
          <w:sz w:val="20"/>
          <w:lang w:val="en-US" w:eastAsia="en-US" w:bidi="ar-SA"/>
        </w:rPr>
        <w:t>SARA</w:t>
      </w:r>
      <w:r>
        <w:rPr>
          <w:rFonts w:ascii="arial" w:eastAsia="arial" w:hAnsi="arial" w:cs="arial"/>
          <w:color w:val="000000"/>
          <w:sz w:val="20"/>
          <w:lang w:val="en-US" w:eastAsia="en-US" w:bidi="ar-SA"/>
        </w:rPr>
        <w:t xml:space="preserve">. Once a species is listed as endangered, </w:t>
      </w:r>
      <w:r>
        <w:rPr>
          <w:rFonts w:ascii="arial" w:eastAsia="arial" w:hAnsi="arial" w:cs="arial"/>
          <w:i/>
          <w:color w:val="000000"/>
          <w:sz w:val="20"/>
          <w:lang w:val="en-US" w:eastAsia="en-US" w:bidi="ar-SA"/>
        </w:rPr>
        <w:t>SARA</w:t>
      </w:r>
      <w:r>
        <w:rPr>
          <w:rFonts w:ascii="arial" w:eastAsia="arial" w:hAnsi="arial" w:cs="arial"/>
          <w:color w:val="000000"/>
          <w:sz w:val="20"/>
          <w:lang w:val="en-US" w:eastAsia="en-US" w:bidi="ar-SA"/>
        </w:rPr>
        <w:t xml:space="preserve"> requires that a recovery strategy be prepared if its habitat might be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Jennifer Heron, an invertebrate specialist with the Ministry of Environment, was assigned to write the recovery strategy for the Snail and the COSEWIC report. Ms. Heron gave evidence and was a delightful witness, clearly knowledgeable in her field and dedicated to her efforts to protect a species that she was clearly passionate about. She was careful in her evidence, and while optimistic, remained realistic about the Snail and its place in the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She explained that she had been chosen to write the recovery strategy, as the Snail occurred in BC and she was a subject matter expert. Where a species occurs nationally, an EC scientist may have been asked to write that recovery strategy. This reflected the cooperative approach provincial governments and the federal government were taking towards conservation.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Between 2002 and 2012, she wrote a number of recovery strategy drafts, and beginning in 2010, Ms. Heron led the recovery team for the Snail.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In 2011, EC met with Ms. Heron to discuss the recovery strategy. Ms. Heron described the discussion as a collaborative approach in working towards defining critical habitat. Ms. Heron explained that at the same time, she was working on the draft of her section of the recovery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While the plaintiff asserts that Ms. Heron only wrote a draft strategy, I am not persuaded that this is so. Clearly she was working on the draft recovery strategy that she began in 2002, and continued working on that document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biggest threat to the Snail was residential and commercial development in the Fraser Valley. By October 2012, there had been already 73 separate housing developments, and at least 17 of those developments within the municipalities of Mission, Abbotsford, and Chilliwack had resulted in the conversion of deciduous forest habitat, which may have impacted the Snail.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plaintiff contends that the potential deficiency in compensation property locations for the Cedar Valley Plan was a deliberate falsehood, given that no such deficiency had yet to be realized, and that the evidence at trial was that even if it were to materialize at a later date, the plan itself had already accounted for the deficiency within the boundaries of the Cedar Valley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plaintiff had committed to some initial cleanup of the Trout Park, but it was unclear who would do the rest of the habitat restoration. Further, only limited information was contained within the Conceptual Compensation Plan to deal with the species at risk and their treatment at any phase throughout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The calculations made by EC indicated that the area of habitat compensation for terrestrial species would be less than the habitat destroyed, thus failing to meet even a 1:1 compensation ratio, despite the situation calling for a higher-than 1:1 ratio. It was never made clear by the plaintiff whether its conceptual compensation plan would achieve a 1:1 ratio of habitat protection to habitat lost. The Trout Park was already habitat compensation, thus enhancing the area could not count to a 1:1 compensation. The habitat outlined for compensation for each </w:t>
      </w:r>
      <w:r>
        <w:rPr>
          <w:rFonts w:ascii="arial" w:eastAsia="arial" w:hAnsi="arial" w:cs="arial"/>
          <w:i/>
          <w:color w:val="000000"/>
          <w:sz w:val="20"/>
          <w:lang w:val="en-US" w:eastAsia="en-US" w:bidi="ar-SA"/>
        </w:rPr>
        <w:t>SARA</w:t>
      </w:r>
      <w:r>
        <w:rPr>
          <w:rFonts w:ascii="arial" w:eastAsia="arial" w:hAnsi="arial" w:cs="arial"/>
          <w:color w:val="000000"/>
          <w:sz w:val="20"/>
          <w:lang w:val="en-US" w:eastAsia="en-US" w:bidi="ar-SA"/>
        </w:rPr>
        <w:t>-listed species could overlap, thus resulting in less than 1:1 compensation for the land destroyed (9.13 hectares).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When EC explained their issues related to the Snail to DFO, the plaintiff was unable to provide any information that was of any assistance to EC in crafting their advice. In fact, these concerns and this struggle were evident in the province's interactions with the plaintiff. For instance, Mr. Joshua Michael Malt, who was an Ecosystems Biologist for the Provincial Ministry of Lands and Forests and is currently a Wildlife Section Head, explained that eventually he saw no point in continuing discussions with the plaintiff as no additional or helpful information related to the Snail was being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Mr. Malt impressed me as well-informed in his field and well aware of the requirements of his role. He satisfied me that he had absolutely no personal stake in the decisions that he reached with respect to the plaintiff's proposed project. He was careful to distinguish between scientific conclusions and political decisions. He disagreed with some of the views expressed by Mr. Bianchini, and I have no hesitation in accepting Mr. Malt's opinions in those areas of disagreement, and indeed in the other areas where he offered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plaintiff's failure to provide appropriate and timely information on its Conceptual Compensation Plan after the EA Screening Process began further slowed the process to its detriment. SRS, and through it the plaintiff, knew or ought to have known that the federal decision makers required extensive and well-researched information regarding compensation in order to make a decision or provide advice on the Proposed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There is no evidence that the employees of the defendant acted with bad faith or negligently in raising the wetlands issue with the plaintiff. The issue of wetlands on the Mission Lands was a valid concern that had to be dealt with by DFO in the EA Screening Process. The EC witnesses explained the circumstances of how and why the wetland issue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Mr. Ehnes, the plaintiff's QEP, stated in his testimony that an environmental management plan would generally be provided to DFO during an EA screening and that DFO would ask for this type of information and the QEP would provide it. DFO was never provided with an environmental management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In other material that accompanied Mr. Ehnes's letter of September 9, 2009, SRS wrote, in part,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Approximately 64,000 m2 of active floodplain, instream and riparian habitat area within the subject site will be affected by the proposed development. Changes to the existing habitat would likely be construed by Fisheries and Oceans Canada (DFO) to be a harmful alteration, disruption or destruction (HADD). A HADD can only be authorized under section 35(2) of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A HADD designation and authorization request is an automatic trigger for a project to be screened under the Canadian Environmental Assessment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existing habitat conditions onsite (i.e. generally degraded watercourses and gullies), the deciding factor in favour of this project is the opportunity for the developer to provide potential financial contributions to the DoM, DFO and/or Environmental Stewardship groups to acquire strategic properties with critical fish habitat and high community values; and, for the purposes of conservation, protection and enhancement of the Silverdale and Chester Creek Watersheds. It is anticipated that through partnerships, these groups will be able to double or triple the amount of these contributions to further the acquisition, conservation and long term preservation of critical habitat to help ensure integrity of the Silverdale Creek watershed.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Silverdale Creek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the provincial fisheries inventory homepage web site Silverdale Creek (Watershed Code: 100-051900) is a known fish bearing watercourse. As per FISS (2009), species distribution found within Silverdale Creek includes anadromous and non-anadromous cutthroat trout (</w:t>
      </w:r>
      <w:r>
        <w:rPr>
          <w:rFonts w:ascii="arial" w:eastAsia="arial" w:hAnsi="arial" w:cs="arial"/>
          <w:i/>
          <w:color w:val="000000"/>
          <w:sz w:val="20"/>
          <w:lang w:val="en-US" w:eastAsia="en-US" w:bidi="ar-SA"/>
        </w:rPr>
        <w:t>Oncorhynchus clarki clarki</w:t>
      </w:r>
      <w:r>
        <w:rPr>
          <w:rFonts w:ascii="arial" w:eastAsia="arial" w:hAnsi="arial" w:cs="arial"/>
          <w:color w:val="000000"/>
          <w:sz w:val="20"/>
          <w:lang w:val="en-US" w:eastAsia="en-US" w:bidi="ar-SA"/>
        </w:rPr>
        <w:t>), brown catfish (</w:t>
      </w:r>
      <w:r>
        <w:rPr>
          <w:rFonts w:ascii="arial" w:eastAsia="arial" w:hAnsi="arial" w:cs="arial"/>
          <w:i/>
          <w:color w:val="000000"/>
          <w:sz w:val="20"/>
          <w:lang w:val="en-US" w:eastAsia="en-US" w:bidi="ar-SA"/>
        </w:rPr>
        <w:t>Ictalurus nebulosus</w:t>
      </w:r>
      <w:r>
        <w:rPr>
          <w:rFonts w:ascii="arial" w:eastAsia="arial" w:hAnsi="arial" w:cs="arial"/>
          <w:color w:val="000000"/>
          <w:sz w:val="20"/>
          <w:lang w:val="en-US" w:eastAsia="en-US" w:bidi="ar-SA"/>
        </w:rPr>
        <w:t xml:space="preserve">), chum salmon (O. </w:t>
      </w:r>
      <w:r>
        <w:rPr>
          <w:rFonts w:ascii="arial" w:eastAsia="arial" w:hAnsi="arial" w:cs="arial"/>
          <w:i/>
          <w:color w:val="000000"/>
          <w:sz w:val="20"/>
          <w:lang w:val="en-US" w:eastAsia="en-US" w:bidi="ar-SA"/>
        </w:rPr>
        <w:t>ketia</w:t>
      </w:r>
      <w:r>
        <w:rPr>
          <w:rFonts w:ascii="arial" w:eastAsia="arial" w:hAnsi="arial" w:cs="arial"/>
          <w:color w:val="000000"/>
          <w:sz w:val="20"/>
          <w:lang w:val="en-US" w:eastAsia="en-US" w:bidi="ar-SA"/>
        </w:rPr>
        <w:t>), coho salmon (</w:t>
      </w:r>
      <w:r>
        <w:rPr>
          <w:rFonts w:ascii="arial" w:eastAsia="arial" w:hAnsi="arial" w:cs="arial"/>
          <w:i/>
          <w:color w:val="000000"/>
          <w:sz w:val="20"/>
          <w:lang w:val="en-US" w:eastAsia="en-US" w:bidi="ar-SA"/>
        </w:rPr>
        <w:t>O. kisutch</w:t>
      </w:r>
      <w:r>
        <w:rPr>
          <w:rFonts w:ascii="arial" w:eastAsia="arial" w:hAnsi="arial" w:cs="arial"/>
          <w:color w:val="000000"/>
          <w:sz w:val="20"/>
          <w:lang w:val="en-US" w:eastAsia="en-US" w:bidi="ar-SA"/>
        </w:rPr>
        <w:t>), pink salmon (</w:t>
      </w:r>
      <w:r>
        <w:rPr>
          <w:rFonts w:ascii="arial" w:eastAsia="arial" w:hAnsi="arial" w:cs="arial"/>
          <w:i/>
          <w:color w:val="000000"/>
          <w:sz w:val="20"/>
          <w:lang w:val="en-US" w:eastAsia="en-US" w:bidi="ar-SA"/>
        </w:rPr>
        <w:t>O. gorbuscha</w:t>
      </w:r>
      <w:r>
        <w:rPr>
          <w:rFonts w:ascii="arial" w:eastAsia="arial" w:hAnsi="arial" w:cs="arial"/>
          <w:color w:val="000000"/>
          <w:sz w:val="20"/>
          <w:lang w:val="en-US" w:eastAsia="en-US" w:bidi="ar-SA"/>
        </w:rPr>
        <w:t>), rainbow trout (</w:t>
      </w:r>
      <w:r>
        <w:rPr>
          <w:rFonts w:ascii="arial" w:eastAsia="arial" w:hAnsi="arial" w:cs="arial"/>
          <w:i/>
          <w:color w:val="000000"/>
          <w:sz w:val="20"/>
          <w:lang w:val="en-US" w:eastAsia="en-US" w:bidi="ar-SA"/>
        </w:rPr>
        <w:t>O. mykiss</w:t>
      </w:r>
      <w:r>
        <w:rPr>
          <w:rFonts w:ascii="arial" w:eastAsia="arial" w:hAnsi="arial" w:cs="arial"/>
          <w:color w:val="000000"/>
          <w:sz w:val="20"/>
          <w:lang w:val="en-US" w:eastAsia="en-US" w:bidi="ar-SA"/>
        </w:rPr>
        <w:t>), sockeye salmon (</w:t>
      </w:r>
      <w:r>
        <w:rPr>
          <w:rFonts w:ascii="arial" w:eastAsia="arial" w:hAnsi="arial" w:cs="arial"/>
          <w:i/>
          <w:color w:val="000000"/>
          <w:sz w:val="20"/>
          <w:lang w:val="en-US" w:eastAsia="en-US" w:bidi="ar-SA"/>
        </w:rPr>
        <w:t>O. nerka</w:t>
      </w:r>
      <w:r>
        <w:rPr>
          <w:rFonts w:ascii="arial" w:eastAsia="arial" w:hAnsi="arial" w:cs="arial"/>
          <w:color w:val="000000"/>
          <w:sz w:val="20"/>
          <w:lang w:val="en-US" w:eastAsia="en-US" w:bidi="ar-SA"/>
        </w:rPr>
        <w:t>), steelhead (</w:t>
      </w:r>
      <w:r>
        <w:rPr>
          <w:rFonts w:ascii="arial" w:eastAsia="arial" w:hAnsi="arial" w:cs="arial"/>
          <w:i/>
          <w:color w:val="000000"/>
          <w:sz w:val="20"/>
          <w:lang w:val="en-US" w:eastAsia="en-US" w:bidi="ar-SA"/>
        </w:rPr>
        <w:t>O. mykiss</w:t>
      </w:r>
      <w:r>
        <w:rPr>
          <w:rFonts w:ascii="arial" w:eastAsia="arial" w:hAnsi="arial" w:cs="arial"/>
          <w:color w:val="000000"/>
          <w:sz w:val="20"/>
          <w:lang w:val="en-US" w:eastAsia="en-US" w:bidi="ar-SA"/>
        </w:rPr>
        <w:t>) and lamprey (</w:t>
      </w:r>
      <w:r>
        <w:rPr>
          <w:rFonts w:ascii="arial" w:eastAsia="arial" w:hAnsi="arial" w:cs="arial"/>
          <w:i/>
          <w:color w:val="000000"/>
          <w:sz w:val="20"/>
          <w:lang w:val="en-US" w:eastAsia="en-US" w:bidi="ar-SA"/>
        </w:rPr>
        <w:t>Limpetra</w:t>
      </w:r>
      <w:r>
        <w:rPr>
          <w:rFonts w:ascii="arial" w:eastAsia="arial" w:hAnsi="arial" w:cs="arial"/>
          <w:color w:val="000000"/>
          <w:sz w:val="20"/>
          <w:lang w:val="en-US" w:eastAsia="en-US" w:bidi="ar-SA"/>
        </w:rPr>
        <w:t xml:space="preserve"> sp.).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riparian zone surrounding the creek downstream of Silverdale Avenue is comprised of floodplain bench marsh wetland consisting primarily of reed canary grass (</w:t>
      </w:r>
      <w:r>
        <w:rPr>
          <w:rFonts w:ascii="arial" w:eastAsia="arial" w:hAnsi="arial" w:cs="arial"/>
          <w:i/>
          <w:color w:val="000000"/>
          <w:sz w:val="20"/>
          <w:lang w:val="en-US" w:eastAsia="en-US" w:bidi="ar-SA"/>
        </w:rPr>
        <w:t>Phalaris arundinacea</w:t>
      </w:r>
      <w:r>
        <w:rPr>
          <w:rFonts w:ascii="arial" w:eastAsia="arial" w:hAnsi="arial" w:cs="arial"/>
          <w:color w:val="000000"/>
          <w:sz w:val="20"/>
          <w:lang w:val="en-US" w:eastAsia="en-US" w:bidi="ar-SA"/>
        </w:rPr>
        <w:t>), with minor amounts of black cottonwood (</w:t>
      </w:r>
      <w:r>
        <w:rPr>
          <w:rFonts w:ascii="arial" w:eastAsia="arial" w:hAnsi="arial" w:cs="arial"/>
          <w:i/>
          <w:color w:val="000000"/>
          <w:sz w:val="20"/>
          <w:lang w:val="en-US" w:eastAsia="en-US" w:bidi="ar-SA"/>
        </w:rPr>
        <w:t>Populus trichocarpa</w:t>
      </w:r>
      <w:r>
        <w:rPr>
          <w:rFonts w:ascii="arial" w:eastAsia="arial" w:hAnsi="arial" w:cs="arial"/>
          <w:color w:val="000000"/>
          <w:sz w:val="20"/>
          <w:lang w:val="en-US" w:eastAsia="en-US" w:bidi="ar-SA"/>
        </w:rPr>
        <w:t>), red alder (</w:t>
      </w:r>
      <w:r>
        <w:rPr>
          <w:rFonts w:ascii="arial" w:eastAsia="arial" w:hAnsi="arial" w:cs="arial"/>
          <w:i/>
          <w:color w:val="000000"/>
          <w:sz w:val="20"/>
          <w:lang w:val="en-US" w:eastAsia="en-US" w:bidi="ar-SA"/>
        </w:rPr>
        <w:t>Alnus rubra</w:t>
      </w:r>
      <w:r>
        <w:rPr>
          <w:rFonts w:ascii="arial" w:eastAsia="arial" w:hAnsi="arial" w:cs="arial"/>
          <w:color w:val="000000"/>
          <w:sz w:val="20"/>
          <w:lang w:val="en-US" w:eastAsia="en-US" w:bidi="ar-SA"/>
        </w:rPr>
        <w:t>), sitka spruce (</w:t>
      </w:r>
      <w:r>
        <w:rPr>
          <w:rFonts w:ascii="arial" w:eastAsia="arial" w:hAnsi="arial" w:cs="arial"/>
          <w:i/>
          <w:color w:val="000000"/>
          <w:sz w:val="20"/>
          <w:lang w:val="en-US" w:eastAsia="en-US" w:bidi="ar-SA"/>
        </w:rPr>
        <w:t>Picea sitchensis</w:t>
      </w:r>
      <w:r>
        <w:rPr>
          <w:rFonts w:ascii="arial" w:eastAsia="arial" w:hAnsi="arial" w:cs="arial"/>
          <w:color w:val="000000"/>
          <w:sz w:val="20"/>
          <w:lang w:val="en-US" w:eastAsia="en-US" w:bidi="ar-SA"/>
        </w:rPr>
        <w:t>) and Himalayan blackberry (</w:t>
      </w:r>
      <w:r>
        <w:rPr>
          <w:rFonts w:ascii="arial" w:eastAsia="arial" w:hAnsi="arial" w:cs="arial"/>
          <w:i/>
          <w:color w:val="000000"/>
          <w:sz w:val="20"/>
          <w:lang w:val="en-US" w:eastAsia="en-US" w:bidi="ar-SA"/>
        </w:rPr>
        <w:t>Rubus discolor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Silverdale Creek is considered "sensitive" under the </w:t>
      </w:r>
      <w:r>
        <w:rPr>
          <w:rFonts w:ascii="arial" w:eastAsia="arial" w:hAnsi="arial" w:cs="arial"/>
          <w:i/>
          <w:color w:val="000000"/>
          <w:sz w:val="20"/>
          <w:lang w:val="en-US" w:eastAsia="en-US" w:bidi="ar-SA"/>
        </w:rPr>
        <w:t>Sensitive Streams Designation and Licensing Regulation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Fish Protection Act</w:t>
      </w:r>
      <w:r>
        <w:rPr>
          <w:rFonts w:ascii="arial" w:eastAsia="arial" w:hAnsi="arial" w:cs="arial"/>
          <w:color w:val="000000"/>
          <w:sz w:val="20"/>
          <w:lang w:val="en-US" w:eastAsia="en-US" w:bidi="ar-SA"/>
        </w:rPr>
        <w:t>, S.B.C. 1997 c. 2.1), "Any application for license, approval, or an amendment to a license or approval with respect to these designated streams, which would include an application for a simple water crossing, triggers this regulation".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5.22 Fish Habitat improvement strategy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area of fish habitat that will be impacted due to the proposed development is large, the habitat is noticeably degraded in its current state and certainly cannot be viewed as critical.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basic habitat mitigation rational will be to: 1) implement BMPs onsite to mitigate impacts from site development and stormwater management; 2) incorporate habitat creation opportunities in site development planning (i.e., wet stormwater detention facility / wetland); and, 3) secure strategically located properties off-site that contain critical fish habitat and have high community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CSE and SRS are in the process of developing habitat impact mitigation plans and a comprehensive habitat compensation proposal for agency review. The following concepts and/or combination of concepts are being explored by the proponent for the compensation plan. It is anticipated that after an initial review of this document, including the proposed habitat compensation concepts, DFO can subsequently provide comment. The project team will then be in a position to further develop the compensation concepts and submit a detailed habitat compensation proposal under separate cover.</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relocation and detention of existing un-detained stormwater run off from outfalls off Hillcrest Avenue to Turner St.</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Un-detained stormwater run off from outfalls off Lapwing Crescent and Raven Avenue could be detained and subsequently released into roadside watercourses along Hwy 7, where they would eventually flow to either the north and/or the south side of Hwy 7.</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roadside watercourse along the north side of Hwy 7 could be enhanced for habitat value and biofiltration from Wren St. to the Silverdale Creek Wetlands. Additional stormwater run off from the proposed development may also be directed to this watercourse for biofiltration and released into a stormwater detention area proposed for the west portion of the property.</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west corner of the property and 3:1 slope area could be enhanced with a large stormwater management area and extensive plantings in the slope area. This area could be dedicated to the DoM as Parkland Dedication and may be developed as an extension of the Silverdale Creek Wetlands enhancement projects.</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Green (living) walls will be constructed along the Hwy 7 above the proposed roadside watercourse as well as in the development area.</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Recovery and relocation of affected wildlife wherever practical. Relocation would be to comparable habitat within neighboring property (wetlands).</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transfer of agreement for sale to the DoM in the purchase of key properties along Silverdale Creek mainstem as well as cash contributions to aid the DoM in the purchase of these properties.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cash contributions to various Environmental Stewardship (ES) groups for the purposes of Conservation, Protection and Enhancement of the Silverdale and Chester Creek Watersheds. Through partnerships, we expect these groups will be able [to] double or triple the value of these cash contributions. Potential recipients could include: Stave Valley Enhancement Society; Ducks Unlimited; Nature Trust BC; Habitat Conservation Trust Fund; and Land Conservancy of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post development habitat balance will not meet the "like for like" requirements suggested by DFO. However, the completed compensation package, now in the planning stage, is intended to equal or exceed the existing productivity on-site. As it is envisioned, the project will facilitate a substantial opportunity for a combination of suggested enhancement projects and cash contributions for off-site compensation that will meet the objectives of DFO's policy for no net loss in the form of </w:t>
      </w:r>
      <w:r>
        <w:rPr>
          <w:rFonts w:ascii="arial" w:eastAsia="arial" w:hAnsi="arial" w:cs="arial"/>
          <w:i/>
          <w:color w:val="000000"/>
          <w:sz w:val="20"/>
          <w:lang w:val="en-US" w:eastAsia="en-US" w:bidi="ar-SA"/>
        </w:rPr>
        <w:t>permanent</w:t>
      </w:r>
      <w:r>
        <w:rPr>
          <w:rFonts w:ascii="arial" w:eastAsia="arial" w:hAnsi="arial" w:cs="arial"/>
          <w:color w:val="000000"/>
          <w:sz w:val="20"/>
          <w:lang w:val="en-US" w:eastAsia="en-US" w:bidi="ar-SA"/>
        </w:rPr>
        <w:t xml:space="preserve"> habitat protection.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Watercourse 1 and Wren Creek currently function to supply nutrients and water to the tributary to Silverdale. Creek. It is understood that the volume of water discharged from the site into the tributary to Silverdale Creek will be comparable to the pre-development scenario so the flow integrity to downstream habitats will not change. Possible minor decreases in nutrients and productivity due to gully infilling will likely be totally compensated for by the creation of engineered wetlands/ detention areas to accommodate and treat waters before being discharged from the site. Engineered wetlands acting as effective biofilters and food production areas take some lag time before they come "on-line" and functional, dependent on environmental and climatic conditions. However, if properly engineered, SRS believes artificial wetlands will function much more efficiently to increase habitat for fish in terms of water and productivity over the existing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CSE is currently negotiating the purchase of approximately 10.9 ha of land adjacent to Silverdale Creek for compensation, preservation and enhancement purposes. The site has the potential to be converted into high quality critical habitat.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light, SRS views this project as having the potential to provide the opportunity for habitat acquisition, assured conservation and future enhancement elsewhere in the Silverdale watershed.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felt that in this instance the use of funds and efforts for acquisition of critical "off-site" Silverdale Creek habitats for preservation in a trust or covenant may be of far more instrumental and long term benefit than construction of "like for like" habitat on-site. This intent of the project is in keeping with the concept of "Salmon Strongholds" a strategy recently advocated by the Pacific Fisheries Resource Conservation Council as an approach to supplement existing programs and reinforce Canada's salmon and steelhead conservation efforts. One of the "Salmon Stronghold Strategy" suggested components is "Organizing land exchanges to set aside crucial riparian areas while permitting agriculture and other development to proceed where conditions are more suitable".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 DISCUSSION AND 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a permanent loss of instream and riparian habitat will occur, the proposed works could potentially result in permanent instream and riparian gains through the suggested conceptual habitat compensation options. It is SRS's opinion that given the existing habitat conditions onsite (i.e. generally degraded watercourses and gullies); the deciding factor in favor of this project is the potential purchase of strategic properties located within the Silverdale Creek watershed that contain critical fish habitat and have extremely high community values. As well, the proposed habitat compensation concept plan enables the developer the opportunity to provide potential cash contributions to Environmental Stewardship groups for the purposes of Conservation, Protection and Enhancement of the Silverdale and Chester Creek Watersheds. As noted in Section 5.3.2, potential recipients could include: Stave Valley Salmonid Enhancement Society; Ducks Unlimited; Nature Trust BC; Habitat Conservation Trust Fund; and, Land Conservancy of BC. It is anticipated that through leveraging, we expect these groups will be able to double to triple the amount of these cash contributions and use the funds for additional habitat acquisition and/or fish habitat enhancement.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post-construction monitoring program should be implemented to ensure any compensation habitat created as a result of the project is functioning as intended. In the event the compensation habitat has been deemed to not be functioning as intended, the proponents would be required to undertake additional habitat compensation measures to meet the conditions of the authorization and release any financial securities upon completion of the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final construction drawings and an EMP have not been provided, the project team will provide these drawings as the review process unfolds.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SRS is submitting this information to DFO on behalf of CSE for the proposed commercial and residential development within the DoM. A range of supporting documentation has been appended to this application to assist in the review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trust this is the appropriate information you require in order to review the project. If you have any questions or require further information, please call the undersigned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Although the plaintiff asserted that it planned to gift the Trout Park to an environmental non-governmental organization, there were no confirmed plans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plaintiff never provided finalized stormwater plans to DFO. As a result, DFO had to backload requirements for stormwater planning into the Authorization stage by building those requirements into the requirements of the Authorization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 find that the plaintiff and its QEPs understood what would be required for a compensation plan, but failed to provide an adequate plan in sufficient detail to permit any real consideration of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Mr. Steven Gotch was DFO's team leader for the Habitat Protection and Sustainable Development unit in Vancouver. He was called as a witness for the plaintiff to provide evidence with respect to his role in the plaintiff's project, in particular with respect to the sign-off procedure involved in the October 26, 2009, rejection letter from Ms. McDonald. Mr. Gotch testified that one of his functions was that of the Pacific Region regulatory coordinator for the habitat protection and sustainable development program, which involved reviewing various letters of correspondence and materials related to specific decisions that were being proposed to be undertaken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He testified that this role was to review letters of correspondence and compare them to DFO's policies, templates, and guidance materials to ensure they were 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Both Mr. Salomi and Mr. Sciankowy gave evidence that habitat practitioners were directed to give priority to federally funded government infrastructure projects, and that the Highway 7 project was such a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plaintiff submits that this evidence flies directly in the face of the RDG Review's conclusion that the process followed and assessment conducted by Ms. McDonald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The defendant asserts that the DFO's </w:t>
      </w:r>
      <w:r>
        <w:rPr>
          <w:rFonts w:ascii="arial" w:eastAsia="arial" w:hAnsi="arial" w:cs="arial"/>
          <w:i/>
          <w:color w:val="000000"/>
          <w:sz w:val="20"/>
          <w:lang w:val="en-US" w:eastAsia="en-US" w:bidi="ar-SA"/>
        </w:rPr>
        <w:t>Practitioners Guide to Writing Letters Used in Fisheries Act and Species at Risk Act Reviews for Habitat Management Staff</w:t>
      </w:r>
      <w:r>
        <w:rPr>
          <w:rFonts w:ascii="arial" w:eastAsia="arial" w:hAnsi="arial" w:cs="arial"/>
          <w:color w:val="000000"/>
          <w:sz w:val="20"/>
          <w:lang w:val="en-US" w:eastAsia="en-US" w:bidi="ar-SA"/>
        </w:rPr>
        <w:t xml:space="preserve"> (2007) [</w:t>
      </w:r>
      <w:r>
        <w:rPr>
          <w:rFonts w:ascii="arial" w:eastAsia="arial" w:hAnsi="arial" w:cs="arial"/>
          <w:i/>
          <w:color w:val="000000"/>
          <w:sz w:val="20"/>
          <w:lang w:val="en-US" w:eastAsia="en-US" w:bidi="ar-SA"/>
        </w:rPr>
        <w:t>Letter Writing Guide</w:t>
      </w:r>
      <w:r>
        <w:rPr>
          <w:rFonts w:ascii="arial" w:eastAsia="arial" w:hAnsi="arial" w:cs="arial"/>
          <w:color w:val="000000"/>
          <w:sz w:val="20"/>
          <w:lang w:val="en-US" w:eastAsia="en-US" w:bidi="ar-SA"/>
        </w:rPr>
        <w:t xml:space="preserve">] "sets out the, very general, expectations of letters related to 'high risk' projects: 'Letters of Advice for high risk proposals </w:t>
      </w:r>
      <w:r>
        <w:rPr>
          <w:rFonts w:ascii="arial" w:eastAsia="arial" w:hAnsi="arial" w:cs="arial"/>
          <w:i/>
          <w:color w:val="000000"/>
          <w:sz w:val="20"/>
          <w:lang w:val="en-US" w:eastAsia="en-US" w:bidi="ar-SA"/>
        </w:rPr>
        <w:t>generally</w:t>
      </w:r>
      <w:r>
        <w:rPr>
          <w:rFonts w:ascii="arial" w:eastAsia="arial" w:hAnsi="arial" w:cs="arial"/>
          <w:color w:val="000000"/>
          <w:sz w:val="20"/>
          <w:lang w:val="en-US" w:eastAsia="en-US" w:bidi="ar-SA"/>
        </w:rPr>
        <w:t xml:space="preserve"> inform proponents of the process involved in obtaining an authorization, while promoting the concepts of relocation and redesign.'"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plaintiff notes that Ms. McDonald's October 26, 2009, letter did not inform the plaintiff of the process involved in obtaining an authorization, which the plaintiff submits she was legally required to do. Furthermore, the letter did not "promote" the concepts of relocation and redesign, but rather demanded them if the plaintiff wished to have the project considered any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Upon reviewing the plaintiff's 2009 Submission, Ms. McDonald conducted her usual database search and located two project files relating to the Missions Lands, one relating to a rezoning application in 2002, and a second regarding potential work in the ravines in 2003. Ms. McDonald testified that, if anything, the information from 2002 and 2003 simply confirmed that there were no red flags or inconsistencies in information that needed to be addressed in her advice letter to the proponent. In the face of suggestion otherwise, Ms. McDonald confirmed that her ultimate advice with respect to the plaintiff's 2009 Submission was not based on any of the previous decisions made by DFO in relation to the Mission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There is no evidence to suggest that these prior decisions were at all relevant to Mr. Sciankowy's further assessment of the 2009 Submission in 2010. Mr. Sciankowy had no recollection of discussing the 2002 or 2003 information with Ms. McDonald, and the evidence shows that he diligently collected and considered all of the new information put forward by the plaintiff in the 2009 Submission prior to reaching a determination. His prior involvement with the 2002 and 2003 decisions in relation to the Mission Lands is not, without more evidence, support of bias or predetermination in respect of the plaintiff's 2009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Similarly, the evidence adduced at trial or contained in the documentary record did not suggest that any of the DFO or EC representatives involved in the processing of the plaintiff's 2009 Submission acted in bad faith or with an improper motive. To the contrary, these witnesses provided ample evidence of their efforts to carry out their public mandate to the best of their abilities and in a fair and objective manner. There is no reason to question the credibility of that evidence. To claim that their actions were misfeasant simply because they did not align with Karel Carhoun's unrealistic expectations about the regulatory process is spurious and illogical.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Ms. McDonald, the habitat biologist initially responsible for reviewing the plaintiff's 2009 Submission, responded directly to the plaintiff's allegations of bad faith in her testimony at trial.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took a lot of pride in my position at DFO. I believed in the department's policy. I thought it was a good group of people that I worked with. I applied the policies to the best of my knowledge. I felt like I had experience and knowledge and I take -- at all times I felt like I was acting in good faith, that I did try to work with people. I tried to find solutions. I tried to provide helpful advice, so I think sometimes the two sides may not come to an agreement, but I don't think it's fair to suggest that I was acting with some type of ill intent. Because it certainly wasn't the case. I was just doing my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Ms. McDonald stated that, in her experience, an EA screening would only be triggered for a proposed project after a DFO practitioner had done an initial evaluation to determine whether the proposed project would result in a HADD and, if so, whether that HADD was acceptable pursuant to DFO policies. If the proposed project would result in an acceptable HADD, then the department would be in the position of considering issuing a s. 35(2) authorization, at which point the EA screening would be triggered. In her view, implementing the procedures under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before making the initial determination on the acceptability of the HADD would have been "a colossally inefficient use of time" and "very wasteful for proponents". It was therefore not considered necessary or practical to initiate an EA screening process immediately upon receipt of a s. 35(2) application. In other words, it was not the submission of a request for review that triggered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but rather the contemplation by DFO that an authorization would be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The plaintiff submits that this is not a justifiable reason for Ms. McDonald to breach her legal duties under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FCR</w:t>
      </w:r>
      <w:r>
        <w:rPr>
          <w:rFonts w:ascii="arial" w:eastAsia="arial" w:hAnsi="arial" w:cs="arial"/>
          <w:color w:val="000000"/>
          <w:sz w:val="20"/>
          <w:lang w:val="en-US" w:eastAsia="en-US" w:bidi="ar-SA"/>
        </w:rPr>
        <w:t>, as it alleges she did. Moreover, the plaintiff asserts that her evidence confirms that she knew that her actions were contrary to policy and legislation. The plaintiff submits that this was the plaintiff's decision to make, not Ms. McDonald's. But Ms. McDonald was not alone in DFO in her understanding or application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Mr. Sciankowy, who took over as the lead habitat biologist on the file following Ms. McDonald's departure from DFO, was described by Mr. Salomi as a "diligent, hard worker". At trial, Mr. Sciankowy directly confronted the allegations of misfeasance being made against him, stating that there was "never anything personal about this or anything personal against Mr. Carhoun."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Mr. Sciankowy shared Ms. McDonald's view that it would have been "premature" to initiate an EA screening upon receipt of the plaintiff's 2009 Submission, since it was "really quite sort of early in the planning stage and at this point not really in an acceptable form to DFO. So without having a project that DFO would be willing to consider authorizing, it would seem premature to initiate a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process". For an EA screening to be triggered, the habitat practitioner would need to satisfy themselves not only that an authorization was required, but also that the issuance of an authorization was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plaintiff contends that by failing to include the basic required information in a "high risk" project letter informing the proponent of the process for obtaining an authorization, Ms. McDonald deliberately attempted to deny the plaintiff of its legal entitlement to the process. I disagree. Ms. McDonald impressed me as a sensible professional who, rather than prolonging what in her view was a hopeless proposal, advised the plaintiff that its project, as presented, could not and would not be approved. She stood up to her superior, Mr. Gotch, when he suggested changes to her letter with which she did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Mr. Salomi echoed a similar understanding of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trigger in his testimony at trial. Mr. Salomi explained the rationale for this view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Well, under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legislation, screening is only required to be completed prior to the department taking an action. And so the department was not at this point taking an action, and so there was not a means to initiate a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screening. And in fact the advice from Lisa was that at this point with this project as described, it probably wasn't going to be an authorization, so again, no reason to start an environmental assessment. And in fact that was, you know, a common approach to a project submission, either somebody asking for advice or even specifically a section 35(2) authorization. If they were, you know, a long way away from being compliant with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xml:space="preserve"> or guidelines or something that was going to be authorized, a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process was not initiated. And it was, you know, in part a workload management issue and in part just general efficiency. We wouldn't go through initiating a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all the associated work if your correspondence with the proponent was going to end up in a revised project to devoid authorization or cancelling a project or something like that. You know, I would say that there was an actually early triggering policy that was applied to major projects, and I reference that because it highlights that unless it was a major project, we didn't have an early triggering project - or early triggering approach to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Mr. Silverstein testified that DFO guidance material at the time was quite clear that unless DFO was contemplating issuing an authorization, it was not going to initiate an EA screening. The fact that a project would require an authorization in order to proceed was not enough to trigger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In his view, it was only logical to defer triggering an EA screening until DFO was confident that all fisheries issues could be resolved, since EA screening processes engage all kinds of other factors and there would be no need for an EA screening unless a s. 35 authorization was going to be issued. In other words, if there was no way DFO was going to issue an authorization, there was no reason to go ahead with an environmental screening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Mr. Paterson reiterated this view. In his words, if no authorization is contemplated, there is no </w:t>
      </w:r>
      <w:r>
        <w:rPr>
          <w:rFonts w:ascii="arial" w:eastAsia="arial" w:hAnsi="arial" w:cs="arial"/>
          <w:i/>
          <w:color w:val="000000"/>
          <w:sz w:val="20"/>
          <w:lang w:val="en-US" w:eastAsia="en-US" w:bidi="ar-SA"/>
        </w:rPr>
        <w:t>Law List</w:t>
      </w:r>
      <w:r>
        <w:rPr>
          <w:rFonts w:ascii="arial" w:eastAsia="arial" w:hAnsi="arial" w:cs="arial"/>
          <w:color w:val="000000"/>
          <w:sz w:val="20"/>
          <w:lang w:val="en-US" w:eastAsia="en-US" w:bidi="ar-SA"/>
        </w:rPr>
        <w:t xml:space="preserve"> trigger for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His interpretation of the DFO policies was therefore consistent with that of his colleagues: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would be triggered after the DFO habitat practitioner had determined that the project would cause an acceptable HADD and an authorization was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As the former RDG, Mr. Sprout,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you would have to be satisfied as a practitioner that you had ruled out any possibility that the only thing left was an authorization, because once you go to the authorization and you trigger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then you are accepting there's going to be damage. And now you're trying to figure out whether you can mitigate it or compensate it. And you have some idea that in fact there's some potentiality being able to mitigate or compensate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In support of its contention that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required DFO to first complete an EA and screening report before taking a course of action regarding the significance of the effects of a proposed project, the plaintiff referred me to the decision in </w:t>
      </w:r>
      <w:r>
        <w:rPr>
          <w:rFonts w:ascii="arial" w:eastAsia="arial" w:hAnsi="arial" w:cs="arial"/>
          <w:i/>
          <w:color w:val="000000"/>
          <w:sz w:val="20"/>
          <w:lang w:val="en-US" w:eastAsia="en-US" w:bidi="ar-SA"/>
        </w:rPr>
        <w:t>Greenpeace</w:t>
      </w:r>
      <w:r>
        <w:rPr>
          <w:rFonts w:ascii="arial" w:eastAsia="arial" w:hAnsi="arial" w:cs="arial"/>
          <w:color w:val="000000"/>
          <w:sz w:val="20"/>
          <w:lang w:val="en-US" w:eastAsia="en-US" w:bidi="ar-SA"/>
        </w:rPr>
        <w:t xml:space="preserve">, where Russell J. considered the application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to a nuclear power plant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I am unable to accept this contention. While the RA can, and often does, initiate an EA assessment in response to an application for project approval, as Ms. McDonald advised, a number of applications are rejected without such an assessment, where the decision to approve a project, despite a HADD, is so unlikely to generate an approval that such an assessment will not overcome that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Clearly, the plaintiff was required to deal with DFO as the federal authority that exercised power over the issuance of a s. 35(2) authorization. It submits that the delay in issuing the s. 35(2) Authorization was an operational decision because DFO was obliged to conduct itself in accordance with the </w:t>
      </w:r>
      <w:r>
        <w:rPr>
          <w:rFonts w:ascii="arial" w:eastAsia="arial" w:hAnsi="arial" w:cs="arial"/>
          <w:i/>
          <w:color w:val="000000"/>
          <w:sz w:val="20"/>
          <w:lang w:val="en-US" w:eastAsia="en-US" w:bidi="ar-SA"/>
        </w:rPr>
        <w:t>FCR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the judicial guidance that has attached itself to that legislation. The plaintiff submits that it is the process (i.e., conducting an EA under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that was an operational decision that DFO staff were obliged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 cannot accept this rather tortured submission. While it is true that the DFO exercised decision making authority over the issuance of the s. 35(2) Authorization, that decision making authority required the exercise of considerable discretion on the part of the DFO in the application of government policies, more in the nature of arriving at a policy decision over whether or not to grant the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xml:space="preserve">  Neither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nor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legislation provide a definition of a formal "application" for the purposes of establishing when an EA should be initiated. However, in the </w:t>
      </w:r>
      <w:r>
        <w:rPr>
          <w:rFonts w:ascii="arial" w:eastAsia="arial" w:hAnsi="arial" w:cs="arial"/>
          <w:i/>
          <w:color w:val="000000"/>
          <w:sz w:val="20"/>
          <w:lang w:val="en-US" w:eastAsia="en-US" w:bidi="ar-SA"/>
        </w:rPr>
        <w:t>FCR</w:t>
      </w:r>
      <w:r>
        <w:rPr>
          <w:rFonts w:ascii="arial" w:eastAsia="arial" w:hAnsi="arial" w:cs="arial"/>
          <w:color w:val="000000"/>
          <w:sz w:val="20"/>
          <w:lang w:val="en-US" w:eastAsia="en-US" w:bidi="ar-SA"/>
        </w:rPr>
        <w:t xml:space="preserve">, Parliament provided the definition of a "project description", which established the necessary information from which the obligations of federal authorities become subject to timelines. By example, if, after receiving a project description, DFO determines that a HADD would likely result from that project, it refers to the determination under paragraph 3(1)(a) of the </w:t>
      </w:r>
      <w:r>
        <w:rPr>
          <w:rFonts w:ascii="arial" w:eastAsia="arial" w:hAnsi="arial" w:cs="arial"/>
          <w:i/>
          <w:color w:val="000000"/>
          <w:sz w:val="20"/>
          <w:lang w:val="en-US" w:eastAsia="en-US" w:bidi="ar-SA"/>
        </w:rPr>
        <w:t>FCR</w:t>
      </w:r>
      <w:r>
        <w:rPr>
          <w:rFonts w:ascii="arial" w:eastAsia="arial" w:hAnsi="arial" w:cs="arial"/>
          <w:color w:val="000000"/>
          <w:sz w:val="20"/>
          <w:lang w:val="en-US" w:eastAsia="en-US" w:bidi="ar-SA"/>
        </w:rPr>
        <w:t>, where "the federal authority is likely to require an EA of the project under section 5 of the Act", since the HADD requires the s. 35(2) in order for the proposed project to move forward, which in turn requires the EA to be completed before the s. 35(2) can be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The defendant asserts that aside from being susceptible to the potential abuse of discretion by individual staff members, the position that DFO staff possessed an unfettered discretion to avoid its statutory obligations under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pre-determine the "acceptability" of a proposed HADD stands in stark contrast to the spirit and purposes of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as well as the stated goals of transparency and predictability in the authorization process, as stated in numerous non-statutory guidance materials provided to DFO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The plaintiff contends that despite the wording of the SRS letter of September 9, 2009, it constituted a Request for Review pursuant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included what it asserts were detailed environmental assessments for both fish and wildlife impacts and conceded a HADD, thus triggering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process. In its response to amended notice of civil claim, the defendant admitted that it received the Request for Review document, although on September 11, 2009, not September 9, and admitted that through that document, the plaintiff was seeking an authorization pursuant to s. 35(2)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 closing submissions, the defendant conceded that the September 9, 2009, letter was an application for a s. 35(2) authorization, or at least was understood to have been one, and had been treated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Mr. Ehnes was called as a witness for the plaintiff, representing SRS, the plaintiff's QEP. Mr. Ehnes gave evidence with respect to the preparation and submission of the 2009 Submission, including the scope of work contracted between SRS and the plaintiff; his understanding of the normal practice and timelines involved in the process; and SRS's subsequent dealings with the defendant during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plaintiff submits that when DFO received the 2009 Submission, it had a duty to inform the plaintiff or its consultants SRS if the application was deficient in any way. I reject this submission, firstly because that is not what was asked in the letter, secondly because the plaintiff and SRS were already aware of the DFO staff's concerns about the project based upon their earlier interactions with the plaintiff and SRS, and thirdly, and most importantly, Ms. McDonald's letter to Mr. Ehnes dated October 26, 2009 in response identified why an approval of the project as proposed would not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BCCA Carhoun</w:t>
      </w:r>
      <w:r>
        <w:rPr>
          <w:rFonts w:ascii="arial" w:eastAsia="arial" w:hAnsi="arial" w:cs="arial"/>
          <w:color w:val="000000"/>
          <w:sz w:val="20"/>
          <w:lang w:val="en-US" w:eastAsia="en-US" w:bidi="ar-SA"/>
        </w:rPr>
        <w:t>, at para. 101, the Court of Appeal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As well, the inclusion in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of a series of specific timelines for the various stages of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screening process could be indicative of a legislative intention to protect the proponent's economic interests. After all, it is only the proponent who has an interest in his approval process being moved along the chain expeditiously.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The plaintiff additionally notes that the </w:t>
      </w:r>
      <w:r>
        <w:rPr>
          <w:rFonts w:ascii="arial" w:eastAsia="arial" w:hAnsi="arial" w:cs="arial"/>
          <w:i/>
          <w:color w:val="000000"/>
          <w:sz w:val="20"/>
          <w:lang w:val="en-US" w:eastAsia="en-US" w:bidi="ar-SA"/>
        </w:rPr>
        <w:t>Letter Writing Guide</w:t>
      </w:r>
      <w:r>
        <w:rPr>
          <w:rFonts w:ascii="arial" w:eastAsia="arial" w:hAnsi="arial" w:cs="arial"/>
          <w:color w:val="000000"/>
          <w:sz w:val="20"/>
          <w:lang w:val="en-US" w:eastAsia="en-US" w:bidi="ar-SA"/>
        </w:rPr>
        <w:t xml:space="preserve"> explicitly states that "this discretion should be exercised with input from management staff to ensure changes are consistent with national policy". The defendant argues that "the plaintiff has been unable to show how slight modifications to a letter template could result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xml:space="preserve">  The form completed by Ms. McDonald on October 20, 2009, recorded that the plaintiff's proposal was ranked as moderately sensitive with respect to fish and habitat and had a high scale of negative effect. The plaintiff contends that these conclusions required consideration for an authorization pursuant to s. 35(2)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thus triggering the need for a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screening before a decision could be made as to whether or not to issue an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The plaintiff asserts that both Mr. Salomi and Ms. Sciankowy were untruthful in their evidence that there were no cumulative effects from the Highway 7 project. I reject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 plaintiff contends that the wetland issue only comprised approximately three months out of the total timeline at issue, and, in any event, the evidence at trial was that EC staff had chosen to simply not address any issues under their mandate until December 2011, when the Snail issue tempered, and the staff began scrambling to address other outstanding issues under their mandate. In the result, the plaintiff argues that even had wetlands been identified as a legitimate concern in the original correspondence in the fall of 2009, EC would have ignored the issue until December of 2011, having until that time relied solely on the Snail issues to prevent the plaintiffs' project from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 do not accept that this excuses the plaintiff's representatives from fairly and accurately describing the Mission Land as consisting, at least in part, wetlands, when the presence and importance of the wetlands on the plaintiff's property was, I find, known to those representatives, and the distinction between wetlands and floodplains would, I also find, have been known to them as can be seen from the distinction drawn in the attachment to Mr. Ehnes' letter of September 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By the summer of 2011, DFO concluded that, from a fisheries perspective, there was a way to conclude the EA Screening Process positively for the plaintiff. After this occurred, DFO turned to EC in order to understand its concerns. It was clear from the early EC letters that EC was concerned about the species at risk on the site and the lack of compensation for specific habitat values. EC's position was that the plaintiff was never able to provide further information to change its perspective on the project. This is evident in the response EC sent to DFO that was subsequently sent to the plaintiff in October 2011. Exacerbating the issue further was the discovery of wetlands by government staff during November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DFO witnesses testified that at this stage it was unclear how to conclude the EA Screening Process. Based on the uncertainty, it appeared that the process would result in a negative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Notwithstanding the wetlands issue, Karel Carhoun continued to send large packages of documents to DFO and EC. DFO witnesses testified that each of these packages had to be read and reviewed in accordance with the plaintiff's project. By December 2011, EC continued to have concerns regarding the species at risk and wetlands. As a result, DFO asked the plaintiff for a letter of assurance that would address these issues. While EC did not agree that this letter adequately addressed the issues, it recognized that it was not the decision maker and could not usurp the decision maker's role in concluding the EA Screening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The effect that Mr. Carhoun's efforts had on those with whom he interacted concerning the plaintiff's proposed project is evident from a communication from Mark Strahl, the executive assistant to Randy Kamp, a Member of Parliament from who Mr. Carhoun sought assistance. In response to an email from Mr. Kamp dated April 30, 2010, forwarding one of Mr. Carhoun's barrage of criticisms, Mr. Stahl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believe this guy.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Must be nice to have the entire world revolve around you, as it apparently does for Karel.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Throughout his interactions with DFO, EC and the Agency officials between 2009 and 2012, the plaintiff's principal, Karel Carhoun, consistently employed political pressure tactics to try to manipulate the regulatory system. Instead of engaging productively with the DFO, EC and/or the agency officials expressing concerns about the environmental impacts of the Proposed Development, he sought to circumvent the regulatory process by recruiting political allies at all levels of government. This refusal to participate in the necessary regulatory dialogue, or to provide the information required, made it challenging for DFO officials to render a decision in a timely and predictable way. By trying to sidestep the regulatory process, Karel Carhoun thus only frustrated it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 reject the plaintiff's argument that it did not, in fact, try to "sidestep" the regulatory process, or that the plaintiff and its consultants embraced the regulatory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plaintiff continued to dispute and resist DFO efforts to resolve the wetlands issue even after the EA Screening Process was concluded positively and after the plaintiff had provided its commitment regarding wetlands on January 14,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xml:space="preserve">  The defendant's delegates knew about the specific timelines set out in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FCR</w:t>
      </w:r>
      <w:r>
        <w:rPr>
          <w:rFonts w:ascii="arial" w:eastAsia="arial" w:hAnsi="arial" w:cs="arial"/>
          <w:color w:val="000000"/>
          <w:sz w:val="20"/>
          <w:lang w:val="en-US" w:eastAsia="en-US" w:bidi="ar-SA"/>
        </w:rPr>
        <w:t xml:space="preserve">. The timelines according to the </w:t>
      </w:r>
      <w:r>
        <w:rPr>
          <w:rFonts w:ascii="arial" w:eastAsia="arial" w:hAnsi="arial" w:cs="arial"/>
          <w:i/>
          <w:color w:val="000000"/>
          <w:sz w:val="20"/>
          <w:lang w:val="en-US" w:eastAsia="en-US" w:bidi="ar-SA"/>
        </w:rPr>
        <w:t>FCR</w:t>
      </w:r>
      <w:r>
        <w:rPr>
          <w:rFonts w:ascii="arial" w:eastAsia="arial" w:hAnsi="arial" w:cs="arial"/>
          <w:color w:val="000000"/>
          <w:sz w:val="20"/>
          <w:lang w:val="en-US" w:eastAsia="en-US" w:bidi="ar-SA"/>
        </w:rPr>
        <w:t xml:space="preserve">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Determination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Subject to section 4, a federal authority that receives a project description from a province, the Agency or the proponent of the project shall, within 30 days after receipt of the project description, determine if</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the federal authority is likely to require an environmental assessment of the project under section 5 of the Act;</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the federal authority is not likely to require an environmental assessment of the project under section 5 of the Act; or</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additional information is necessary to make a determination referred to in paragraph (a) or (b).</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Where a federal authority determines that additional information is necessary pursuant to paragraph (1)(c), it shall request that information within 10 days after making the determination.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 federal authority shall make a determination referred to in paragraph (1)(a), (b) or (c) within 10 days after receipt of the information requested pursuant to subsection (2).</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Subject to subsection (5), a federal authority shall inform the proponent of the project of a determination referred to in paragraph (1)(a) or (b) within 10 days after making that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Notification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 federal authority that has determined pursuant to paragraph 3(1)(a) or 4(1)(a) that it is likely to require an environmental assessment of a project shall ensure that written notice is given, within 10 days after making that determination, to other federal authorities that are likely to</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exercise a power in respect of the project; or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be in possession of specialist or expert information or knowledge that is necessary to conduct the environmental assessment of the project.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notice shall specify the name of the person to whom the other federal authorities are to respond, shall be accompanied by a project description and shall specify the time within which to respond referred to in subsection (3).</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federal authority that gives the notice shall establish the time within which to respond under paragraph 6(1)(a), (b) or (c) in consultation with the federal authority to whom the notice is given, but that time shall not exceed 30 days.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Response Requirements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 federal authority that receives a notice referred to in section 5 shall respond to the person specified in the notice, indicating its determination that</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it is likely to require an environmental assessment of the project under section 5 of the Act;</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it is not likely to require an environmental assessment of the project under section 5 of the Act;</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it is in possession of specialist or expert information or knowledge that is necessary to conduct the environmental assessment of the project; or</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additional information is necessary to make a determination referred to in paragraph (a), (b) or (c).</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Where a federal authority determines that additional information is necessary pursuant to paragraph (1)(d), it shall request that information within 10 days after receipt of the notice.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 federal authority shall make a response referred to in paragraph (1)(a), (b), (c) or (d) within 10 days after receipt of the information requested pursuant to subsection (2).</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 federal authority shall inform the proponent of the project of a determination referred to in paragraph (1)(a) or (b) within 10 days after making that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Scope of Environmental Assessment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Where a project is subject to a screening or a comprehensive study, the responsible authorities other than a federal authority referred to in section 7 shall, after consulting with all federal authorities that respond pursuant to paragraph 6(1) (c), together determine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the scope of the project pursuant to subsection 15(1) of the Act;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the factors to be considered pursuant to section 16 of the Act; 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the scope of the factors referred to in paragraph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xml:space="preserve">  The plaintiff pointed out that the production of its compensation plan, once requested, was completed within a period of three months. The defendant implied that the ultimate decision to positively conclude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screening and issue the s. 35(2) application may have been a political one. This may well have been the case, as I will explain with respect to the evidence of Dr. Smith and Ms. Farlinger.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Mr. Sciankowy testified that the conditions included in the Authorization were unusual because such conditions would typically be completed before an authorization was issued. As a result, there would be no need for such conditions to be included in the Authorization and satisfied before work could commence.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Ms. Antcliffe gave evidence in a somewhat rigid fashion, but there is no basis upon which to question her competence in her duties. She testified that DFO typically would not issue an authorization until all the required information had been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Likewise, Mr. Salomi testified that they were encouraged to "finalize as many details as possible in advance of issuing" an authorization. Mr. Salomi also testified that it was more challenging than usual to draft the Authorization because of the lack of detailed information from the plaintiff, such as a comprehensive project plan, environmental assessment, final design drawings, and information regarding stormwater management and hydrology.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Almost immediately after acquiring the shares in the Sun Valley Trout Park, it encumbered the plaintiff in a way that effectively prevented the gifting of the Trout Park as compensation for the habitat that would be lost if its project were permitted to proceed. Even if the Trout Park could have been gifted in a manner agreeable to the DFO, additional time would have been required to amend the existing water license on the Trout Park prior to any compensatory works being 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xml:space="preserve">  The plaintiff did not submit an application for a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approval (</w:t>
      </w:r>
      <w:r>
        <w:rPr>
          <w:rFonts w:ascii="arial" w:eastAsia="arial" w:hAnsi="arial" w:cs="arial"/>
          <w:i/>
          <w:color w:val="000000"/>
          <w:sz w:val="20"/>
          <w:lang w:val="en-US" w:eastAsia="en-US" w:bidi="ar-SA"/>
        </w:rPr>
        <w:t>R.S.B.C. 1996, c. 483</w:t>
      </w:r>
      <w:r>
        <w:rPr>
          <w:rFonts w:ascii="arial" w:eastAsia="arial" w:hAnsi="arial" w:cs="arial"/>
          <w:color w:val="000000"/>
          <w:sz w:val="20"/>
          <w:lang w:val="en-US" w:eastAsia="en-US" w:bidi="ar-SA"/>
        </w:rPr>
        <w:t xml:space="preserve">) until April 14, 2011. Thus, regardless of the timing of the Authorization, the Mission Lands would not have been legally "developable" prior to that point. Moreover, much like the federal authorization process, obtaining a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approval takes time. According to Ms. Jensen, who was the water authorization specialist responsible for assessing the plaintiff's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application and who testified at trial, FLNRO had an internal 140-day turnaround target for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applications. However, for projects with a significant environmental impact or a variety of environmental concerns, as was the case with the Proposed Development, the process would often take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xml:space="preserve">  The 140-day target would not include time during which the province was waiting on additional information from the proponent. According to Ms. Jensen, it was obvious that the 140-day processing timeline would not be met in the case of the plaintiff's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application because of the scarcity of necessary information. Again, regardless of what information had been provided for the purposes of the DFO Authorization, Ms. Jensen identified the following information that she says was necessary in order to conduct a reasonable assessment of the plaintiff's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application:</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details regarding the Conceptual Compensation Plan;</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Confirmation of the plaintiff's ownership of the Trout Park;</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regarding the hydrological impacts of the Proposed Development; and</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Detailed stormwater management plans and designs.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The plaintiff's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approval was issued, with substantial conditions, on May 22, 2012, more than a year after the application was received by FrontCounterBC. Ms. Jensen indicated that this was not an unreasonable timeframe given the complexity of the Proposed Development, the significance of the environmental impacts and the inadequacy of the application materials submitted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information with respect to stormwater management was requested by Mr. Sciankowy on October 27, 2010, after the screening was concluded as part of the information required to issue the Authorization; however, the plaintiff was unable or unwilling to spend money on the plans without first having the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Ms. Jensen tried without success to get information about stormwater management from Mr. Karel Carhoun and expressed frustration that her requests for this information simply resulted him going to DFO executives above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The plaintiff points out that Ms. Jensen's evidence was that on numerous occasions during the course of phone calls with DFO, in particular Mr. Salomi and Mr. Sciankowy, she was advised that even as late as November 2011, the plaintiff was still considering options to relocate and redesign.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I found Ms. Jensen to be a refreshing witness. She impressed me as someone who simply did her job unless and until, as in this case, the matter became a political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Mr. Teofilo Bate was one of the plaintiff's civil engineers, with Central Valley Engineering 2004 Ltd. He gave evidence with respect to the independent civil and geotechnical engineering plans that were prepared for the project and for the EIA submitted by SRS, including those with respect to stormwater planning, grading, and retention wall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The plaintiff further asserts that DFO failed to keep the plaintiff informed throughout the process. I am not persuaded that there was such failure on the part of DFO, but even if there had been, the plaintiff's QEPs were knowledgeable about the process and received answers that were responsive to their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xml:space="preserve">  The plaintiff asserts that EC deliberately and repeatedly failed to respond to DFO's requests for information during the EA Screening Process, and that EC and DFO attempted to improperly rely on </w:t>
      </w:r>
      <w:r>
        <w:rPr>
          <w:rFonts w:ascii="arial" w:eastAsia="arial" w:hAnsi="arial" w:cs="arial"/>
          <w:i/>
          <w:color w:val="000000"/>
          <w:sz w:val="20"/>
          <w:lang w:val="en-US" w:eastAsia="en-US" w:bidi="ar-SA"/>
        </w:rPr>
        <w:t>SARA</w:t>
      </w:r>
      <w:r>
        <w:rPr>
          <w:rFonts w:ascii="arial" w:eastAsia="arial" w:hAnsi="arial" w:cs="arial"/>
          <w:color w:val="000000"/>
          <w:sz w:val="20"/>
          <w:lang w:val="en-US" w:eastAsia="en-US" w:bidi="ar-SA"/>
        </w:rPr>
        <w:t xml:space="preserve"> to delay the EA Screening Process and ultimately reject the plaintiff's 2009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I am unable to accept this general criticism. Instead I find that EC responded to DFO's requests in a reasonable period of time, and that DFO placed no improper reliance on </w:t>
      </w:r>
      <w:r>
        <w:rPr>
          <w:rFonts w:ascii="arial" w:eastAsia="arial" w:hAnsi="arial" w:cs="arial"/>
          <w:i/>
          <w:color w:val="000000"/>
          <w:sz w:val="20"/>
          <w:lang w:val="en-US" w:eastAsia="en-US" w:bidi="ar-SA"/>
        </w:rPr>
        <w:t>SARA</w:t>
      </w:r>
      <w:r>
        <w:rPr>
          <w:rFonts w:ascii="arial" w:eastAsia="arial" w:hAnsi="arial" w:cs="arial"/>
          <w:color w:val="000000"/>
          <w:sz w:val="20"/>
          <w:lang w:val="en-US" w:eastAsia="en-US" w:bidi="ar-SA"/>
        </w:rPr>
        <w:t xml:space="preserve"> in order to delay or for any other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The plaintiff also submits that DFO employees were guided by an improper motive when they considered the cumulative effects of the Proposed Development in relation to various infrastructure projects in the same watershed.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I am unable to accept this submission. The overarching purpose of the federal regulatory regime, as set out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conserve and restore the fisheries resource for the benefit of all Canadians. In order to do so, I find that it is appropriate for a habitat practitioner to consider "no net loss" through the lens of cumulative effects. Indeed, s. 16(1)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stipulates that every screening of a project shall include a consideration of the environmental effects of the project, including "any cumulative environmental effects that are likely to result from the project in combination with other projects or activities that have been or will be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The plaintiff placed some considerable emphasis on its comparison of DFO's treatment of the H7WP or the Port Mann Bridge twinning project to the Proposed Development. I did not find the comparisons of assistance. The factual circumstances of the Proposed Development were not sufficiently similar to those of the other projects, in terms of the materials submitted, the issues raised, and the policies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The H7WP was a federally funded infrastructure project. DFO habitat practitioners had been directed by DFO to give such federally funded projects priority, which impacted not only the timing but also the way in which these projects were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xml:space="preserve">  Mr. Ehnes testified that he understood there was a streamlined process for federally funded infrastructure projects, of which the H7WP was one. He explained that, in his experience, when DFO was dealing with infrastructure projects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process was rushed through faster than what a residential development would be. It was part of the mandate for infrastructure". Accordingly, any apparent difference in the process followed by DFO for the plaintiff's Proposed Development versus federally funded infrastructure projects, arose from a legitimate policy choice to prioritize reviews for infrastructure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According to Ms. McDonald, the Memorandum of Understanding developed in the context of the H7WP was an atypical approach to compensation, born of the "need to develop a compensation plan quickly", and to "do our best to give the project the priority that was being asked of us". It was not a preferred approach to be taken in relation to all proposed developments. She said that by the time DFO began to consider compensation options, the BC Ministry of Transportation and Infrastructure had already incorporated measures into the project design to reduce impacts to fish and fish habitat.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The application of DFO policies resulted in a different outcome for the H7WP compared to the plaintiff's Proposed Development because different determinations were made about the acceptability of the HADD in each case. Unlike the plaintiff's Proposed Development, DFO determined that the Highway 7 widening would result in an acceptable HADD, because the impacts to fish and fish habitat were considered unavoidable.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I am satisfied that the 2009 proposed project did not meet the DFO criteria for a Major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Further, the plaintiff's 2009 Submission, including its conceptual compensation plan submitted for the plaintiff's Proposed Development, was not comparable to the materials and information submitted for the H7WP or other infrastructure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Mr. Bianchini, the plaintiff's habitat specialist, admitted that the compensation and salvage plan for the Port Mann Bridge twinning project was significantly more detailed than anything that he had been asked to prepare, or had been made aware of, for the plaintiff's Proposed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The plaintiff asserts that DFO included conditions in the final EA Screening Report that allowed DFO to delay the issuance of the Authorization on the basis of the wetland issue, and contended that DFO unlawfully permitted EC to change the reason for its recommendation not to approve the Proposed Development from concerns about the Snail, which the plaintiff says had been resolved, to concerns about wetlands on the site, which was an issue fabricated by DFO and 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I reject these submissions. As mentioned earlier, in his evidence, Mr. Bianchini, the plaintiff's advisor, agreed that the terms "wetland" and "floodplain" were not interchangeable.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Finally, I reject the plaintiff's assertion that DFO employees or representatives knowingly lied about the existence of cumulative effects that did not exist, and then use those fabricated cumulative effects as an additional justification for the illegal rejection of the plaintiff's proposal. I also reject the plaintiff's assertion that Mr. Salomi and Mr. Sciankowy explicitly targeted the plaintiff or his project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xml:space="preserve">  In the result, and with respect to the second requirement for the proof of the tort of misfeasance in public office identified by Lord Steyn in </w:t>
      </w:r>
      <w:r>
        <w:rPr>
          <w:rFonts w:ascii="arial" w:eastAsia="arial" w:hAnsi="arial" w:cs="arial"/>
          <w:i/>
          <w:color w:val="000000"/>
          <w:sz w:val="20"/>
          <w:lang w:val="en-US" w:eastAsia="en-US" w:bidi="ar-SA"/>
        </w:rPr>
        <w:t>Three Rivers</w:t>
      </w:r>
      <w:r>
        <w:rPr>
          <w:rFonts w:ascii="arial" w:eastAsia="arial" w:hAnsi="arial" w:cs="arial"/>
          <w:color w:val="000000"/>
          <w:sz w:val="20"/>
          <w:lang w:val="en-US" w:eastAsia="en-US" w:bidi="ar-SA"/>
        </w:rPr>
        <w:t xml:space="preserve">, and cited by the Supreme Court of Canada in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and the Court of Appeal in </w:t>
      </w:r>
      <w:r>
        <w:rPr>
          <w:rFonts w:ascii="arial" w:eastAsia="arial" w:hAnsi="arial" w:cs="arial"/>
          <w:i/>
          <w:color w:val="000000"/>
          <w:sz w:val="20"/>
          <w:lang w:val="en-US" w:eastAsia="en-US" w:bidi="ar-SA"/>
        </w:rPr>
        <w:t>J.P.</w:t>
      </w:r>
      <w:r>
        <w:rPr>
          <w:rFonts w:ascii="arial" w:eastAsia="arial" w:hAnsi="arial" w:cs="arial"/>
          <w:color w:val="000000"/>
          <w:sz w:val="20"/>
          <w:lang w:val="en-US" w:eastAsia="en-US" w:bidi="ar-SA"/>
        </w:rPr>
        <w:t xml:space="preserve">, I find that neither Mr. Salomi, Mr. Sciankowy, nor Ms. Lisa McDonald acted knowingly or recklessly beyond their powers, and that the concept of </w:t>
      </w:r>
      <w:r>
        <w:rPr>
          <w:rFonts w:ascii="arial" w:eastAsia="arial" w:hAnsi="arial" w:cs="arial"/>
          <w:i/>
          <w:color w:val="000000"/>
          <w:sz w:val="20"/>
          <w:lang w:val="en-US" w:eastAsia="en-US" w:bidi="ar-SA"/>
        </w:rPr>
        <w:t>respondeat superior</w:t>
      </w:r>
      <w:r>
        <w:rPr>
          <w:rFonts w:ascii="arial" w:eastAsia="arial" w:hAnsi="arial" w:cs="arial"/>
          <w:color w:val="000000"/>
          <w:sz w:val="20"/>
          <w:lang w:val="en-US" w:eastAsia="en-US" w:bidi="ar-SA"/>
        </w:rPr>
        <w:t xml:space="preserve"> for this alleged tort does not apply to the DFO for their actions. It follows, then, that they are not liable for any damages claimed by the plaintiff under this tort.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xml:space="preserve">  It is well settled that proof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the plaintiff to demonstrate that:</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it a duty of care;</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behaviour breached the requisite standard of care;</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 and</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was caused, in fact and in law, by the defendant's breach.</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xml:space="preserve">  To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defendant must owe a duty of care to the individual who is harmed. The test to establish a duty of care was summarized in </w:t>
      </w:r>
      <w:r>
        <w:rPr>
          <w:rFonts w:ascii="arial" w:eastAsia="arial" w:hAnsi="arial" w:cs="arial"/>
          <w:i/>
          <w:color w:val="000000"/>
          <w:sz w:val="20"/>
          <w:lang w:val="en-US" w:eastAsia="en-US" w:bidi="ar-SA"/>
        </w:rPr>
        <w:t>BCCA Carhoun</w:t>
      </w:r>
      <w:r>
        <w:rPr>
          <w:rFonts w:ascii="arial" w:eastAsia="arial" w:hAnsi="arial" w:cs="arial"/>
          <w:color w:val="000000"/>
          <w:sz w:val="20"/>
          <w:lang w:val="en-US" w:eastAsia="en-US" w:bidi="ar-SA"/>
        </w:rPr>
        <w:t xml:space="preserve"> at para. 50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 test requires a court to address the analysis by considering the following series of questions:</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 sufficiently analogous precedent exist that definitively found the existence or non-existence of a duty of care in these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not;</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harm suffered by the plaintiff reasonably foreseeable;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yes;</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relationship of sufficient proximity between the plaintiff and the defendant such that it would be just to impose a duty of care in these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arises;</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there any residual policy reasons for negating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established in question/step 3, aside from any policy considerations that arise naturally out of a consideration of proximity.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not, then a novel duty of care is found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xml:space="preserve">  The plaintiff bears the onus of establishing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against the defendant at the first stage of the analysis. At the second stage, the defendant is permitted to establish that there are policy considerations which negate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xml:space="preserve">  The Supreme Court of Canada noted in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at para. 32, that policy is relevant under the proximity analysis in the first stage of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as well as under the second stage when the court considers whether there are residual policy concerns which negate the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difference is that under proximity, the relevant questions of policy relate to factors arising from the particular relationship between the plaintiff and the defendant. In contrast, residual policy considerations are concerned not so much with "the relationship between the parties, but the effect of recognizing a duty of care on other legal obligations, the legal system and society more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To address the claim raised by the plaintiff, I am obliged to determine the question of whether a duty of care arises based on the complete factual record, within the full context of the legislative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As is clear from the reasons in </w:t>
      </w:r>
      <w:r>
        <w:rPr>
          <w:rFonts w:ascii="arial" w:eastAsia="arial" w:hAnsi="arial" w:cs="arial"/>
          <w:i/>
          <w:color w:val="000000"/>
          <w:sz w:val="20"/>
          <w:lang w:val="en-US" w:eastAsia="en-US" w:bidi="ar-SA"/>
        </w:rPr>
        <w:t>BCCA Carhoun</w:t>
      </w:r>
      <w:r>
        <w:rPr>
          <w:rFonts w:ascii="arial" w:eastAsia="arial" w:hAnsi="arial" w:cs="arial"/>
          <w:color w:val="000000"/>
          <w:sz w:val="20"/>
          <w:lang w:val="en-US" w:eastAsia="en-US" w:bidi="ar-SA"/>
        </w:rPr>
        <w:t xml:space="preserve">, the allegations in the plaintiff's claim do not fall within a settled category that the courts have recognized as giving rise to a duty of care. There is no analogous precedent based on the specific relationship between environmental regulators and private proponents of development projects. Therefore, to determine whether a duty of care exists,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analysis is required.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 Prima Facie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xml:space="preserve">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under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the plaintiff must establish that the harm allegedly suffered was reasonably foreseeable, and that there was a relationship of sufficient proximity between the plaintiff and the defendant such that it would be just to impose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The plaintiff asserts that defendant admits that it could be foreseen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established, would result in a harm of some sort to the plaintiff, that the defendant had a sufficiently close relationship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this case. The defendant contends, however, that there is no private relationship of proximity between the parties, and that even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arises, policy considerations negate imposing a duty of care in this case.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The first element the plaintiff must demonstrate to establish a duty of care is that the harm allegedly suffered was reasonably foreseeable. Given the defendant's concession that harm of some sort could be foreseen to the plaintiff if its employees were negligent, I find that the plaintiff has established foreseeability.</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b.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The second element required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is proximity. The plaintiff has the onus of establishing that a sufficiently proximate relationship exists between itself and the defendant. In </w:t>
      </w:r>
      <w:r>
        <w:rPr>
          <w:rFonts w:ascii="arial" w:eastAsia="arial" w:hAnsi="arial" w:cs="arial"/>
          <w:i/>
          <w:color w:val="000000"/>
          <w:sz w:val="20"/>
          <w:lang w:val="en-US" w:eastAsia="en-US" w:bidi="ar-SA"/>
        </w:rPr>
        <w:t>Los Angeles Salad Company Inc. v. Canadian Food Inspection Agency</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2013 BCCA 34</w:t>
        </w:r>
      </w:hyperlink>
      <w:r>
        <w:rPr>
          <w:rFonts w:ascii="arial" w:eastAsia="arial" w:hAnsi="arial" w:cs="arial"/>
          <w:color w:val="000000"/>
          <w:sz w:val="20"/>
          <w:lang w:val="en-US" w:eastAsia="en-US" w:bidi="ar-SA"/>
        </w:rPr>
        <w:t xml:space="preserve"> at para. 40 [</w:t>
      </w:r>
      <w:r>
        <w:rPr>
          <w:rFonts w:ascii="arial" w:eastAsia="arial" w:hAnsi="arial" w:cs="arial"/>
          <w:i/>
          <w:color w:val="000000"/>
          <w:sz w:val="20"/>
          <w:lang w:val="en-US" w:eastAsia="en-US" w:bidi="ar-SA"/>
        </w:rPr>
        <w:t>Los Angeles Salad Co</w:t>
      </w:r>
      <w:r>
        <w:rPr>
          <w:rFonts w:ascii="arial" w:eastAsia="arial" w:hAnsi="arial" w:cs="arial"/>
          <w:color w:val="000000"/>
          <w:sz w:val="20"/>
          <w:lang w:val="en-US" w:eastAsia="en-US" w:bidi="ar-SA"/>
        </w:rPr>
        <w:t>.], Mr. Justice Smith outlined three circumstances where a relationship of proximity can exist with respect to government actors: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First, the relationship may be created in the statute itself, although the Court cautioned that, since statutes are most often "aimed at public goods", it may be difficult to infer that the legislature intended to create private law tort duties, especially where such duties would conflict with the duty to the public and where the public duty is overarching. Next proximity may "arise from a series of specific interactions between the government and the claimant" although, even here, a finding of proximity might have to give way for policy reasons if to recognize it would conflict with the statutory duty. Finally, proximity may be found in a combination of statutory duties and interactions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Defining the relationship may involve looking at expectations, representations, reliance, and the property or other interests involved. Essentially, these are factors that allow the evaluation of the closeness of the relationship between the plaintiff and the defendant and inform whether it is just and fair having regard to that relationship to impose a duty of care in law upon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The plaintiff argues that a proximate relationship exists. The plaintiff argues that its commencement of the application process placed it in a proximate, transactional-type relationship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The plaintiff contends that Canadians are entitled to expect that when they submit the necessary information to a federal regulator, the regulator will process that information in a reasonable and timely manner consistent with the administrative principles of procedural fairness and natural justice, and free from bias and pre-determination by individual staff members or federal departments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The defendant argues that the relevant legislation does not create a private relationship of proximity. The defendant says that finding a relationship of proximity would be inconsistent with the public purposes set out in the scheme. The defendant also argues that, in this case, proximity cannot arise from the interactions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The defendant asserts that the consideration of proximity based on the interactions between the regulator and the plaintiff is necessarily fact-specific, and thus the facts must show a relationship and connection between the two that is distinct from and more direct than the relationship between the regulator and that part of the public affected by the regulator's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Los Angeles Salad Co.</w:t>
      </w:r>
      <w:r>
        <w:rPr>
          <w:rFonts w:ascii="arial" w:eastAsia="arial" w:hAnsi="arial" w:cs="arial"/>
          <w:color w:val="000000"/>
          <w:sz w:val="20"/>
          <w:lang w:val="en-US" w:eastAsia="en-US" w:bidi="ar-SA"/>
        </w:rPr>
        <w:t xml:space="preserve">, the Court of Appeal was asked to consider whether federal government food inspectors owed a private law duty of care to sellers of food products. In so doing, the court reviewed the chambers judge's application of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to the plaintiff's allegations and agreed with the judge's conclusions. On the issue of proximity, the chambers judge had concluded that while proximity may be created by the regulator's conduct, it does not typically arise when the regulator is simply discharging its statutory responsibilities in the public interest. Smith J. rejected the plaintiff's proposed amendments to buttress their claim of proximity based on 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 In my view, the clear purpose of the relevant legislative scheme is to protect the health of Canadians by preventing the sale of contaminated food in Canada. To recognize a private law duty of care to food sellers would conflict with that purpose. It would put food inspectors in the untenable position of having to balance the paramount interests of the public with private interests of food sellers and would thereby have a chilling effect on the proper performance of their duties. Thus, the statutory scheme excludes the possibility of sufficient factual proximity to make it just and reasonable to impose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the circumstances of this case: see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(S.C.C.)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xml:space="preserve">  The defendant referred to the decision of the Supreme Court of Canada in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where the defendant police were found to owe a duty of care to the plaintiff because they had targeted him in the criminal investigation, making the relationship with the plaintiff much more direct than the relationship between the police and other members of the public affected by the exercise of police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xml:space="preserve">  At para. 130, Madam Justice Charron, in dissent, rejected the wide proposition that the police owe a general duty of care to all potential victims of crime. Charron J. held that such an interpretation would ignore the fact that there must be more than mere foreseeability of harm before a duty of care will arise; there must also be sufficient proximity between the parties and the absence of policy considerations negating the existence of any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BCCA Carhoun</w:t>
      </w:r>
      <w:r>
        <w:rPr>
          <w:rFonts w:ascii="arial" w:eastAsia="arial" w:hAnsi="arial" w:cs="arial"/>
          <w:color w:val="000000"/>
          <w:sz w:val="20"/>
          <w:lang w:val="en-US" w:eastAsia="en-US" w:bidi="ar-SA"/>
        </w:rPr>
        <w:t xml:space="preserve">, the Court of Appeal was asked to consider whether it was plain and obvious that the defendant did not owe a duty of care to the plaintiff such as the claim should be struck out. Upon considering the stated purpose and preamble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the court noted that the legislative scheme suggested that the defendant was to conduct EAs having regard to multiple interests, including the public interest in maintaining healthy fisheries and the private interest in efficient processing an application. The court concluded that the legislation itself did not expressly prohibit consideration of the plaintiff's interests as a proponent; instead the legislation presumed that the two interests were not irreconcilable.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Garson J.A. commented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 There are several features of this legislative scheme that are consistent with a private duty of care toward proponents. For example, the direct interactions between the Minister and a proponent are a result of the legislative scheme, which is directed at individual applications for an exemption and individual consideration on the part of the Minister or delegated officials.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 As well, the inclusion in the Regulations of a series of specific timelines for the various stages of the CEAA screening process could be indicative of a legislative intention to protect the proponent's economic interests. After all, it is only the proponent who has an interest in his approval process being moved along the chain expeditiously.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[102] On the other hand the Minister is charged with protecting the fishery and the environment, responsibilities that are to be carried out in the public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[104] This legislative scheme suggests Canada is to conduct environmental assessments having regard to multiple interests, including both the public interest in maintaining healthy fisheries and the private interest in efficiently processing 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In this case the interactions between the parties put the plaintiff in a more direct relationship with the defendants than other members of the public affected by the exercise statutory powers. Further, s. 4(1)(a)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lists the purposes, in part,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to ensure that projects are </w:t>
      </w:r>
      <w:r>
        <w:rPr>
          <w:rFonts w:ascii="arial" w:eastAsia="arial" w:hAnsi="arial" w:cs="arial"/>
          <w:color w:val="000000"/>
          <w:sz w:val="20"/>
          <w:u w:val="single"/>
          <w:lang w:val="en-US" w:eastAsia="en-US" w:bidi="ar-SA"/>
        </w:rPr>
        <w:t>considered in a careful and precautionary manner before</w:t>
      </w:r>
      <w:r>
        <w:rPr>
          <w:rFonts w:ascii="arial" w:eastAsia="arial" w:hAnsi="arial" w:cs="arial"/>
          <w:color w:val="000000"/>
          <w:sz w:val="20"/>
          <w:lang w:val="en-US" w:eastAsia="en-US" w:bidi="ar-SA"/>
        </w:rPr>
        <w:t xml:space="preserve"> federal authorities take action in connection with them, in order to ensure that such projects do not cause significant adverse environmental effects;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to </w:t>
      </w:r>
      <w:r>
        <w:rPr>
          <w:rFonts w:ascii="arial" w:eastAsia="arial" w:hAnsi="arial" w:cs="arial"/>
          <w:color w:val="000000"/>
          <w:sz w:val="20"/>
          <w:u w:val="single"/>
          <w:lang w:val="en-US" w:eastAsia="en-US" w:bidi="ar-SA"/>
        </w:rPr>
        <w:t>encourage responsible authorities to take actions that promote sustainable development</w:t>
      </w:r>
      <w:r>
        <w:rPr>
          <w:rFonts w:ascii="arial" w:eastAsia="arial" w:hAnsi="arial" w:cs="arial"/>
          <w:color w:val="000000"/>
          <w:sz w:val="20"/>
          <w:lang w:val="en-US" w:eastAsia="en-US" w:bidi="ar-SA"/>
        </w:rPr>
        <w:t xml:space="preserve"> and thereby achieve or maintain a healthy environment and a healthy economy;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xml:space="preserve">  Therefore, I am satisfied that there is a relationship of sufficient proximity between the plaintiff and the defendant to impose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these circumstances, had the plaintiff submitted the necessary information to DFO.</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c. Residual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xml:space="preserve">  In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government actor, principles arising from the decision of the House of Lords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must be considered, as explained by the Supreme Court of Canada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at paras. 38-39: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It is at this second stage of the analysis that the distinction between government policy and execution of policy falls to be considered. It is established that government actors are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policy decisions, but only operational decisions. The basis of this immunity is that policy is the prerogative of the elected Legislature. It is inappropriate for courts to impose liability for the consequences of a particular policy decision. On the other hand, a government actor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manner in which it executes or carries out the policy. In our view, the exclusion of liability for policy decisions is properly regarded as an application of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The exclusion does not relate to the relationship between the parties. Apart from the legal characterization of the government duty as a matter of policy, plaintiffs can and do recover. The exclusion of liability is better viewed as an immunity imposed because of considerations outside the relationship for policy reasons -- more precisely, because it is inappropriate for courts to second-guess elected legislators on policy matters. Similar considerations may arise where the decision in question is quasi-judicial (see </w:t>
      </w:r>
      <w:r>
        <w:rPr>
          <w:rFonts w:ascii="arial" w:eastAsia="arial" w:hAnsi="arial" w:cs="arial"/>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 second step of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generally arises only in cases where the duty of care asserted does not fall within a recognized category of recovery. Where it does, we may be satisfied that there are no overriding policy considerations that would negative the duty of care. In this sense, we agree with the Privy Council in </w:t>
      </w:r>
      <w:r>
        <w:rPr>
          <w:rFonts w:ascii="arial" w:eastAsia="arial" w:hAnsi="arial" w:cs="arial"/>
          <w:i/>
          <w:color w:val="000000"/>
          <w:sz w:val="20"/>
          <w:lang w:val="en-US" w:eastAsia="en-US" w:bidi="ar-SA"/>
        </w:rPr>
        <w:t>Yuen Kun Yeu</w:t>
      </w:r>
      <w:r>
        <w:rPr>
          <w:rFonts w:ascii="arial" w:eastAsia="arial" w:hAnsi="arial" w:cs="arial"/>
          <w:color w:val="000000"/>
          <w:sz w:val="20"/>
          <w:lang w:val="en-US" w:eastAsia="en-US" w:bidi="ar-SA"/>
        </w:rPr>
        <w:t xml:space="preserve"> that the second stage of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will seldom arise and that questions of liability will be determined primarily by reference to established and analogous categories of recovery. However, where a duty of care in a novel situation is alleged, as here, we believe it necessary to consider both steps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as discussed above. This ensures that before a duty of care is imposed in a new situation, not only are foreseeability and relational proximity present, but there are no broader considerations that would make imposition of a duty of care unwise.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xml:space="preserve">  Canadian courts have accepted the dichotomy first described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between public officials' "policy" decisions, which cannot give rise to tort liability, and their "operational" acts or omissions, which can. In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at para. 14, the Supreme Court of Canada summarized the distinction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Policy decisions about what acts to perform under a statute do not give rise to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other hand, once a decision to act has been made, the government may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manner in which it implements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the Supreme Court of Canada considered public authority liability and recognized the distinction between "policy" and "operational" decisions and found that a true policy decision undertaken by a government agency constitutes a valid basis to negate a duty of care. In that case, the majority of the Court commented on what constitutes such a policy decision, stating at 1245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borne in mind that such decisions are generally made by persons of a high level of authority in the agency, but may also properly be made by persons of a lower level of authority. The characterization of such a decision rests on the nature of the decision and not on the identity of the actors. As a general rule, decisions concerning budgetary allotments for departments or government agencies will be classified as policy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xml:space="preserve">  The defendant contends that as a matter of policy, only limited resources were devoted to the administration of DFO, leaving the Pacific region underfunded and understaffed to address the considerable volume of applications it received pursuant to s. 35(2)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defendant asserts that to the extent that understaffing was a contributing cause to the time that it took to process the 2009 Submission, such staffing decisions were true policy decisions and should not be the subject of judicial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The plaintiff responded to the defendant's contention by arguing that it should not be made to bear the brunt of what was a failure at the Ministerial level to provide adequate staffing or resources to process its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BCCA Carhoun</w:t>
      </w:r>
      <w:r>
        <w:rPr>
          <w:rFonts w:ascii="arial" w:eastAsia="arial" w:hAnsi="arial" w:cs="arial"/>
          <w:color w:val="000000"/>
          <w:sz w:val="20"/>
          <w:lang w:val="en-US" w:eastAsia="en-US" w:bidi="ar-SA"/>
        </w:rPr>
        <w:t>, the Court of Appeal also commented on the issue of true policy decisions in the present case. In particular, the court noted at paras. 100, 119-120, and 125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 There are several features of this legislative scheme that are consistent with a private duty of care toward proponents. For example, the direct interactions between the Minister and a proponent are a result of the legislative scheme, which is directed at individual applications for an exemption and individual consideration on the part of the Minister or delegated officials.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[119] Thus, "true" policy decisions can be made at a "high" or "lower" level with the administrative structure. I note that this must be distinguished from the policy prescribed by the legislature within the legislation itself. Even if the legislation provides that the Minister or agency must consider both the public interest in healthy fisheries as well as the private interests of the proponent, the manner in which those interests are considered and balanced could be the subject of a true policy decision of the executive branch.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[120] For example, in this case, if the Minister decided that a sufficient screening process could not be concluded within the usual timeline, a determination that it was more important to do the screening process "right", rather than do it "fast", would likely be a true policy determination that "could not be attacked" by a court, as stated in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Thus, a duty of care would be negated for such true policy decisions. These true policy decisions could occur at a "high" level, such as broad internal policy and rules within the DFO pertaining to how applications under s. 35(2) are to be reviewed; alternatively, a true policy decision could occur at a "lower" level, such as a determination of whether environmental concerns or complexity of a particular application require a lengthier timeline for completing the screening process than is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I agree that it would not be appropriate for a court to second-guess a decision to prioritize environmental interests over the proponent's interest in an expeditious process. As discussed, there are numerous possible explanations for the lengthy delay in this case that may come down to "true questions of policy". However, in order to negate a duty of care for this reason, it must first be determined whether there actually was a true policy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The defendant further contends that it would be inconsistent with the exercise of DFO's statutory powers if regulators charged with a general public duty to the environment were required to consider the effect of their conduct on private commercial interests. The defendant contends that the statutory role of those regulators is to interfere in a proponent's chosen course of action, where it is necessary to fulfill the statutory purpose, and that imposing a duty of care would, in effect, require the regulator to moderate its regulatory response to avoid such interference, setting up an irresolvable conflict between the regulator's statutory duties and its private law obligations. The defendant argues that in the result, there can be no concurrent duty owed to the plaintiff to protect its economic interest in this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River Valley</w:t>
      </w:r>
      <w:r>
        <w:rPr>
          <w:rFonts w:ascii="arial" w:eastAsia="arial" w:hAnsi="arial" w:cs="arial"/>
          <w:color w:val="000000"/>
          <w:sz w:val="20"/>
          <w:lang w:val="en-US" w:eastAsia="en-US" w:bidi="ar-SA"/>
        </w:rPr>
        <w:t>, the Ontario Court of Appeal, when considering whether there were any overriding policy considerations which negated a private duty of care on the part of the Canadian Food Inspection Agency to the plaintiff, an egg producer made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Although unnecessary to my conclusion that no private duty of care exists, I see at least one overriding policy consideration that also negates a private duty. That consideration is the potential for conflict if CFIA must be mindful not only of the health of animals and the public, but as well the economic interests of individual farmers.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 In some instances, and this case is perhaps a good example, the potential for conflict between the economic interests of an individual farmer and the public interest does exist. The conflict may arise over the extent of the testing necessary to determine whether an animal is diseased. In this case, initial testing of River Valley's barn 4 showed no DT104 in any of the samples. With those negative test results in hand and having regard to its own economic interests, River Valley may well have fairly claimed that it should have been able to market its eggs. However, CFIA, with the benefit of Health Canada's expertise, took a more cautious approach in the public interest and insisted on further testing at the point where the hens were about to lay their eggs. CFIA fairly claimed that this further testing was needed to be fully satisfied that the flock in barn 4 was not contaminated. Undoubtedly, other kinds of conflict may arise if CFIA inspectors have to worry about the economic interests of individual farmers as well as their obligation to the public to protect human and animal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While I accept that the overarching objectives of the defendant relate to the public interest and ensuring environmental protection, I do not accept that they would necessarily be incompatible with a duty owed to private commercial 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The defendant contends that the prospect of indeterminate liability to the multitude of entities involved in activities that impact fish habitat is a policy factor that negates a duty of care in this case as it lacks control over the number of parties who may make claims against it or when liability may be for an indeterminate amount. Such concerns relate to the virtually unlimited exposure of government to private claims, which may tax public resources and chill government efforts to enforce legitimate public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Ernst v. Alberta (Energy Resources Conservation Board)</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2014 ABCA 285</w:t>
        </w:r>
      </w:hyperlink>
      <w:r>
        <w:rPr>
          <w:rFonts w:ascii="arial" w:eastAsia="arial" w:hAnsi="arial" w:cs="arial"/>
          <w:color w:val="000000"/>
          <w:sz w:val="20"/>
          <w:lang w:val="en-US" w:eastAsia="en-US" w:bidi="ar-SA"/>
        </w:rPr>
        <w:t xml:space="preserve">, aff'd </w:t>
      </w:r>
      <w:hyperlink r:id="rId212" w:history="1">
        <w:r>
          <w:rPr>
            <w:rFonts w:ascii="arial" w:eastAsia="arial" w:hAnsi="arial" w:cs="arial"/>
            <w:i/>
            <w:color w:val="0077CC"/>
            <w:sz w:val="20"/>
            <w:u w:val="single"/>
            <w:shd w:val="clear" w:color="auto" w:fill="FFFFFF"/>
            <w:lang w:val="en-US" w:eastAsia="en-US" w:bidi="ar-SA"/>
          </w:rPr>
          <w:t>2017 SCC 1</w:t>
        </w:r>
      </w:hyperlink>
      <w:r>
        <w:rPr>
          <w:rFonts w:ascii="arial" w:eastAsia="arial" w:hAnsi="arial" w:cs="arial"/>
          <w:color w:val="000000"/>
          <w:sz w:val="20"/>
          <w:lang w:val="en-US" w:eastAsia="en-US" w:bidi="ar-SA"/>
        </w:rPr>
        <w:t xml:space="preserve">, the Alberta Court of Appeal considered whether portions of the plaintiff's claim were properly struck out because they did not establish that a duty of care was owed by the defendants. The plaintiff alleged that her water supply was damaged by the constructions activities of EnCana Corporation. The defendant, Energy Resources Conservation Board, had regulatory jurisdiction over the activities, and the plaintiff sued,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Board for "negligent administration of a regulatory regime". On the issue of whether a duty of care was owed, the Court of Appeal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Forcing the Board to consider the extent to which it must balance the interests of specific individuals while attempting to regulate in the overall public interest would be unworkable in fact and bad policy in law. Recognizing any such private duty would distract the Board from its general duty to protect the public, as well as its duty to deal fairly with participants in the regulated industry. Any such individualized duty of care would plainly involve indeterminate liability, and would undermine the Board's ability to effectively address the general public obligations placed on it under its controlling legislative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xml:space="preserve"> at para. 74, the Supreme Court of Canada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defendant is a public body, inferring a private duty of care from statutory duties may be difficult, and must respect the particular constitutional role of those institutions: </w:t>
      </w:r>
      <w:r>
        <w:rPr>
          <w:rFonts w:ascii="arial" w:eastAsia="arial" w:hAnsi="arial" w:cs="arial"/>
          <w:i/>
          <w:color w:val="000000"/>
          <w:sz w:val="20"/>
          <w:lang w:val="en-US" w:eastAsia="en-US" w:bidi="ar-SA"/>
        </w:rPr>
        <w:t>Welbridge Holdings Ltd. v. Greater Winnipeg</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Laskin J., as he then was, for the Court. Related to this concern is the fear of virtually unlimited exposure of the government to private claims, which may tax public resources and chill government intervention. It is arguable that to impose a duty of care on the plaintiff class on the facts pleaded would open the door to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patient in the healthcare system with an entitlement to receive funding for health services, whether primary or extended. This raises the spectre of unlimited liability to an unlimited class, decried by Cardozo Ch.J. in </w:t>
      </w:r>
      <w:r>
        <w:rPr>
          <w:rFonts w:ascii="arial" w:eastAsia="arial" w:hAnsi="arial" w:cs="arial"/>
          <w:i/>
          <w:color w:val="000000"/>
          <w:sz w:val="20"/>
          <w:lang w:val="en-US" w:eastAsia="en-US" w:bidi="ar-SA"/>
        </w:rPr>
        <w:t>Ultramares Corp. v. Touche</w:t>
      </w:r>
      <w:r>
        <w:rPr>
          <w:rFonts w:ascii="arial" w:eastAsia="arial" w:hAnsi="arial" w:cs="arial"/>
          <w:color w:val="000000"/>
          <w:sz w:val="20"/>
          <w:lang w:val="en-US" w:eastAsia="en-US" w:bidi="ar-SA"/>
        </w:rPr>
        <w:t xml:space="preserve">, 174 N.E. 441 (N.Y. 1931), at p. 444: see </w:t>
      </w:r>
      <w:r>
        <w:rPr>
          <w:rFonts w:ascii="arial" w:eastAsia="arial" w:hAnsi="arial" w:cs="arial"/>
          <w:i/>
          <w:color w:val="000000"/>
          <w:sz w:val="20"/>
          <w:lang w:val="en-US" w:eastAsia="en-US" w:bidi="ar-SA"/>
        </w:rPr>
        <w:t>Design Services Ltd. v. Canada</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2008 SCC 22</w:t>
        </w:r>
      </w:hyperlink>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[2008] 1 S.C.R. 737</w:t>
        </w:r>
      </w:hyperlink>
      <w:r>
        <w:rPr>
          <w:rFonts w:ascii="arial" w:eastAsia="arial" w:hAnsi="arial" w:cs="arial"/>
          <w:color w:val="000000"/>
          <w:sz w:val="20"/>
          <w:lang w:val="en-US" w:eastAsia="en-US" w:bidi="ar-SA"/>
        </w:rPr>
        <w:t>, at paras. 59-66.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xml:space="preserve">  In this case, the defendant has not convinced me that indeterminate liability is a basis for negating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 do not accept that the class of individuals who would be owed a duty is so large as to tax public resources, would chill the ability of the defendant to fulfill its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xml:space="preserve">  I regard the DFO's staffing decisions to fall under the rubric of policy decisions and, therefore, they cannot be the basis for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Therefore, in the result, I find that with respect to operational decisions and activities, the defendant, through DFO, owed a duty to the plaintiff in its direct dealings with the plaintiff and its representatives, to act reasonably and with reasonable expediency.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The defendant contends that expert evidence is required in order to establish the standard of care expected of: (1) the delegates of the Minister in DFO; (2) EC employees who provided the Minister's delegates with advice in respect of the plaintiff's Proposed Development; and (3) the managerial staff who supervised and approved the conduct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J.P.</w:t>
      </w:r>
      <w:r>
        <w:rPr>
          <w:rFonts w:ascii="arial" w:eastAsia="arial" w:hAnsi="arial" w:cs="arial"/>
          <w:color w:val="000000"/>
          <w:sz w:val="20"/>
          <w:lang w:val="en-US" w:eastAsia="en-US" w:bidi="ar-SA"/>
        </w:rPr>
        <w:t xml:space="preserve">, the Court of Appeal held that professional standards and internal policies do not "on their own, establish a standard of care". At para. 369, the Court of Appeal concluded that while policies may be relevant to whether a standard of care is met, "non-compliance with those standards and policies is not determinative of whether there has been a breach of the standard of care sufficient to establish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Anderson v. Chasney et al</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[1949] 4 D.L.R. 71</w:t>
        </w:r>
      </w:hyperlink>
      <w:r>
        <w:rPr>
          <w:rFonts w:ascii="arial" w:eastAsia="arial" w:hAnsi="arial" w:cs="arial"/>
          <w:color w:val="000000"/>
          <w:sz w:val="20"/>
          <w:lang w:val="en-US" w:eastAsia="en-US" w:bidi="ar-SA"/>
        </w:rPr>
        <w:t xml:space="preserve"> (Man. C.A.), aff'd [1950] S.C.R. viii, Chief Justice McPherson observed at pp. 73-74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Where there is other evidence in contradiction of the opinion of the expert testimony, which can be understood by a layman, those facts can be taken into consideration. In 48 Corp. Jur., p. 1151, it is stated: "Expert evidence is not required, however, where the results of the treatment are of such character as to warrant the inference of want of care from the testimony of laymen or in the light of the knowledge and experience of the jurors themselves."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in </w:t>
      </w:r>
      <w:r>
        <w:rPr>
          <w:rFonts w:ascii="arial" w:eastAsia="arial" w:hAnsi="arial" w:cs="arial"/>
          <w:i/>
          <w:color w:val="000000"/>
          <w:sz w:val="20"/>
          <w:lang w:val="en-US" w:eastAsia="en-US" w:bidi="ar-SA"/>
        </w:rPr>
        <w:t>Mehigan v. Sheehan</w:t>
      </w:r>
      <w:r>
        <w:rPr>
          <w:rFonts w:ascii="arial" w:eastAsia="arial" w:hAnsi="arial" w:cs="arial"/>
          <w:color w:val="000000"/>
          <w:sz w:val="20"/>
          <w:lang w:val="en-US" w:eastAsia="en-US" w:bidi="ar-SA"/>
        </w:rPr>
        <w:t xml:space="preserve"> (1947), 51 Atl. Rep. (2d) 632: "Expert testimony is not necessary for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nontechnical matters or matters of which an ordinary person may be expected to have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xml:space="preserve">  The course of conduct alleged to have been negligent in this case involves a series of decisions by environmental professionals in DFO and EC, who were applying their specialized skills and experience to the assessment of the plaintiff's request for an authorization to alter or destroy fish habitat under s. 35(2)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plaintiff did not adduce any expert evidence on the standard of care that the defendant and its employees are alleged to have breached. The defendant argues that this omission is fatal to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In the absence of expert evidence as to the requisite standard of care, the court may look to external factors, including legislative standards, policies and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In this case, I have the legislation and documents referred to in para. 16 for guidance. In my view, that guidance, together with common sense and the practice described by the witnesses from the DFO who gave evidence, is sufficient to determine the standard of care required of the professionals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I find that the standard of care required of the defendant's employees and representatives is simply that of a reasonable person in their line of work or calling, as required by applicable legislation and common practice. Where there is no contrary evidence, the evidence of those individuals that they followed accepted practices may be sufficient to establish that they met their required duties.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The plaintiff submits that EC failed to meet the standard of care required in its role as a federal authority, as evident by:</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comply with the timelines in the </w:t>
      </w:r>
      <w:r>
        <w:rPr>
          <w:rFonts w:ascii="arial" w:eastAsia="arial" w:hAnsi="arial" w:cs="arial"/>
          <w:i/>
          <w:color w:val="000000"/>
          <w:sz w:val="20"/>
          <w:lang w:val="en-US" w:eastAsia="en-US" w:bidi="ar-SA"/>
        </w:rPr>
        <w:t>FCR</w:t>
      </w:r>
      <w:r>
        <w:rPr>
          <w:rFonts w:ascii="arial" w:eastAsia="arial" w:hAnsi="arial" w:cs="arial"/>
          <w:color w:val="000000"/>
          <w:sz w:val="20"/>
          <w:lang w:val="en-US" w:eastAsia="en-US" w:bidi="ar-SA"/>
        </w:rPr>
        <w:t>;</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admitting that it often did fail to meet those timelines;</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give proper advice to the DFO based on the best advice available at the time;</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intentionally failing to consider or provide advice on issues under its mandate related to the plaintiff's project until December 2011;</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finalize draft letters encompassing all those issues, including wetlands, prepared in January and February 2011 but not sent out; and,</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recognize that it did not then have, and never had before, any jurisdiction over wetlands under their mandate unless those wetlands were linked specifically to Species at Risk, or concerns related to the </w:t>
      </w:r>
      <w:r>
        <w:rPr>
          <w:rFonts w:ascii="arial" w:eastAsia="arial" w:hAnsi="arial" w:cs="arial"/>
          <w:i/>
          <w:color w:val="000000"/>
          <w:sz w:val="20"/>
          <w:lang w:val="en-US" w:eastAsia="en-US" w:bidi="ar-SA"/>
        </w:rPr>
        <w:t>Migratory Birds Convention Act, 1994</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S.C. 1994, c. 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xml:space="preserve">  The plaintiff concedes that there was no guarantee that it would receive a s. 35(2) authorization for its project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but argues that upon receipt of its application for DFO approval, DFO was required to conduct an EA or screening of the project pursuant to the provisions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the relevant statute at the time of the plaintiff's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The plaintiff contends that when a government legislates a process whereby proponents may obtain a permit to lawfully perform an action that would otherwise be unlawful, it must duly process requests for such exemptions, particularly when proponents expend monies to pursue such exemptions. The plaintiff submits that such proponents are entitled to a legitimate expectation that government actors will follow the applicable laws, even where the proponent is unaware of the government's legal obligations, arguing that the duty "leans more towards the fiduciary degree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The plaintiff contends that EC's failure to comply with an applicable policy compels the conclusion that the requisite standard of care was breached, where the policy has been implemented for the purpose of ensuring compliance with the law, as was the case with DFO's policies and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xml:space="preserve">  I disagree.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prescribes a detailed set of procedures that a broad range of federal authorities, including DFO, were required to follow before they were permitted to carry out, authorize, approve or license projects that might adversely affect the environment. The various government agencies involved in such applications perform different functions under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The question of whether the statutory scheme imposes an obligation on a particular agency must be informed by the specific role that that agency played in respect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xml:space="preserve">  As I have indicated above, the policies and guidelines were intended to guide, not hamstring, the various government agencies in assessing and processing applications such as that of the plaintiff. I accept the defendant's contention that the importance of this public duty is reflected in the broad powers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contains to regulate and prevent harm to fish and fish habitat.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xml:space="preserve">  In my opinion,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process simply informs the ultimate decision of DFO to ensure that there are no significant environmental effects on fish habitat before DFO issues a s. 35(2) authorization. If that determination can be made without an EA, it can, and indeed should be, so as to avoid unnecessary expenditures on the part of the applicant, and the waste of scarce resources and personnel on the part of DFO.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xml:space="preserve">  The DFO guidance documents direct practitioners on how to follow the legislation (i.e.,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guidance) and how to determine the significance of impacts on fish habitat, irrespective of whether DFO is an RA issuing a permit or simply a federal authority offering expert advice within their mandate to another 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Law List</w:t>
      </w:r>
      <w:r>
        <w:rPr>
          <w:rFonts w:ascii="arial" w:eastAsia="arial" w:hAnsi="arial" w:cs="arial"/>
          <w:color w:val="000000"/>
          <w:sz w:val="20"/>
          <w:lang w:val="en-US" w:eastAsia="en-US" w:bidi="ar-SA"/>
        </w:rPr>
        <w:t xml:space="preserve"> set out the governmental actions that must be preceded by an EA pursuant to s. 5(1)(d) of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including a s. 35(2) authorization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xml:space="preserve">  The plaintiff contends that the defendant likens EC to Health Canada in </w:t>
      </w:r>
      <w:r>
        <w:rPr>
          <w:rFonts w:ascii="arial" w:eastAsia="arial" w:hAnsi="arial" w:cs="arial"/>
          <w:i/>
          <w:color w:val="000000"/>
          <w:sz w:val="20"/>
          <w:lang w:val="en-US" w:eastAsia="en-US" w:bidi="ar-SA"/>
        </w:rPr>
        <w:t>River Valley Poultry Farm Ltd. v. Canada (Attorney General)</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2009 ONCA 326</w:t>
        </w:r>
      </w:hyperlink>
      <w:r>
        <w:rPr>
          <w:rFonts w:ascii="arial" w:eastAsia="arial" w:hAnsi="arial" w:cs="arial"/>
          <w:color w:val="000000"/>
          <w:sz w:val="20"/>
          <w:lang w:val="en-US" w:eastAsia="en-US" w:bidi="ar-SA"/>
        </w:rPr>
        <w:t xml:space="preserve">, regarding their providing advice, but submits that in its case, unlike Health Canada in </w:t>
      </w:r>
      <w:r>
        <w:rPr>
          <w:rFonts w:ascii="arial" w:eastAsia="arial" w:hAnsi="arial" w:cs="arial"/>
          <w:i/>
          <w:color w:val="000000"/>
          <w:sz w:val="20"/>
          <w:lang w:val="en-US" w:eastAsia="en-US" w:bidi="ar-SA"/>
        </w:rPr>
        <w:t>River Valley</w:t>
      </w:r>
      <w:r>
        <w:rPr>
          <w:rFonts w:ascii="arial" w:eastAsia="arial" w:hAnsi="arial" w:cs="arial"/>
          <w:color w:val="000000"/>
          <w:sz w:val="20"/>
          <w:lang w:val="en-US" w:eastAsia="en-US" w:bidi="ar-SA"/>
        </w:rPr>
        <w:t>, EC breached their duty for some 11 months by refusing to provide their best available advice on all issues under their mandate, as they were required to do, and instead provided no advice at all for seven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xml:space="preserve">  While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include various timelines for various steps in the process, and are often not met, I find that the process is deliberately flexible, and that the timelines need not be slavishly adhered to for the process to achieve its desired and stated 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Prior to his retirement in 2017, Dr. Barry Smith was the regional director of the Pacific and Yukon region for the Canadian Wildlife Service, which was a directorate within EC under the Environmental Stewardship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I consider that at least some of Dr. Smith's evidence was posturing on his part, and I have concluded that despite his pride and confidence in his efforts, he did not effectively communicate the concerns that EC had with respect to the plaintiff's Proposed Development to DFO or, in particular, to Ms. Farlinger.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Dr. Smith recognized the deficiencies and uncertainties in the plaintiff's proposal and the significant environmental consequences that would result if the project went ahead without these issues being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True adherence to government policy decisions pursuant to s. 35(2) should probably have led to the rejection of the plaintiff's application for the reasons expressed by Dr. Smith, but he minimized EC's legitimate concerns in his final letter to DFO despite acknowledging during his testimony that this would likely result in DFO moving forward with a positive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Ultimately, Dr. Smith chose to give in to the pressure put on him by the circumstances. He sent a letter to DFO dated January 19, 2012, restating EC's position but noting that DFO could go ahead. DFO management understood, from conversations with Dr. Smith, that this would be EC's final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proponent's response to [DFO] dated January 14, 2012 referencing previously submitted plans doesn't provide the necessary evidence to enable EC to provide assurances at this time that there aren't significant effects. Similarly, if there are significant effects, EC is unable to determine whether or not they can be mitigated. This is of particular concern as it relates to any impacts on the neighbouring Silverdale Wetlands, acquired through a joint venture including with EC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light of DFO's expressed desire to move forward, and given your role as Responsible Authority for this screening, EC leaves to you the determination of whether to require additional information to inform the impact on Wetlands prior to making your decision. Should you decide to move forward, it is suggested that DFO seek a clear commitment to action by the proponent to avoid, minimize and mitigate impacts to the extent possible using adaptive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The recipient, Ms. Farlinger, took very much a broad-brush approach to her involvement in the plaintiff's approval process and seemed unaware or unconcerned, or both, about the discreet details or lack thereof in the plaintiff's proposal. For example, despite her role in the approval process, she did not appear to draw any distinction between the terms "wetlands" and "floodplains".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She recalled having discussions with DFO around the possibility of putting expectations for wetlands recovery into the future of the file. She explained that while there were unresolved issues, there was further process in which DFO could ask for additional commitments and information to satisfy both itself and EC: the Authorization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Ms. Farlinger explained that on the same day she received the final letter of January 19, 2012, from EC and the letter of assurance from the plaintiff, she consulted with her national headquarters, who agreed that the EA Screening Process decision could be positive.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Ms. Farlinger placed far too much confidence in the letter from EC. She took a hands-off approach to deal with this matter and like Dr. Smith, her testimony suggests she was persuaded to make a positive decision due to pressure applied by the plaintiff rather than evidence that the Proposed Development would not, in fact, harm the environment or put species at risk. DFO's mandate demanded more of Ms. Farlinger.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In the end, DFO reached the conclusion that provided that if certain compensation/mitigation measures were taken by the plaintiff, the Proposed Development was not likely to cause adverse environmental effects. On that basis, she directed Ms. Antcliffe to have the EA Screening Process report completed with a positive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When asked about options related to a conclusion of "uncertain effects", she noted that she had tasked Ms. Antcliffe with looking into the matter, but she did not do so, and if she had endeavoured to do so would have required significant time and planning. As the plaintiff had been extremely vocal about timing, and given that Ms. Farlinger felt she had enough information to provide a positive conclusion, she provided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When questioned why she determined DFO could come to a positive outcome, Ms. Farlinger noted that EC had been clear outlining the studies and considerations that would be required before moving forward and that DFO was in a position to request such studies in the Authorization process. She believed she could move ahead while supporting her mandate by including the further conditions in the permitting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I have concluded that the efforts of Mr. Karel Carhoun ultimately wore down those who were to guard the fisheries and wildlife habitats to the point where they sacrificed their guardianship for the sake of expediency, and gave approval to the Proposed Development. I find that such an approval would not have been given at an earlier time, as this was a case of eroding the guardianship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Nevertheless, the decision falls within the policy ambit of the DFO, and in reality, the guardianship was maintained; what might well have been a continued refusal to approve the project became, instead, an approval with terms that effectively made the approval hollow. Because of the conditions required as part of the approval, the plaintiff's Proposed Development would have been impossible for it to achieve.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I conclude that the plaintiff has not proven that the various agencies consulted by DFO failed to give it proper advice based on the best advice available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As with my determination with respect to the tort of misfeasance in public office, I find that the plaintiff has not established that DFO failed to consider or provide advice on issues under its mandate related to the plaintiff's project until December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xml:space="preserve">  I find that the plaintiff's assertion that DFO never had any jurisdiction over wetlands unless those wetlands were linked specifically to species at risk or concerns related to the </w:t>
      </w:r>
      <w:r>
        <w:rPr>
          <w:rFonts w:ascii="arial" w:eastAsia="arial" w:hAnsi="arial" w:cs="arial"/>
          <w:i/>
          <w:color w:val="000000"/>
          <w:sz w:val="20"/>
          <w:lang w:val="en-US" w:eastAsia="en-US" w:bidi="ar-SA"/>
        </w:rPr>
        <w:t>Migratory Birds Convention Act</w:t>
      </w:r>
      <w:r>
        <w:rPr>
          <w:rFonts w:ascii="arial" w:eastAsia="arial" w:hAnsi="arial" w:cs="arial"/>
          <w:color w:val="000000"/>
          <w:sz w:val="20"/>
          <w:lang w:val="en-US" w:eastAsia="en-US" w:bidi="ar-SA"/>
        </w:rPr>
        <w:t xml:space="preserve"> to be incorrect. The DFO indirectly had such jurisdiction as part and parcel of the s. 35(2) process, as the provisions of </w:t>
      </w:r>
      <w:r>
        <w:rPr>
          <w:rFonts w:ascii="arial" w:eastAsia="arial" w:hAnsi="arial" w:cs="arial"/>
          <w:i/>
          <w:color w:val="000000"/>
          <w:sz w:val="20"/>
          <w:lang w:val="en-US" w:eastAsia="en-US" w:bidi="ar-SA"/>
        </w:rPr>
        <w:t>SARA</w:t>
      </w:r>
      <w:r>
        <w:rPr>
          <w:rFonts w:ascii="arial" w:eastAsia="arial" w:hAnsi="arial" w:cs="arial"/>
          <w:color w:val="000000"/>
          <w:sz w:val="20"/>
          <w:lang w:val="en-US" w:eastAsia="en-US" w:bidi="ar-SA"/>
        </w:rPr>
        <w:t xml:space="preserve"> had to be addressed as factors in that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In the result, I find that the plaintiff has failed to establish any breach of the requisite standard of care by Mr. Salomi, Mr. Sciankowy, Ms. Lisa McDonald, or the DFO.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Did the Defendant's Acts or Omissions Cause the Plaintiff's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Despite my finding as to liability, I will consider causation in the event that my findings are overturned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The moving force behind the plaintiff's Proposed Development was Mr. Karel Carhoun. The defendant asserts that it was Karel Carhoun's obstinacy in the face of repeated requests by DFO, EC and the BC Ministry of Forests, Lands, and Natural Resources officials for more and better information about the environmental impacts of the Proposed Development that prevented those same officials from being able to carry out their duties as demanded by Karel Carhoun.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I accept the defendant's contention that, ultimately, the consequence of the plaintiff's ill-conceived political strategy was to generate layers of bureaucratic involvement, and that in its attempt to short-circuit the process, the plaintiff further complicated an already complex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The defendant contends that throughout his interactions with DFO, EC, and the Agency officials between 2009 and 2012, the plaintiff's principal, Karel Carhoun, consistently deployed political pressure tactics to try to manipulate the regulatory system, and that his refusal to participate in the necessary regulatory dialogue, or to provide the information required, made it challenging for DFO officials to render a decision in a timely and predictable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The plaintiff submits that Mr. Carhoun, serving as the principal witness for the plaintiff, was forthright with the court throughout his evidence, and had a meticulous memory of events with his dealings with DFO and other government agencies.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I am unable to agree with this characterization of Mr. Carhoun or his evidence. He gave evidence in chief for over four days, and appeared to have his own agenda, often offering evidence that was unresponsive to the questions he asked. It was clear from his demeanour and his evidence that Mr. Carhoun has a high opinion of himself and his ideas, and is anything but shy about expressing those ideas. I am not critical of him for this, but have concluded that he does not always pay attention to advice or comments with which he does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One aspect of Mr. Carhoun's personality is a certain grandiosity, which had a negative impact on his dealings with the DFO and its employees. On many occasions, he sent unsolicited letters and emails to politicians and senior DFO personnel that resulted in the involvement of layers of those in the DFO hierarchy. This had the opposite effect than the intended expedition of the proposed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This aspect of his personality was evident in his cross-examination, where he was combative and often dismissive of questions asked of him in a temperate manner. He tended to launch into lengthy answers that were not always responsive to the questions that he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In both the federal and provincial regulatory processes, employees identified difficulties in obtaining necessary information from Karel Carhoun in order to conduct their analysis of the plaintiff's Proposed Development. In each case, Karel Carhoun responded to what in my view were reasonable, if not obvious, requests for information or clarification, by employing bullying tactics or engaging in political lobbying. This strategy detracted from the operation of the regulatory process and necessitated the involvement of an increasing numbers of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These tactics involved a large number of technical and scientific matters that are beyond the common knowledge and experience of the average individual, including the appropriate methodology to use in quantifying the total amount of riparian habitat that would be destroyed by the plaintiff's Proposed Development and the total effect that the Proposed Development would have on fish habitat in light of the cumulative effects from other projects on the local watershed.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xml:space="preserve">  The plaintiff did not provide the regulators sufficient information with regard to hydrology and stormwater management to permit the defendant to assess the adequacy of the measures needed to address these concerns, nor to assess the </w:t>
      </w:r>
      <w:r>
        <w:rPr>
          <w:rFonts w:ascii="arial" w:eastAsia="arial" w:hAnsi="arial" w:cs="arial"/>
          <w:i/>
          <w:color w:val="000000"/>
          <w:sz w:val="20"/>
          <w:lang w:val="en-US" w:eastAsia="en-US" w:bidi="ar-SA"/>
        </w:rPr>
        <w:t>SARA</w:t>
      </w:r>
      <w:r>
        <w:rPr>
          <w:rFonts w:ascii="arial" w:eastAsia="arial" w:hAnsi="arial" w:cs="arial"/>
          <w:color w:val="000000"/>
          <w:sz w:val="20"/>
          <w:lang w:val="en-US" w:eastAsia="en-US" w:bidi="ar-SA"/>
        </w:rPr>
        <w:t xml:space="preserve"> issues his Proposed Development would create, in particular those relating to the Snail.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A number of government witnesses testified to critical deficiencies in the plaintiff's 2009 Submission and to the lack of a detailed mitigation or compensation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As late as March 15, 2011, during the Environmental Screening Process, the plaintiff still attempted to avoid spending money in carrying out work, such as producing plans requested by Mr. Sciankowy, until it knew DFO would issue the Authorization. In his evidence, Mr. Carhoun was asked the following question and gave the following answer: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Right. And if you get to the last point that Mr. Scott makes in this section the real issue was the fact you didn't want to spend too much money on detailed development plans until you had, quote unquote, had your issues with DFO resolved. Isn't that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because based on how the process had gone up to that point, well over a year and a half at this time, yeah, we were -I expect we got even more reluctant to spend money because we didn't know where the process was going. It was just plodding along. So yes, and why would you spend detailed plans when you don't know the detailed plan you're planning for and you don't even know if you can do the development in that 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The plaintiff asserts that if it had not been for Mr. Karel Carhoun engaging his Member of Parliament, Mr. Kamp, in 2009 and 2010, there would have been no process to engage with at all, that it was Mr. Carhoun's legally entitled right to "request political interference" in the "complex regulatory decision-making framework" during the course of advocating for his project, and that the consequences of his assertion of those rights cannot be overlooked.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Mr. Dan Cody was called as a witness for the plaintiff to provide evidence with respect to his roles as a former Policy Advisor for DFO and as the Special Assistant to Mr. Randy Kamp, the plaintiff's MP in 2009. Mr. Cody testified as to his involvement with the plaintiff's project, both personally and on behalf of Mr. Kamp's office, in particular with respect to their involvement with the plaintiff's appeal of DFO's 2009/2010 rejection of the 2009 Submission and the delays in the EA Screening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I found Mr. Cody to be a very good witness. He was careful, patient and responsive when appropriate, but declined comment when appropriate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I find that Karel Carhoun's repeated requests for political interference in a complex regulatory decision-making framework served to frustrate the process. The defendant cannot be held liable for the consequences of that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xml:space="preserve">  I conclude that if the plaintiff suffered any damage from the fact that it did not obtain a s. 35(2) exemption for its project on terms that it was prepared to accept, such damage was not due to the breach of any duty of an employee or representative of DFO. The plaintiff has not demonstrated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would not have suffered its claimed losses.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E.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Despite my conclusion with respect to liability, I will address the defendant's assertion that the plaintiff was contributorily negligent in case other conclusions that I have reached are disturbed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The defendant argues that in the event that the plaintiff establishes causation, I must then determine whether the plaintiff caused or contributed to any loss that it suffered and reduce its award for damages for such contribution. This will require an assessment of the reasonable care that ought to have been taken by the plaintiff in the circumstances, which otherwise may have contributed to its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The standard of care expected of the plaintiff is that of a reasonable person acting to protect his or her own safety or property. The exercise requires the consideration of whether the harm suffered by the plaintiff was foreseeable, the seriousness of the threatened damage, and the cost of precautionary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xml:space="preserve">  As Mr. Justice Lambert, for the majority, in the British Columbia Court of Appeal, explained in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[1997] B.C.J. No. 2853</w:t>
        </w:r>
      </w:hyperlink>
      <w:r>
        <w:rPr>
          <w:rFonts w:ascii="arial" w:eastAsia="arial" w:hAnsi="arial" w:cs="arial"/>
          <w:color w:val="000000"/>
          <w:sz w:val="20"/>
          <w:lang w:val="en-US" w:eastAsia="en-US" w:bidi="ar-SA"/>
        </w:rPr>
        <w:t xml:space="preserve"> at para. 24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apportionment of fault there must be an assessment of the degree of the risk created by each of the parties, including a consideration of the effect and potential effect of occurrences within the risk, and including any increment in the risk brought about by their conduct after the initial risk was created. The fault should then be apportioned on the basis of the nature and extent of the departure from the respective standards of care of each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The defendant asserts that the plaintiff started the regulatory process associated with seeking the Authorization negligently and without adequate financial resources and, because it had no ability to finance its operations during the EA Screening Process and Authorization process to complete the work necessary for the application process, or to undertake the work that would become necessary upon receipt of the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In the 2008 fiscal year, the plaintiff and Bullet were already showing signs of financial stress. Bullet was falling well short of the cash flow coverage ratio required by its largest creditor, CWB. According to the evidence of Karel Carhoun, the plaintiff's estimate of the time required to obtain the Authorization was four to six months. However, as early as October 2009, within one month of the plaintiff submitting the 2009 Submission, Bullet was defaulting on loan payments to CWB.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When the plaintiff submitted the 2009 Submission, it knew, or should have known, that it lacked the ability to maintain its financing or assets, let alone secure the additional credit necessary to engage in the EA Screening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Even after DFO had advised the plaintiff to redesign or relocate the Proposed Development, Karel Carhoun testified that they expected the Authorization to increase the value of the Mission Lands for refinancing purposes: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So just considering our options again on how to deal with it and how to deal with the debt because we knew we were bumping up against the debt, and we were trying to get this finished. Before we refinanced we wanted to get the conclusion to the screening so that -- or to the authorization process to know whether we got it or not, and then we would have refinanced based on what we planned to do and of course we expected to get a bump off the authorization if we got it, and it was that bump which we were originally going for. That bump in value, whatever that may have been, was really why we were putting in the effort to see. If we didn't get the bump we would have been no worse off except for what we had spent to go and we would have dealt with it with the - - hopefully the gifting of the western 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The defendant also asserts that despite a business plan recognizing the need for financial investors at the outset of the Authorization process, the plaintiff negligently failed to pursue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In September 2009, the Carhoun brothers prepared a business plan aimed at raising financing for the Proposed Development. However, the plaintiff never pursued investors because, as Karel Carhoun testified, after receiving DFO's October 2009 Letter, pursuing investors "became secondary to getting the process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The defendant further alleges that the plaintiff negligently submitted the 2009 Submission, whilst it was preliminary and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While Karel Carhoun testified that he knew having a strong compensation plan would be critical, he chose to include compensation concepts in the 2009 Submission that were vague and noncommittal. Karel Carhoun admitted that the plaintiff's proposal for habitat compensation was vague on details and he was deliberately "leaving open to still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Karel Carhoun also admitted that the 2009 Submission was incomplete until the Conceptual Compensation Plan was submitted on January 26, 2011. The plaintiff also deliberately avoided asking DFO to provide input on the concepts of the Proposed Development prior to submitting the 2009 Submission because, according to Karel Carhoun, he feared Mr. Sciankowy "was going to reject anything I was going to propose". However, this tactic was contrary to the typical practice described by the plaintiff's QEP, Mr. Ehnes.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Mr. Ehnes' evidence was that his typical practice was to run projects by DFO in advance. This approach was also contrary to Ms. McDonald's evidence that in her experience, determining unacceptable HADDs was almost entirely avoided by DFO having those discussions "early enough in the process to avoid having to be in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The defendant contends that the approach chosen by the plaintiff in planning and submitting the 2009 Submission was contributorily negligent because it slowed down and complicated the defendant's work reviewing the Proposed Development. For example, when the EA Screening Process was commenced, DFO had no compensation plan available to provide to the federal authorities and interested parties for their review until after January 26,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Ms. Huxter of EC testified that waiting for receipt of the plaintiff's compensation plan in January of 2011 delayed the circulation of her draft federal authority advice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I find that Ms. Huxter was a knowledgeable and thorough professional and an impressive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The defendant asserts that the plaintiff's blameworthiness is greater than its own, because the plaintiff began and continued the Authorization process, including the EA Screening Process, despite its extremely precarious financial state. The risk that the plaintiff would lose the Mission Lands, as well as the other assets of the Carhoun corporate group, to its secured creditors should have been foreseeable to the plaintiff. Furthermore, it was a risk attributable mainly to the plaintiff's decision to increase borrowing against the Mission Lands and the other Carhoun corporate group assets when it knew it was unable to repay its debts from actual cash flows.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As well, the defendant relies on the plaintiff's financial situation, which was already precarious, when it chose to pursue the Proposed Development. Upon providing the 2009 Submission to DFO, the plaintiff was aware of the many topographical, environmental, and ecological characteristics that made it very challenging to develop the Mission Lands. The financial difficulties and other challenges that were inherent to the Mission Lands are covered in more detail in the standard of care section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I find that if the plaintiff suffered any damage from the fact that it did not obtain a s. 35(2) exemption for its project on terms that it was prepared to accept, such damage was entirely due to the choices made and steps taken and not taken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xml:space="preserve">  Despite my conclusions with respect to liability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will address the issue of damages in case my conclusions are disturbed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 Industries Ltd. v. 618061 B.C. Ltd.</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2012 BCSC 248</w:t>
        </w:r>
      </w:hyperlink>
      <w:r>
        <w:rPr>
          <w:rFonts w:ascii="arial" w:eastAsia="arial" w:hAnsi="arial" w:cs="arial"/>
          <w:color w:val="000000"/>
          <w:sz w:val="20"/>
          <w:lang w:val="en-US" w:eastAsia="en-US" w:bidi="ar-SA"/>
        </w:rPr>
        <w:t xml:space="preserve">, Madam Justice Dillon calculated damages for loss of profit applying the reasoning of Madam Justice McLachlin (as she then was) in </w:t>
      </w:r>
      <w:r>
        <w:rPr>
          <w:rFonts w:ascii="arial" w:eastAsia="arial" w:hAnsi="arial" w:cs="arial"/>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[1988] B.C.J. No. 306</w:t>
        </w:r>
      </w:hyperlink>
      <w:r>
        <w:rPr>
          <w:rFonts w:ascii="arial" w:eastAsia="arial" w:hAnsi="arial" w:cs="arial"/>
          <w:color w:val="000000"/>
          <w:sz w:val="20"/>
          <w:lang w:val="en-US" w:eastAsia="en-US" w:bidi="ar-SA"/>
        </w:rPr>
        <w:t>. At para. 105 Dillon J.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[105] The issue of assessing damages for loss of opportunity as a result of breach of contract was addressed by the Court of Appeal in </w:t>
      </w:r>
      <w:r>
        <w:rPr>
          <w:rFonts w:ascii="arial" w:eastAsia="arial" w:hAnsi="arial" w:cs="arial"/>
          <w:i/>
          <w:color w:val="000000"/>
          <w:sz w:val="20"/>
          <w:lang w:val="en-US" w:eastAsia="en-US" w:bidi="ar-SA"/>
        </w:rPr>
        <w:t>Pacific Destination Properties Inc. v. Granville West Capital Corp.</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1999 BCCA 115</w:t>
        </w:r>
      </w:hyperlink>
      <w:r>
        <w:rPr>
          <w:rFonts w:ascii="arial" w:eastAsia="arial" w:hAnsi="arial" w:cs="arial"/>
          <w:color w:val="000000"/>
          <w:sz w:val="20"/>
          <w:lang w:val="en-US" w:eastAsia="en-US" w:bidi="ar-SA"/>
        </w:rPr>
        <w:t xml:space="preserve"> (CanLII), at paras. 54-55: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In assessing damages for loss of opportunity the court must reach a conclusion as to what would have taken place had there been no breach. If it is shown with some degree of certainty that a specific contract was lost as a result of the defendant's breach, some damages should be awarded. Even though the plaintiff may not be able to prove with certainty that it would have obtained specific results but for the breach, it may be able to establish that the defendant's breach deprived it of the opportunity to obtain such business. See: </w:t>
      </w:r>
      <w:r>
        <w:rPr>
          <w:rFonts w:ascii="arial" w:eastAsia="arial" w:hAnsi="arial" w:cs="arial"/>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1988 CanLII 186</w:t>
        </w:r>
      </w:hyperlink>
      <w:r>
        <w:rPr>
          <w:rFonts w:ascii="arial" w:eastAsia="arial" w:hAnsi="arial" w:cs="arial"/>
          <w:color w:val="000000"/>
          <w:sz w:val="20"/>
          <w:lang w:val="en-US" w:eastAsia="en-US" w:bidi="ar-SA"/>
        </w:rPr>
        <w:t xml:space="preserve"> (BC CA), </w:t>
      </w:r>
      <w:hyperlink r:id="rId221"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In </w:t>
      </w:r>
      <w:r>
        <w:rPr>
          <w:rFonts w:ascii="arial" w:eastAsia="arial" w:hAnsi="arial" w:cs="arial"/>
          <w:i/>
          <w:color w:val="000000"/>
          <w:sz w:val="20"/>
          <w:lang w:val="en-US" w:eastAsia="en-US" w:bidi="ar-SA"/>
        </w:rPr>
        <w:t>Bradshaw Construction Ltd. v. Bank of Nova Scotia</w:t>
      </w:r>
      <w:r>
        <w:rPr>
          <w:rFonts w:ascii="arial" w:eastAsia="arial" w:hAnsi="arial" w:cs="arial"/>
          <w:color w:val="000000"/>
          <w:sz w:val="20"/>
          <w:lang w:val="en-US" w:eastAsia="en-US" w:bidi="ar-SA"/>
        </w:rPr>
        <w:t xml:space="preserve">, 1992 CanLII 4038 ( BC CA), </w:t>
      </w:r>
      <w:hyperlink r:id="rId223" w:history="1">
        <w:r>
          <w:rPr>
            <w:rFonts w:ascii="arial" w:eastAsia="arial" w:hAnsi="arial" w:cs="arial"/>
            <w:i/>
            <w:color w:val="0077CC"/>
            <w:sz w:val="20"/>
            <w:u w:val="single"/>
            <w:shd w:val="clear" w:color="auto" w:fill="FFFFFF"/>
            <w:lang w:val="en-US" w:eastAsia="en-US" w:bidi="ar-SA"/>
          </w:rPr>
          <w:t>(1992), 73 B.C.L.R. (2d) 212</w:t>
        </w:r>
      </w:hyperlink>
      <w:r>
        <w:rPr>
          <w:rFonts w:ascii="arial" w:eastAsia="arial" w:hAnsi="arial" w:cs="arial"/>
          <w:color w:val="000000"/>
          <w:sz w:val="20"/>
          <w:lang w:val="en-US" w:eastAsia="en-US" w:bidi="ar-SA"/>
        </w:rPr>
        <w:t xml:space="preserve"> (C.A.) this Court considered the principles applicable to damages, including a claim of a loss of opportunity. At pages 228-229, the court referred to the following as a correct statement of the applicable law for loss of opportunity (as set out by the trial judge):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deciding whether the plaintiff suffered any damages as a consequence of the actions of the defendant, Bradshaw must prove the existence of a loss on a balance of probabilities. It has done so. But when it comes to assessing the actual amount of the loss the standard of proof is not so strict.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Determining the amount of damages in these circumstances is largely a matter of assessing the strength and weaknesses of various possibilities. It is much like measuring the amount of a past or future loss of income in a personal injury action. The more certain the possibility of the loss the greater the award; the less certain the possibility the smaller the award. When looking at events that may have taken place but for a certain event, it is impossible to say what would have probably happened when that event came about, because one does not know the nature of the circumstances at the relevant time when the event might have occurred. The best that can be estimated are the possibilities, not the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xml:space="preserve">  While damages may be easily conceived in theory they may be difficult to quantify in practical terms. For example, in </w:t>
      </w:r>
      <w:r>
        <w:rPr>
          <w:rFonts w:ascii="arial" w:eastAsia="arial" w:hAnsi="arial" w:cs="arial"/>
          <w:i/>
          <w:color w:val="000000"/>
          <w:sz w:val="20"/>
          <w:lang w:val="en-US" w:eastAsia="en-US" w:bidi="ar-SA"/>
        </w:rPr>
        <w:t>Roncarelli</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Duplessis</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where the plaintiff successfully claimed for the business losses he suffered on wrongful revocation of his liquor license, Mr. Justice Rand observed at page 144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attempt at a precise computation or estimate must assume probabilities in an area of uncertainty and risk" and suggested that a global or "at large" approach to damages should be adopted.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The plaintiff submits "damages at large" are also appropriate on a more global basis in this matter to take into account not only the aborted "authorization process", from 2002-2012, but also on the subsequent "legal process, from 2013-2018, that the plaintiff was required to pursue in order to recoup damages that resulted from the defendant's unlawful conduct. It submits that for a total of over 16 years (2002-2018), it suffered damages to the extent that it also affected its ability to commence and sustain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The premise of the plaintiff's claim in damages is that if the defendant had processed the s. 35 (2) Authorization in a timely manner, regardless of whether or not the Authorization was ultimately issued, the plaintiff would have been able to take some action, namely: sell, refinance, or develop the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The Mission Lands might have been sold or developed by a particular date in an attempt to prevent the financial collapse of the Carhoun corporate group, but all attempts to develop or sell the lands prior to 2009 had proven unsuccessful. Even if the Conditional Authorization that was granted had been granted earlier, the plaintiff still had to overcome additional regulatory steps before it could legally develop the Mission Lands, or even market the lands for sale as "ready-to-develop."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xml:space="preserve">  In addition, the plaintiff still would have suffered loss as a result of the time it would have taken to remediate the Mission Lands to remove the lead contamination, and its own failure to pursue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application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In 2003, 2004, and 2006, the plaintiff accepted conditional offers to purchase the Mission Lands for $6,000,000, $6,000,000, and $8,750,000, respectively. While these offers were made before the plaintiff had acquired all six of the Mission Lands, the plaintiff owned the majority of the Mission Lands at those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In March 2008, the plaintiff refused an offer to sell five of the Mission Lands to a local development group for the amount of $6,500,000. The price was based on the prospective purchaser's view that only 8.8 acres of the properties were "usable".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Nonetheless, the plaintiff submits that based on the 2009 appraisal prepared by the plaintiff's expert real estate appraiser, Mr. Hilts, the Mission Lands were worth at least $28,300,000 and at the very least $13,300,000. The defendant contends that these amounts are overstated and that they do not reflect the offers made to purchase the Mission Lands over the years, or the issues with Mr. Hilts' appraisals of the Mission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Mr. Hilts was called as a witness by the plaintiff. He prepared three appraisals of the Mission Lands: one in 2009, a second in 2012, and a third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In both his 2009 and 2012 appraisals, Mr. Hilts assumed that the Mission Lands would require a 12-month exposure period, regardless of whether sold "as is" or after being "fully rezoned, engineered, serviced, and available for immediate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In his 2009 appraisal, he valued the Mission Lands in the amount of $13,270,000 on a "as is" basis and in the amount of $39,110,000 assuming they were fully rezoned, engineered, serviced, and available for immediate development, which Mr. Hilts determined was their highest and best use as of September 8,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The plaintiff notes that the defendant did not provide any alternative appraisal or valuation opinion on what the plaintiff's properties could have sold for, at any particular point in time. Accordingly, the plaintiff submits that the best evidence this Court has to rely on in terms of valuation of the plaintiff's properties is that of Mr. Hilts.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There are a host of problems with Mr. Hilts' 2009 appraisal report. He testified that in preparing this appraisal, he relied entirely on the information provided by Karel Carhoun and did not go "behind" that information to ensure its accuracy. In any event, Mr. Hilts was provided with very little documentation regarding issues on the lands. He said that he recalled seeing some letters to DFO regarding rezoning on the lands, but did not make any assumptions related to federal permitting.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Mr. Hilts was never told there was any lead contamination on the lands, nor was he provided with an estimate of the costs to make the lands ready to be used for their highest and best use. Mr. Hilts simply assumed that the Proposed Development was financially, legally, and physically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In support of the Proposed Development's location, Mr. Hilts noted that the nearby Genstar development "will provide a major primarily residential development". The Genstar development never went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In his first appraisal, Mr. Hilts' market overview section was of particular importance given the recent market crash. Despite the intervening market crash Mr. Hilts' "as is" appraisal in 2009 valued the Mission Lands $4,040,000 more than Mr. Hilts' colleague, Lyle Anderson, had only two and a half years earlier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Mr. Anderson's appraisal had not included the parcel of the Mission Lands that was owned in trust for the plaintiff, which was 0.52 acres. If Mr. Hilts' appraisal is adjusted so as to remove these 0.52 acres, it would reduce his appraisal by roughly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Mr. Hilts did not include citations to information and admitted that he could not remember where he gathered information related to the Mission market or other possible locations for development. He conceded that he might have "copied and pasted" from Mr. Anderson's report, without any mention of that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Mr. Hilts agreed on cross-examination that it is important to describe for an appraisal reader how each comparable relied upon is used, and how and to what extent a comparable sale price is adjusted; either inflated or deflated in comparison to the subject property. Although Mr. Hilts reviewed the details of a number of properties as comparables in order to value the commercial, residential, and residual portions of the Mission Lands, it is unclear how he used those comparables to reach his final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Mr. Hilts did note that in considering the "as is" value of the commercial portion of the Mission Lands, two of the comparable commercial properties he used were given more weight than others. Those two properties were sold for $14.68 and $19.54 per square foot, respectively. However, Mr. Hilts concluded that the proper valuation for the commercial portion of the Mission Lands was between $20 and $22 per square foot, and in his final calculation he used the value of $21 per square foot although providing no explanation as to why the final figure of $21 per square foot was higher than the comparables he purported to rely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In considering the "highest and best use" value of the commercial portion of the Mission Lands, Mr. Hilts added two properties to those he relied on in his "as is" analysis, but both of those properties were outside Mission, in Abbotsford and Langley, respectively. Mr. Hilts' reliance on these two properties increased the range of his comparables to between $14.68 and $30.00 per square foot, and in his final calculation he used the value of $28 per square foot, which is at the higher end of the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With respect to the "as is" valuation of the residual portion of the Mission Lands, Mr. Hilts appraised the value at $2.75 per square foot. He described the residual portion of the lands as the "component of the subject property [that] is currently not able to be developed, it has some future potential to be developed if the District of Mission storm sewer and draining outfalls are rerouted such that the existing ravines could be filled in and subsequently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Mr. Hilts' valuation of $2.75 per square foot in his 2009 appraisal is based on his consideration of six properties, none of which were in Mission, contrasted with Mr. Anderson's appraisal, in which Mr. Anderson valued the same area of the residual portion of the Mission Lands in the amount of $0.50 per square foot based on his consideration of four properties in Mission. Mr. Hilts' higher valuation of the residual portion of the Mission Lands resulted in his appraisal being $2,000,000 more than Mr. Anderson's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In his 2012 appraisal, Mr. Hilts relied upon numerous assumptions. First, he assumed that "everything was okay" in respect of the s. 35(2) Authorization. He also assumed that the Proposed Development could be carried out but did not take any steps to verify this assumption. Likewise, he assumed that the costs of the Proposed Development were as provided to him by Karel Carhoun in the amount of about $13,880,000 but took no steps to verify the reasonableness of that figure. He agreed on cross-examination that if the figure was inaccurate, it would impact his final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In his 2012 appraisal, Mr. Hilts valued the Mission Lands in the amount of $45,000,000 assuming they were "fully rezoned, engineered, serviced and available for immediate development" and in the amount of $31,100,000 net of costs as of March 14,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In valuing the commercial portion of the Mission Lands, Mr. Hilts considered properties in the range of $9.13 to $31.49 per square foot, but concluded that the most appropriate range was between $22 and $30 per square foot. In his final calculation, Mr. Hilts ultimately used the value of $29 per square foot, without explaining the adjustments he made to the comparable properties in order to reach the value of $29 per square foot. While he testified that the adjustments "are not required to be in the report", he also agreed that it was important to show "the conclusions of the work [...] and the work 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In valuing the residual portion of the Mission Lands, Mr. Hilts reached his valuation based on considering properties, none of which were in Mission. He also testified that he did not recall being advised that this portion of the lands had been set aside by the plaintiff to meet DFO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In his 2014 appraisal, Mr. Hilts' valuation of the Mission Lands decreased to $36,000,000 assuming they were "fully rezoned, engineered, serviced and available for immediate development" and to the amount of $24,640,000 net of costs. Mr. Hilts testified that this was because: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market in Mission based on the information we could gather never took off the way it was anticipated to. It continued to soften. That combined with - well, mainly lesser demand for retail development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In Mr. Hilts' 2014 appraisal of the Mission Lands, he concluded that the lands would require a 12-18 month exposure period, based on the "hypothetical development scheme for the property." Mr. Hilts testified that the estimated exposure time changed between his 2012 and 2014 reports because the market in Mission had changed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xml:space="preserve">  In about 2013, IMOR retained CBRE Limited to market five of the Mission Lands to prospective buyers. By that time, the s. 35(2) Authorization had been issued, as had a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In about January 2013, CBRE Limited initially listed five of the Mission Lands for sale for the amount of $16,300,000; however, shortly thereafter, in March 2013, it recommended that the listing price be reduced to $10,725,000. IMOR did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Between about March and May 2013, three offers were made by two companies to purchase the five parcels of the Mission Lands. The highest offer was made by Omicron in the amount of $9,000,000, but was subsequently reduced to $8,000,000 because of the lead contamination on the lands. IMOR refused that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There is no evidence of an offer of more than $10,500,000 being made to purchase the Mission Lands. By the trial in this action, the Mission Lands had not sold and were still held in the name of IMOR's nominee.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By order dated October 31, 2013, this Court approved the sale of all of the Mission Lands to a third party, 0890672 B.C. Ltd., for the amount of $10,500,000. That sale did not complete. The Mission Lands ultimately transferred to IMOR's nominee pursuant to an order absolute; the transfer was recorded in the plaintiff's financial statements as being in the amount of $6,658,000.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In 2014, Mr. Justice Voith dismissed the plaintiff's appeal of an order absolute respecting the Mission Lands, finding that the lands appeared to be worth significantly less than the appraisal relied on by the plaintiff. I conclude that the appraisal he referred to was Mr. Hilts' 2014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I find that I am unable to rely upon any of the appraisal reports prepared by Mr. Hilts. They are based upon unproven and unlikely factual premises, lack any real consistency, and did not withstand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Mr. Wozny was another witness for the plaintiff. His expert report suggests that the commercial viability of the Proposed Development is supported by evidence of anchor tenant and developer interest in the property. However, Mr. Wozny was also careful to qualify this evidence. With respect to his statement that "there was anchor tenant interest" in the property, Mr. Wozny provided the disclaimer: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no important details such as rents, timing, scale or anchors were discussed and none of these tenants would ever commit until they had completed exhaustive research and extensive discussion and negotiations. These [were] merely expressions of interest sufficient to enter into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In an email from, David Longpre, a representative of Rexall, a proposed tenant, Mr. Longpre simply acknowledged that "this is a worthy location and should be presented to either myself or Rexall in due course". He further went on to set out a number of conditions which would need to be satisfied before Rexall would be interested in a lease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Mr. Wozny summarized his efforts to gather anchor tenant interest for the Proposed Development in an email to Karel Carhoun on January 5, 2011, stating: "I also have a few tenants but very few people have gotten back to me at all" and further that "some tenants want recognized developers involved before they show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I find that Mr. Wozny's evidence was fairly presented and appropriate concessions made by him, but due to the concessions and reservations he expressed, I find that his evidence was of no real assistance in assessing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Mr. Paul McEwen was the plaintiff's damages expert. In his report of November 4, 2016, Mr. McEwen based his calculations on four key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His first assumption was that but for the defendant's misconduct, the permit should have been decided or considered or granted in April 2010. The plaintiff submits that the defendant should have given it an answer regarding the permit within seven months of making the application, by April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The plaintiff submits that the regulations, as well as those specified in DFO's guidelines for proponents do not require that a fulsome compensation plan be submitted with an application for a s. 35(2)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xml:space="preserve">  It took from September 9, 2009 until September 23, 2010, a period a little over one year before the DFO agreed to conduct the EA and formally post the Notice of Commencement of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In the circumstances that were created by the conduct of the plaintiff's representatives, and the plaintiff's failure to provide the information to DFO that it knew, or should have known from its advisors, I find that the time that elapsed before the DFO agreed to conduct the EA was not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The plaintiff submitted a reasonable timeline in which the Authorization should have been issued is approximately six to eight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The plaintiff contends that if a response to the permit application had been received by April 2010, it would have had a number of options available to it at that time including to sell, develop, or refinance the land. If the process had been lawfully initiated, the plaintiff would have pursued a potential sale "subject to" the receipt of the Authorization, which could have added up to six months to the marketing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The plaintiff had received a response to its September 2009 Submission by October of that year. Rather than addressing the response, the plaintiff chose to persist in avoiding the reasonable requests for information that I have discussed above, and it was that choice, rather than the lack of a response to the 2009 Submission that resulted in the failure to pursue a potential sale "subject to" the receipt of the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As I have found above, the plaintiff's 2009 Submission was so lacking in details that it was unreasonable to expect that it would invite an EA, and thus this assumption by Mr. McEwen is unsupported and unproven.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The plaintiff contends that the fact it was still in operation over 14 months after its 2009 Submission is evidence that it had sufficient assets to allow a release of an additional $4,000,000 of additional equity through the refinancing of those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Even 26 months after its application, the plaintiff says it was able to extend that financing for an additional four months and that its fatal default did not come until 32 months after the application was submitted, on or about March 26, 2012, when it received the letter of demand from its lender, IMOR.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The plaintiff submits that if the defendant had processed its application in a timely basis, it would have had adequate resources to keep the Authorization in place until a sale in December 2010. While this may be arguable, I find that this date is unrealistic, given the lack of required specification and detail in the submission and follow-up thereto by the DFO.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Mr. McEwan's second assumption was that of a sale price of $13.3 to $28.3 million in December 2010, relying on the Cushman Wakefield valuation of September 2009. This assumption was based in part on the expectation that a permit would have been granted by April 2010, and on the basis that the sale of the land by the end of 2010 was on an "as is" basis. If the proceeds from such a sale were used to first pay all outstanding loans and other liabilities of the plaintiff, but not its related companies, then the assumption is that the balance invested in treasury bills is accruing simple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On this basis, Mr. McEwen assessed the plaintiff's loss as $8.9 million (based on the minimum sale price of $13.3 million), being the difference between $2.1 million, the actual net worth of the plaintiff at the end of 2015 based on the company's financial statements. And $6.7 million, the "Unaffected Net Worth", or what would have been the net worth of the plaintiff at the end of 2015 had it received the s. 35(2) Authorization in April 2010 and sold the land "as is" with the Authorization by the end of 2010 for $13.3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I agree with the defendant that the assumptions in Mr. McEwen's report render it applicable to only a very narrow set of circumstances, and that those circumstances have not been established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Mr. McEwen assumed that the Authorization would have been issued seven to eight months after September 2009, an assumption which I have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I infer from Mr. McEwen's evidence that it contemplates an unconditional authorization, which I find would never have been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The Proposed Development was complex and raised legitimate environmental concerns, such as the destruction of fisheries resources, species at risk issues, and wetlands issues. The defendant says that Karel Carhoun admitted that the 2009 Submission was incomplete until the conceptual compensation plan was submitted on January 26, 2011, and that the federal authorities were not able to assess the impact of the Proposed Development, which impacted their determination of whether to issue the s. 35(2) Authorization prior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Mr. McEwen's assumption that the Mission Lands would have sold within a nine-month period in 2010 after the Authorization was issued is unsupported by any evidence, and I accept the evidence of Mr. Jason Pearson, the defendant's real estate appraisal expert, who opined that a realistic marketing period for the Mission Lands would be 12-24 months and possibly longer if the seller was committed to achieving a higher sale price in the event an authorization had been issued sooner than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In reaching his conclusion, Mr. Pearson considered a number of factors, including the timeline and offers received when the Mission Lands were listed for sale in the foreclosure proceedings. Notably, Mr. McEwen did not consider the impact on the plaintiff's financial position if it took longer than nine months for the Mission Lands to sell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Mr. McEwen's report also assumed that the plaintiff would have had access to sufficient financial resources to keep the Authorization in force. He agreed on cross-examination that he did not know what those expenses might have entailed. There is no evidence before me as to the amount of those expenses, or how the plaintiff could have financed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This assumption ignores the fact that it had not paid property tax for a considerable period of time, and even if it could have raised some funds, I find that they would have been insufficient to finance the costs of construction of its Proposed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Bullet's financial position cannot be overlooked or minimized. Mr. Louie was the plaintiff's long-time accountant. He gave evidence with respect to the financial status of the plaintiff at the material times involved; the interdependency of the plaintiff's companies; and in particular the financial statements of Carhoun and Son's Enterprises Ltd. and Bullet Enterprises Ltd. that were produced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As Mr. Louie explained it, the plaintiff was using the funds from Bullet to service the plaintiff's debt. Karel Carhoun also agreed that Bullet was the significant revenue generator for the Carhoun corporate group and key to the group's cash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By 2009, the plaintiff was clearly in a weak financial state: it had minimal income, was heavily indebted, and was relying on Bullet, who was also having financial difficulties, for cash flow and to service the plaintiff's debt. Nonetheless, in the subsequent years, the plaintiff did not address its financial circumstances. Instead, it made various business decisions that increased its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In particular, the plaintiff made the decisions to make its 2009 Submission, to continually push the Authorization process forward, and to await the outcome of that process. This course of action required the plaintiff to take on more debt that it leveraged across the Carhoun corporate group and against the personal assets of the Carhoun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In contrast to Mr. McEwen, Mr. Weston provided a formula to calculate damages in this case. Mr. Weston expressed the view that if the defendant is found to have tortiously delayed issuing the Authorization, the plaintiff's loss should be calculated based on the following formula:</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 and other charges that the plaintiff paid in respect of the Mission Lands that it would not have paid had it sold those lands with the Authorization at an earlier point in time; plus,</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the amount of $6,658,000 that the plaintiff was credited for the Mission Lands through the foreclosure proceedings, and the amount that it would have received had it sold the lands at an earlier point in time; minus,</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additional costs that the plaintiff would have had to incur had it sold the Mission Lands at an earlier point in time (the Costs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Based upon this formula, the calculation of the quantum of damages requires a determination of four issues:</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defendant should have issued the Authorization;</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long it would have taken for the Mission Lands to sell;</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much the Mission Lands would have sold for; and</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amounts that the plaintiff would have had to incur to keep the Authorization in force, which would have included at least the cost to purchase and improve the Trout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I find that the timeline for the issuance of the Authorization could not have begun before January 26, 2011, when the plaintiff provided a conceptual compensation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I find that thereafter, due in large measure to the conduct of Mr. Karel Carhoun and the plaintiff's representatives, it was not unreasonable for the DFO not to have provided the plaintiff with the Authorization for it proposed project until May 25,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As indicated above, it would have taken 12-24 months, once listed, for the Mission Lands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I also conclude that even if the Mission Lands could have been sold before they were the subject of the dismissal of the plaintiff's appeal of an order absolute respecting the Mission Lands by Mr. Justice Voith, the amounts that the plaintiff would have had to incur to keep the Authorization in force, and the other financial obligations of the Carhoun corporate group would have far exceeded the sale proceeds of the Mission Lands.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xml:space="preserve">  Despite my conclusions with respect to liability,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damages, I will address the defendant's assertion that the plaintiff failed to mitigate its damages in case my conclusions are disturbed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In the event that the plaintiff's claim in both liability and damages were to have succeeded, the defendant contends that the plaintiff failed to mitigate its losses by failing, on numerous occasions, to pursue opportunities in respect of the Mission Lands or the Sumas Way Property when it clearly lacked sufficient resources to maintain those properties, for example, by paying the property taxes or mortgage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In September 2009, the plaintiff assessed the risks and benefits of selling the Mission Lands for the appraised value of $13.27 million and ultimately concluded it would be "unwise to do so when we are so close and confident about our ability to get DFO and the Ministry of Environment authorization for infilling the ravines".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In June 2010, the plaintiff again considered listing and selling the easily developable six acres located within the Mission Lands, but failed to do so despite defaulting on its loan to CWB. In July 2011, Philip Carhoun responded to potential offers to purchase the Sumas Way Property by conveying that they do not want to sell both the Sumas Way Property and the Mission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The defendant asserts that the plaintiff would not have been satisfied with a negative conclusion to the EA Screening Process. The defendant points out that Karel Carhoun testified that on January 6, 2012, he had a telephone conversation with Diana Trager about the EA Screening Process, and agreed on cross-examination that he understood that had he insisted on an answer to the EA Screening Process on that date, the answer would have been a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However, Karel Carhoun testified that the plaintiff wanted a screening conclusion with reasons to know what the basis was and suggested that it would be odd not to have a discussion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I accept the defendant's submission that Karel Carhoun's testimony shows that the plaintiff was not willing to accept a negative conclusion to the EA Screening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Had the plaintiff accepted any of the series of negative responses it received from DFO from October of 2009 until January 6, 2012, it is possible that it could have mitigated its losses, but I have concluded that even as late as October of 2009, the plaintiff's financial house was in such disarray that the demise of the Carhoun corporate group was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In the result, I find that the plaintiff could not have mitigated the losses that it claimed in the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xml:space="preserve">  The plaintiff contends that the availability of punitive damages for misfeasance, is linked to the debtor and function of the tort tracing that principle back to the tort origins in </w:t>
      </w:r>
      <w:r>
        <w:rPr>
          <w:rFonts w:ascii="arial" w:eastAsia="arial" w:hAnsi="arial" w:cs="arial"/>
          <w:i/>
          <w:color w:val="000000"/>
          <w:sz w:val="20"/>
          <w:lang w:val="en-US" w:eastAsia="en-US" w:bidi="ar-SA"/>
        </w:rPr>
        <w:t>Ashby v. White</w:t>
      </w:r>
      <w:r>
        <w:rPr>
          <w:rFonts w:ascii="arial" w:eastAsia="arial" w:hAnsi="arial" w:cs="arial"/>
          <w:color w:val="000000"/>
          <w:sz w:val="20"/>
          <w:lang w:val="en-US" w:eastAsia="en-US" w:bidi="ar-SA"/>
        </w:rPr>
        <w:t xml:space="preserve"> (1703), 2 Ld. Raym. 938, 92 E.R. 126 (K.B.), where Chief Justice Holt wrote at page 127 that "[i]f public officers will infringe men's rights, that or to pay greater damage than other men, to debtor and hinder other offices from the like offenses". The plaintiff relies on Chief Justice Holt's statement to argue that abuse of power and deliberate unlawfulness should be discouraged and that the need for deterrence is sufficiently strong to warrant "greater damages" than would normally be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Kuddus v. Chief Constable of Liecestershire Constabulary</w:t>
      </w:r>
      <w:r>
        <w:rPr>
          <w:rFonts w:ascii="arial" w:eastAsia="arial" w:hAnsi="arial" w:cs="arial"/>
          <w:color w:val="000000"/>
          <w:sz w:val="20"/>
          <w:lang w:val="en-US" w:eastAsia="en-US" w:bidi="ar-SA"/>
        </w:rPr>
        <w:t>, [2001] U.K.H.L. 29, misfeasance in public office was accepted as an appropriate cause of action for the award of exemplary damages. Lord Hutton explained at para. 79 that the imposition of exemplary damages in cases involving abusive conduct by military or present offices, commented that they serve to "deter such action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The plaintiff contends that misfeasance in public office is squarely within the purposes of punitive damages in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Mr. Justice Binnie summarized the general principles governing awards of punitive damages at para. 94 as follows:</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very much the exception rather than the rule;</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Imposed only if there has been high-handed, malicious, arbitrary or highly reprehensible misconduct that departs to a marked degree from ordinary standards of decent behaviour.</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they are awarded, punitive damages should be assessed in an amount reasonably proportionate to such factors as the harm caused, the degree of the misconduct, the relative vulnerability of the plaintiff and any advantage or profit gained by the defendant.</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regard to any other fines or penalties suffered by the defendant for the misconduct in question.</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generally given only where the misconduct would otherwise be unpunished or where other penalties are or are likely to be inadequate to achieve the objectives of retribution, deterrence and denunciation.</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purpose is not to compensate the plaintiff, but</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give a defendant his or her just desert (retribution), to deter the defendant and others from similar misconduct in the future (deterrence), and to mark the community's collective condemnation (denunciation) of what has happened.</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awarded only where compensatory damages, which to some extent are punitive, are insufficient to accomplish these objectives, and</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given in an amount that is no greater than necessary to rationally accomplish their purpose.</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normally the state would be the recipient of any fine or penalty for misconduct, the plaintiff will keep punitive damages as a "windfall" in addition to compensatory damages.</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Judges and juries in our system have usually found that moderate awards of punitive damages, which inevitably carry a stigma in the broader community, are generally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On the basis of my reasoning above, I reject the submission that the defendant or its employees or representative engaged in high-handed, malicious, arbitrary or highly reprehensible misconduct that departs to a marked degree from ordinary standards of decent behavior.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The defendant asked that the parties be permitted to make submissions on the issue of costs, including the issue of special costs, following the release of the Court's reasons for judgment in this proceeding. This request makes sense in all of the circumstances, and I will permit the parties to make their submissions with respect to costs in writing. The defendant will have three weeks from the date of the release of these reasons for judgment to file and serve its submissions, and the plaintiff will have three weeks from its receipt of the defendant's submissions to file and serve its submissions as to costs. The defendant will then have two weeks from its receipt of the plaintiff's submissions to file and serve and response, if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xml:space="preserve">  In summary, the plaintiff's claim of misfeasance in public office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Attorney General of Canada respecting the manner in which the plaintiff's application for authorization to infill and develop potential fish and wildlife habitat areas under s. 35(2)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xml:space="preserve">  With respect to the tort of misfeasance in public office, I conclude that the plaintiff's failure to submit a detailed and complete compensation plan was a significant barrier to the authorization process. The DFO has considerable discretion when exercising its decision making authority to issue s. 35(2) authorizations and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does not require an RA to automatically embark on an EA when a project proposal is submitted. In this case, the defendant proceeded reasonably. Ultimately, I conclude that Mr. Salomi, Mr. Sciankowy, and Ms. McDonald did not act knowingly or recklessly beyond their powers. I also find that the concept of </w:t>
      </w:r>
      <w:r>
        <w:rPr>
          <w:rFonts w:ascii="arial" w:eastAsia="arial" w:hAnsi="arial" w:cs="arial"/>
          <w:i/>
          <w:color w:val="000000"/>
          <w:sz w:val="20"/>
          <w:lang w:val="en-US" w:eastAsia="en-US" w:bidi="ar-SA"/>
        </w:rPr>
        <w:t>respondeat superior</w:t>
      </w:r>
      <w:r>
        <w:rPr>
          <w:rFonts w:ascii="arial" w:eastAsia="arial" w:hAnsi="arial" w:cs="arial"/>
          <w:color w:val="000000"/>
          <w:sz w:val="20"/>
          <w:lang w:val="en-US" w:eastAsia="en-US" w:bidi="ar-SA"/>
        </w:rPr>
        <w:t xml:space="preserve"> for this misfeasance in public office does not apply to the DFO for their actions. I conclude that they are not liable for any damage claimed by the plaintiff under this alleged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xml:space="preserve">  With respect to the plaintiff's claim that the defendant acted negligently, I conclude that the defendant, through DFO, did owe the plaintiff a duty of care when dealing directly with the plaintiff and its representatives for operational decisions. The standard of care required of the defendant's employees is that of a reasonable person in their line of work. In this case, however, the defendant's conduct did not fall below that standard. The </w:t>
      </w:r>
      <w:r>
        <w:rPr>
          <w:rFonts w:ascii="arial" w:eastAsia="arial" w:hAnsi="arial" w:cs="arial"/>
          <w:i/>
          <w:color w:val="000000"/>
          <w:sz w:val="20"/>
          <w:lang w:val="en-US" w:eastAsia="en-US" w:bidi="ar-SA"/>
        </w:rPr>
        <w:t>CEAA</w:t>
      </w:r>
      <w:r>
        <w:rPr>
          <w:rFonts w:ascii="arial" w:eastAsia="arial" w:hAnsi="arial" w:cs="arial"/>
          <w:color w:val="000000"/>
          <w:sz w:val="20"/>
          <w:lang w:val="en-US" w:eastAsia="en-US" w:bidi="ar-SA"/>
        </w:rPr>
        <w:t xml:space="preserve"> process simply informs the ultimate decision of DFO to ensure there are no significant environmental effects on fish habitat. If that decision can be made without an EA, it should be to avoid unnecessary expenditures and the waste of scarce resources. The plaintiff did not establish that DFO failed to consider or provide advice on issues under its mandate related to the plaintiff's project. The plaintiff also failed to establish that the various agencies consulted by DFO failed to give it proper advice based on the best advice available at the time. In the result, I find that the plaintiff did not establish any breach of the requisite standard of care by Mr. Salomi, Mr. Sciankowy, Ms. McDonald, or DFO.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xml:space="preserve">  I also conclude that, even if the defendant breached the standard of care, the plaintiff has not demonstrated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would not have suffered its claimed losses or that damage was suffered. Given the deficiencies in the plaintiff's submission and lack of a detailed mitigation or compensation plan, the plaintiff did not suffer any damage from the fact that it did not obtain a s. 35(2) exemption for its project on terms that it was prepared to accept. Any such damage was not due to the breach of any duty of an employee or representative of DFO.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xml:space="preserve">  Despite my conclusion about liability, I considered the defendant's assertion that the plaintiff was contributorily negligent and the issue of damages in case my conclusions are disturbed on appeal. With respect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find that if the plaintiff suffered any damage from the fact that it did not obtain a s. 35(2) exemption for its project on terms it was prepared to accept, such damage was entirely due to choices made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Finally, I reject the plaintiff's submission that the defendant, its employees or representative engaged in high-handed, malicious, arbitrary or highly reprehensible misconduct that departs to a marked degree from ordinary standards of decent behavior that would justify ordering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(1) Where an environmental assessment of a project is required, the federal authority referred to in section 5 in relation to the project shall ensure that the environmental assessment is conducted as early as is practicable in the planning stages of the project and before irrevocable decisions are made, and shall be referred to in this Act as the responsible authority in relation to the project.</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responsible authority shall not exercise any power or perform any duty or function referred to in section 5 in relation to a project unless it takes a course of action pursuant to paragraph 20(1)(a) or 37(1)(a).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(1) Where there are two or more responsible authorities in relation to a project, they shall together determine the manner in which to perform their duties and functions under this Act and the regulations.</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disagreement, the Agency may advise responsible authorities and other federal authorities with respect to their powers, duties and functions under this Act and the manner in which those powers, duties and functions may be determined and allocated among them.</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federal authority that is in possession of specialist or expert information or knowledge with respect to a project shall, on request, make available that information or knowledge to the responsible authority or to a mediator or a review panel.</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screening or comprehensive study of a project is to be conducted and a jurisdiction has a responsibility or an authority to conduct an assessment of the environmental effects of the project or any part thereof, the responsible authority may cooperate with that jurisdiction respecting the environmental assessment of the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The role of a federal environmental assessment coordinator is to coordinate the participation of federal authorities in the environmental assessment process for a project where a screening or comprehensive study is or might be required and to facilitate communication and cooperation among them and with provinces, persons or bodies referred to in sections 8 to 10, jurisdictions referred to in paragraph 12(5)(c) or (d) or 40(1)(e) or (f) and other participants.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12.2 The federal environmental assessment coordinator shall</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 federal authorities that are or may be responsible authorities and those that are or may be in possession of specialist or expert information or knowledge with respect to the project are identified;</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coordinate their involvement throughout the environmental assessment process;</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coordinate the responsible authorities' fulfilment of their obligations under subsection 55.3(1), paragraph 55.4(1)(a) and section 55.5;</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federal authorities fulfil their obligations under this Act in a timely manner; and</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coordinate the federal authorities' involvement with other jurisdictions.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12.3 In carrying out duties under section 12.2, the federal environmental assessment coordinator may</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and chair a committee composed of the federal authorities that are or may be responsible authorities for the project and those that are or may be in possession of specialist or expert information or knowledge with respect to the project;</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consulting with the authorities referred to in paragraph (a), establish time lines in relation to the assessment; and</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consultation with the federal authorities that are or may be responsible authorities, determine the timing of any public participation.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12.4 (1) Subject to subsection (3), the federal environmental assessment coordinator for a project is the Agency if</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is subject to the environmental assessment process of another jurisdiction referred to in paragraph 12(5)(a), (c) or (d) or 40(1)(e) or (f); or</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is described in the comprehensive study list.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Subject to subsections (1) and (3), the federal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environmental assessment coordinator for a project is</w:t>
      </w:r>
      <w:r>
        <w:rPr>
          <w:rFonts w:ascii="arial" w:eastAsia="arial" w:hAnsi="arial" w:cs="arial"/>
          <w:sz w:val="20"/>
          <w:lang w:val="en-US" w:eastAsia="en-US" w:bidi="ar-SA"/>
        </w:rPr>
        <w:cr/>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sole responsible authority in relation to the project; or</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more than one responsible authority in relation to the project, the one that is selected by the responsible authorities or, if they have not selected one within a reasonable time, the one that is designated by the Agency.</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person or body other than the coordinator designated under subsections (1) and (2) may assume any of the powers, duties or functions of the federal environmental assessment coordinator except</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Agency, if the responsible authorities referred to in paragraph (2)(b) and the Agency agree; or</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responsible authority, in a case referred to in paragraph (1)(a) or (b), if the Agency and the responsible authority agree.</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greater certainty, agreements contemplated by subsection (3) may apply generally and not be specific to a particular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Every federal authority shall comply in a timely manner with requests and determinations made by the federal environmental assessment coordinator in the course of carrying out its duties or functions.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environmental assessment process includes, where applicable,</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screening or comprehensive study and the preparation of a screening report or a comprehensive study report;</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mediation or assessment by a review panel as provided in section 29 and the preparation of a report; and</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 and implementation of a follow-up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The scope of the project in relation to which an environmental assessment is to be conducted shall be determined by</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responsible authority;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project is in relation to a physical work, an environmental assessment shall be conducted in respect of every construction, operation, modification, decommissioning, abandonment or other undertaking in relation to that physical work that is proposed by the proponent or that is, in the opinion of</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responsible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likely to be carried out in relation to that physical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(1) Every screening or comprehensive study of a project and every mediation or assessment by a review panel shall include a consideration of the following factors:</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environmental effects of the project, including the environmental effects of malfunctions or accidents that may occur in connection with the project and any cumulative environmental effects that are likely to result from the project in combination with other projects or activities that have been or will be carried out;</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significance of the effects referred to in paragraph (a);</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comments from the public that are received in accordance with this Act and the regulations;</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measures that are technically and economically feasible and that would mitigate any significant adverse environmental effects of the project; and</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matter relevant to the screening, comprehensive study, mediation or assessment by a review panel, such as the need for the project and alternatives to the project, that the responsible authority or, except in the case of a screening, the Minister after consulting with the responsible authority, may require to be considered.</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scope of the factors to be taken into consideration pursuant to paragraphs (1)(a), (b) and (d) and (2)(b), (c) and (d) shall be determined</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responsible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(1) A responsible authority may delegate to any person, body or jurisdiction within the meaning of subsection 12(5) any part of the screening or comprehensive study of a project or the preparation of the screening report or comprehensive study report, and may delegate any part of the design and implementation of a follow-up program, but shall not delegate the duty to take a course of action pursuant to subsection 20(1) or 37(1)...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(1) Where a project is not described in the comprehensive study list or the exclusion list made under paragraph 59(c), the responsible authority shall ensure that</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screening of the project is conducted; and</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screening report is prepared.</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available information may be used in conducting the screening of a project, but </w:t>
      </w:r>
      <w:r>
        <w:rPr>
          <w:rFonts w:ascii="arial" w:eastAsia="arial" w:hAnsi="arial" w:cs="arial"/>
          <w:color w:val="000000"/>
          <w:sz w:val="20"/>
          <w:u w:val="single"/>
          <w:lang w:val="en-US" w:eastAsia="en-US" w:bidi="ar-SA"/>
        </w:rPr>
        <w:t>where a responsible authority is of the opinion that the information available is not adequate to enable it to take a course of action pursuant to subsection 20(1), it shall ensure that any studies and information that it considers necessary for that purpose are undertaken or collected...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(1) The responsible authority shall take one of the following courses of action in respect of a project after taking into consideration the screening report and any comments filed pursuant to subsection 18(3):</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subparagraph (c)(iii), where, taking into account the implementation of any mitigation measures that the responsible authority considers appropriate, the project is not likely to cause significant adverse environmental effects, the responsible authority may exercise any power or perform any duty or function that would permit the project to be carried out in whole or in part;</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taking into account the implementation of any mitigation measures that the responsible authority considers appropriate, the project is likely to cause significant adverse environmental effects that cannot be justified in the circumstances, the responsible authority shall not exercise any power or perform any duty or function conferred on it by or under any Act of Parliament that would permit the project to be carried out in whole or in part; or</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uncertain whether the project, taking into account the implementation of any mitigation measures that the responsible authority considers appropriate, is likely to cause significant adverse environmental effects,</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taking into account the implementation of any mitigation measures that the responsible authority considers appropriate, is likely to cause significant adverse environmental effects and paragraph (b) does not apply, or</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concerns warrant a reference to a mediator or a review panel,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responsible authority shall refer the project to the Minister for a referral to a mediator or a review panel in accordance with section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responsible authority takes a course of action pursuant to paragraph (1)(b) in relation to a project, the responsible authority shall publish a notice of that course of action in the Registry and, notwithstanding any other Act of Parliament, no power, duty or function conferred by or under that Act or any regulation made under it shall be exercised or performed that would permit that project to be carried out in whole or in part.</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responsible authority shall not take any course of action under subsection (1) before the 15th day after the inclusion on the Internet site of</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the commencement of the environmental assessment;</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description of the scope of the project; and</w:t>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responsible authority, in accordance with subsection 18(3), gives the public an opportunity to participate in the screening of a project, a description of the factors to be taken into consideration in the environmental assessment and of the scope of those factors or an indication of how such a description may be obtained.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Subject to paragraphs 20(1)(b) and (c), where at any time a responsible authority is of the opinion that</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project, taking into account the implementation of any mitigation measures that the responsible authority considers appropriate, may cause significant adverse environmental effects, or</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concerns warrant a reference to a mediator or a review panel,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responsible authority may request the Minister to refer the project to a mediator or a review panel in accordance with section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(1) Where at any time a responsible authority decides not to exercise any power or perform any duty or function referred to in section 5 in relation to a project that has not been referred to a mediator or a review panel, it may terminate the environmental assessment of the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Where at any time a responsible authority decides not to exercise any power or perform any duty or function referred to in section 5 in relation to a project that has been referred to a mediator or a review panel, the Minister may terminate the environmental assessment of the project.</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at any time the Minister is of the opinion</w:t>
      </w:r>
    </w:p>
    <w:p>
      <w:pPr>
        <w:numPr>
          <w:numId w:val="214"/>
        </w:numPr>
        <w:spacing w:before="120" w:line="260" w:lineRule="atLeast"/>
        <w:jc w:val="both"/>
        <w:rPr>
          <w:rFonts w:ascii="arial" w:eastAsia="arial" w:hAnsi="arial" w:cs="arial"/>
          <w:sz w:val="20"/>
          <w:lang w:val="en-US" w:eastAsia="en-US" w:bidi="ar-SA"/>
        </w:rPr>
      </w:pP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project for which an environmental assessment may be required under section 5, taking into account the implementation of any appropriate mitigation measures, may cause significant adverse environmental effects, or</w:t>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concerns warrant a reference to a mediator or a review panel,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Minister may, after offering to consult with the jurisdiction, within the meaning of subsection 12(5), where the project is to be carried out and after consulting with the responsible authority or, where there is no responsible authority in relation to the project, the appropriate federal authority, refer the project to a mediator or a review panel in accordance with section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(1) When the Minister must, under subsection 32(1), on request, approve the substitution of a process that is followed by the government of a province or any agency or body that is established under an Act of the legislature of a province for an environmental assessment of a designated project, the Governor in Council may, by order and on the Minister's recommendation, exempt the designated project from the application of this Act, if the Governor in Council is satisfied that</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completion of the assessment process, the government or the agency or body determines whether, taking into account the implementation of any mitigation measures that it considers appropriate, the designated project is likely to cause significant adverse environmental effects;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Act, the Minister may</w:t>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 guidelines and codes of practice respecting the application of this Act and the regulations and, without limiting the generality of the foregoing, establish criteria to determine whether a project, taking into account the implementation of any appropriate mitigation measures, is likely to cause significant adverse environmental effects or whether such effects are justified in the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criteria for the purposes of an alternative manner of conducting an assessment of the environmental effects of a project referred to in subsection 46(2) or 47(2); and</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regulations prescribing any project or class of projects for which a comprehensive study is required where the Minister is satisfied that the project or any project within that class is likely to have significant adverse environmental effects.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763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O'Connor v. Wambera, [2018] B.C.J. No. 1023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25-27, 29, October 2-6,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S137919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1023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886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293 A.C.W.S. (3d) 445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C.C.L.T. (4th) 222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1363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Gwendolen Vivian Spalding O'Connor, Plaintiff, and Dr. Katherine Martina Wambera and Dr. Benjamin Kenneth How,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(292 paras.)</w:t>
      </w:r>
    </w:p>
    <w:p>
      <w:pPr>
        <w:jc w:val="both"/>
        <w:rPr>
          <w:rFonts w:ascii="arial" w:eastAsia="arial" w:hAnsi="arial" w:cs="arial"/>
          <w:sz w:val="20"/>
          <w:lang w:val="en-US" w:eastAsia="en-US" w:bidi="ar-SA"/>
        </w:rPr>
      </w:pPr>
      <w:bookmarkStart w:id="19" w:name="Counsel_3"/>
      <w:bookmarkEnd w:id="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0"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John J. Hyde, Christopher Trueman.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Kimberly Jakeman, Joel Morris.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 w:name="Judgment_3"/>
      <w:bookmarkEnd w:id="20"/>
      <w:r>
        <w:pict>
          <v:line id="_x0000_s1041" style="position:absolute;z-index:251713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 w:name="C.E. HINKSON C.J.S.C."/>
            <w:bookmarkEnd w:id="21"/>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25, 2010, the plaintiff, Gwendolen Vivian Spalding O'Connor, suffered a hemorrhagic stroke believed to be from the bleeding of an Arterio Venous Malformation ("AVM") which has left her with brain damage and partial paralysis.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An AVM is a rare and abnormal connection between arteries and veins, without the mediation of the capillary system. It has three components: the feeding arteries; an actual nidus, or the cluster of abnormal vessels; and at least one draining vein. The hallmark of an AVM is that the blood flows through this cluster of vessels without actually passing through very tiny low-resistance vessels like capillaries, so there is a high rate of blood flow and the blood in the draining veins is under higher than normal pressure. Unless the AVM bleeds or causes a seizure, it is usually discovered incidentally in the course of investigations for other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As her AVM was not diagnosed prior to July 25, 2010, the plaintiff commenced these proceedings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defendants' medical diagnosis and treatment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Dr. Benjamin Kenneth How was the plaintiff's general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claim against Dr. How was dismissed without a hearing and by consent pursuant to an order granted by the Registrar of this Court dated December 3,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Dr. Katherine Martina Wambera is a pediatric neurologist. On December 13, 2007, the plaintiff consulted her with respect to complaints of headaches of some duration, and increasing intensity. From now in these reasons, the reference to the defendant refers solely to Dr. Wambera.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to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have come to an agreement on the issue of damages in the event that the plaintiff establishes liability, so the issues before me are with respect to liability only. The plaintiff contends that Dr. Wambera's treatment of her was incomplete and inadequate, and fell below the standard expected of a reasonably competent Pediatric Neurologist. The plaintiff says that the issues to be resolved by me are:</w:t>
      </w:r>
      <w:r>
        <w:rPr>
          <w:rFonts w:ascii="arial" w:eastAsia="arial" w:hAnsi="arial" w:cs="arial"/>
          <w:sz w:val="20"/>
          <w:lang w:val="en-US" w:eastAsia="en-US" w:bidi="ar-SA"/>
        </w:rPr>
        <w:cr/>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appropriate standard of care required of the defendant;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imaging would have revealed the plaintiff's AVM if it had been ordered by the defendant following her consultation by the plaintiff;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intervention that would have been undertaken, if any, if the plaintiff's AVM had been recognized before July 25,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does not suggest that the issues identified by the plaintiff need not be determined, but argues that the second issue identified by the plaintiff requires a more subtle consideration of the following issues: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Wambera should have ordered imaging, what type of imaging should have been ordered?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non-contrast imaging was performed, would it have identified an AVM in this case?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contrast imaging was ordered, would a neuroradiologist have performed that imaging?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says that even if imaging had shown that the plaintiff had an AVM, the further issue of what treatment would have been undertaken requires the determination of the issues of what treatment would have been recommended, and whether a reasonable person in the plaintiff's position would have elected to undergo treatment with knowledge of the risks associated with such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born on March 1, 1994 and has lived with her mother, Melanie O'Connor, in Saanich, British Columbia, for a number of years. She was a very good student, and a successful athlete, participating in soccer, rowing, and competing at the provincial level as a swimmer. She also participated in her community assisting at a seniors' residence and a food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2000 and 2001, when she was in grades 6 and 7, the plaintiff had frequent colds and flus which led her to miss school. The plaintiff's mother gave evidence that the plaintiff went to see a physician on every occasion when she had a cold or flu, and was typically diagnosed with mononucleosis and strep throat.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described having shoulder and knee problems and headaches by the spring of 2007. Her shoulder and knee problems caused her to stop participating in sports. In June of that year, she was investigated for persistent joint pain in her knees and shoulders, frequent colds, flus, respiratory tract infections and sore throats.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mother gave evidence that the plaintiff began having headaches when she was in grades 6 and 7, with more severe headaches starting in late spring of 2007. By then, the plaintiff had almost daily headaches, with more severe headaches with vertigo every three to four weeks. Her mother described the plaintiff's more severe headaches as being of sudden onset, severe, causing the plaintiff to look visibly ill, and requiring her to lay down. The symptoms would reportedly last several days. The plaintiff's mother gave evidence that she was extremely concerned about these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Steven Kent, is a pediatrician who saw the plaintiff in July 2007, and in his consultation report of July 12, 2007, noted that the plaintiff had been sick a lot the preceding couple of years with frequent colds and flus and had missed a fair amount of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recorded her complaints of sore knees and a sore shoulder that had previously been evaluated by a Dr. Backus, and concluded that it was felt that these were competitive swimming-related problems. He noted that since she dropped out of swimming there had been a gradual improvement, and that she was slowly starting to get back to routine activities, and would be trying some new sports, such as rowing. He noted that she had never had obvious swollen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Kent thought that the plaintiff was getting recurring viral and/or bacterial respiratory tract infections of her upper airway. He felt she might have a secondary bacterial rhinosinusitis with her sinus complaints and that it was possible she might have some underlying allergies that may set her up for these problems, so he booked her to come back to his office on the following day to do allergy scratch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respect to her joint complaints, Dr. Kent noted that the working diagnosis was that they had been sports related and that her bloodwork, including screening tests for rheumatologic disease were negative, including rheumatoid factor, CRP, and ANA. He suggested that as the plaintiff got back to normal activities, if she started having troubles with her joints again, he would refer her to Dr. Roxanna Bolaria who was trained in pediatric rheumatologic disease and could see her through an arthritis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Clarke is a physician specializing in pediatric otolaryngology. The parties filed a statement of agreed facts respecting his involvement in the plaintiff's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Clarke saw the plaintiff on July 26, 2007 and November 20, 2007. On the first visit, the plaintiff described a history of sore throat over the preceding two years. In his consultation report dated July 26, 2007, Dr. Clarke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obvious problem that I can see so I'm not exactly sure what is going on. I think we will make arrangements to see her when she is not doing well so I can get a better sense of what is going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Although the plaintiff did not complain to her doctors of headaches between August 28, 2001 and August 24, 2007, she began to complain of headaches of increasing frequency and severity to Dr. How in the late summer and fall of 2007. She described her headaches as of 2007 as "really bad" and stated she needed to lay down when she had a headache, with symptoms lasting for five to seven days. She described that the headaches were accompanied by vertigo, but could not provide any more details regarding her headache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giving up her swimming because of knee and shoulder pain, her condition improved, but when she tried swimming again in fall 2007 the problems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From August 24, 2007 to December 6, 2007, the plaintiff complained of headaches to her doctors on four separate occasions. These complaints, as well as her complaints of joint pain, persuaded Dr. How to include connective tissue disease in his differential diagnosis, and he ordered blood tests to investigate that potential diagnosis. Dr. How also referred the plaintiff to Dr. Bolaria, but she had not seen the plaintiff before the defendant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November 20, 2007, the plaintiff saw Dr. Clarke because of headaches. The plaintiff and her mother reported headaches to Dr. Clarke, but reported no complaints of vertigo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his consultation report following this visit, Dr. Clarke recorded that he had seen the plaintiff in July 2007 for other types of pain in her head and throat area without obvious cause. He stated that he saw no obvious reason for her headaches, but that he thought she might be having migraines and might benefit from a neurologic consultation. He ordered bloodwork to check for an infectious component. The bloodwork came back within normal limits, and the plaintiff did not return to Dr. Clarke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How saw the plaintiff on December 6, 2007, when she reported recurrent headaches for two years, which lasted up to five days. Advil apparently helped for some headaches. Dr. How's impression was that the headaches had been going on for two years, and were not of recent onset. He did a neurological examination and recorded that the plaintiff's pupils were equal and reactive to light, and that her fundi were grossly intact and her reflexes were normal. Dr. How diagnosed tension headaches and referred the plaintiff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met with the plaintiff and her mother once on December 13, 2007. I will discuss that visit and the defendant's diagnosis and treatment advice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the plaintiff's visit to the defendant, her mother expressed continuing concern about her daughter's headaches to Dr. How, suggesting that she undergo an MRI, but Dr. How reassured the plaintiff's mother that based upon the assessment of the defendant, an MRI was unnecessary, and he did not order any further investigations, and apart from some trials of medications and acupuncture, undertook no treatment for the plaintiff's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mother stated she then tried to arrange a private MRI, but could not book one without a doctor's referral for the plaintiff, so took no steps to arrange a referral.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January 16, 2008, after the consultation with the defendant, the plaintiff saw Dr. Bolaria for her knee and shoulder problems. Dr. Bolaria had obtained laboratory testing, dated May 30, 2007, which showed that the plaintiff's CBC and differential count were normal, ESR was normal at 4, C-reactive protein was normal at 0.5. TSH, B12, ferritin were normal, and rheumatoid factor and ANA were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Further test results were available from June 16, 2007, which demonstrated that the plaintiff's CBC and differential count, platelets, Monospot, B12, ferritin were all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mother confirmed that Dr. Bolaria diagnosed patellofemoral syndrome, ordered x-rays for the plaintiff's knee, and determined there was no evidence of inflammatory arthritis. She stated Dr. Bolaria recommended acupuncture for the plaintiff's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headaches continued but did not increase in frequency and severity after 2007 and indeed appeared to become less severe. Thereafter, the plaintiff did not miss school and was able to participate in a number of extracurricular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did see a number of physicians between 2007 and 2010. The plaintiff's mother gave evidence that she would have gone to those physicians if there were any concerns regarding the plaintiff's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January 2008, the plaintiff returned to Dr. How, and for the first time reported abdominal pain. She also reported headaches frontal and back, for two years. Dr. How diagnosed migraine and tension headache, and recommended pain medication for the plaintiff's headaches. The plaintiff's mother filled a prescription for pain medication on only one occasion, and the plaintiff did not continue using pain medication for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mother arranged for the plaintiff to see an acupuncturist between December 2007 and March 2008 at the Pan Zen Healing Centre in Victoria, as she preferred acupuncture over pain medication for the plaintiff's headaches because she understood that there were fewer potential side effects and fewer risks. The acupuncture had a positive effect on her headaches and the plaintiff and her mother reported to Dr. How in March 2008 that acupuncture was helpful. The plaintiff's mother confirmed that after March 2008, she told Dr. How the headaches lessened in severity and she could not recall returning to Dr. How with complaints regarding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end of her grade 10 year in 2010, when she was sixteen, the plaintiff was working to get her swimming instructor and lifeguard certificates for summer employment. Near the end of that week, the third full week of July, the plaintiff told her mother that she felt like something had "moved in my head", but she felt nothing further and paid nor further attention to that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same week, the plaintiff came home one night from a friend's and went to bed. Later that night, her mother heard an unusual noise from the plaintiff's room, and went in to find the plaintiff awake but unable to speak or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was taken by ambulance to the Royal Jubilee Hospital, where she was seen by Dr. Sun, a neurosurgeon.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Pre-operative CT scans revealed a large left temporo-parietal intracerebral hemorrhage. On July 25, 2010, Dr. Sun performed a left craniotomy for the evacuation of the intracerebral hemorrhage and cauterization of what he suspected was an AVM, although no AVM had been identified on pre-operative imaging. In his consultation report, he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INVESTIGATIONS: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reviewed the CT scan and CT angiogram. This did reveal a left hemispheric intracerebral hemorrhage with significant mass effect. The CTA showed a suspicious area that may be consistent with an arterial venous malformation (AVM)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Gwen has likely suffered a left intracerebral hemorrhage secondary to a ruptured AVM. She has not had any history of any problems such as seizures or previous hemorrhages. This is new onset and spontaneous. She will need urgent evacuation of the intracerebral hemorrhage as a life-saving measure. This was discussed with her mother. I did not go into the details of complications related to surgery. Her prognosis is uncertain and will be day to day after the operation. She will likely need a formal cerebral angiogram once stabilized from the evacuation of the hematoma.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Sun's operative report dated July 25, 2010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PREOPERATIVE 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Left intracerebral hemorrhage causing significant mass effect from ruptured arterial venous malformation (AVM).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POSTOPERATIVE 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made an opening into the dura with the brain swelling out. The curvilinear incision was reflected. Immediately after I had opened the dura there was a spurt of CSF through the cortex of the brain at high pressure. After this the brain did decompress slightly. This was in the frontal region.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went into this region and immediately found blood clot. This was acute blood which was removed in a piecemeal fashion. A significant amount was evacuated. Evacuation was accomplished with gentle suction and a grasping forceps.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Underlying this was a bleeding collection of vessels. I did not know where the feeders were or the draining veins. I simply cauterized what I felt was the nidus of an arterial venous malformation (AVM). This did take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Sun has no recollection of his dealings with Ms. O'Connor independent of his consultation and operative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parties filed a statement of agreed facts respecting Dr. Sun, which included a statement that Dr. Sun identified suspicious friable vessels during his operation that, along with the plaintiff's age and the fact she had hemorrhaged, led him to assume the plaintiff's hemorrhage was most likely caused by an AVM; however, he was unable to say with certainty there was an AVM.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agreed statement of facts also states that Dr. Sun was unable to appreciate or estimate the size of the suspected AVM during the operation, and could not say what the size of the suspected AVM was. He expressed the view that the length of time it takes to cauterize vessels does not imply the size of an AVM. In Dr. Sun's experience, generally AVM vessels are difficult to cauterize, regardless of the size of the AVM.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pathology report could have confirmed whether or not there was an AVM, and Dr. Sun's practice was to send something to the department of pathology, only if there was anything to send. Dr. Sun did not obtain a specimen from the operation to send to the department of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Principles of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These principles are clear as set out by Chief Justice McLachlin, for the Court,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 and require that the plaintiff demonstrate: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owed her a duty of care;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behaviour breached the standard of care;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sustained damage;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damage was caused, in fact and in law, by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is clear the plaintiff sustained damage due to the bleeding from what was suspected to be an AVM. While there was some reluctance on the part of the defendant to concede that the plaintiff indeed had an AVM, I find on the balance of probabilities that she did in fact have such a malformation and that it ruptured, causing her to suffer from bleeding into her brain, which in turn led to brain damage and partial paralysis. The third criterion for the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thus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If the plaintiff has proven that her bleeding was due to the rupture of an AVM, and can establish that her damage was caused by a breach of the defendant's required standard of care, the fourth criterion for the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have been met.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clear, and I find, that the defendant owed a duty of care to the plaintiff by virtue of her agreement to see and consult about the plaintiff.</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Standard of Care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The Defendant's History Taking and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I have mentioned above, Dr. Wambera is a pediatric neurologist. The standard of care to be expected of her is that of an ordinary specialist in her specialty, who possesses the reasonable level of knowledge, competence and skill expected of professionals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To support the finding of a breach of the required standard of care, a physician must be guilty of such failure that no other physician with ordinary skill acting with ordinary care would be guilty of. It is not enough for there to be a difference in the opinion of other similarly trained specialists regarding diagnosis. A reasonable physician may differ from another reasonable physician regarding diagnosis; see </w:t>
      </w:r>
      <w:r>
        <w:rPr>
          <w:rFonts w:ascii="arial" w:eastAsia="arial" w:hAnsi="arial" w:cs="arial"/>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[1989] B.C.J. No. 2187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order to determine if the defendant met the requisite standard of care, it is necessary to consider the information that she had available to her before and at the time that she saw the plaintiff, and when she wrote her consultation report to Dr. How, and to then consider the opinions of the pediatric neurologists and others who provided opinions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December 10, 2007, Dr. How referred the plaintiff to the defendant. His referral note stated that the plaintiff was a 13 year-old girl who had had headaches for about two years that had become more frequent and severe, to the point that she had to take several days in a row off school. He reported that a neurological examination had been unremarkable and that previous extensive work up for arthralgia and recurrent pharyngitis had been undertaken. He noted that it was his impression that she had tension headaches by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How included various consultation reports prepared between June to November of 2007, dealing with the plaintiff's continuing complaints of multiple joint pain, colds, flus, sore throats, and headaches, with his referral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accept that the defendant understood from Dr. How's referral letter that the plaintiff had been complaining of headaches for about two years and that they had become more frequent and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only occasion when the defendant saw the plaintiff was on December 13, 2007. The plaintiff's mother attended with her that day. The plaintiff gave evidence that she could not recall her consultation with the defendant, and agreed that she had accurately reported her medical history and her headache symptoms to the defendant. The information about her headaches was vague and her mother then more fully described the plaintiff's symptoms and answered most of the defendant's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plaintiff's mother stated she told the defendant about the plaintiff's headaches, including frequency, severity, vertigo associated with her headaches, family history of headaches, and family history of motion sickness. She stated that she was extremely concerned about her daughter. Not surprisingly, the plaintiff's mother took no notes of the consultation with the defendant and acknowledged that after ten years she might not recall all of the specific details of the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testified that in December of 2007, she was just setting up a new practice in Saanichton after working at BC Children's Hospital, and she had not yet perfected her intake paperwork. She nevertheless testified at length about what she described as her usual practice for patients like the plaintiff, even though that practice had been in operation only since September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Physicians often have a pattern of practice. The Court of Appeal commented upon the value of a professional's evidence regarding standard practice in </w:t>
      </w:r>
      <w:r>
        <w:rPr>
          <w:rFonts w:ascii="arial" w:eastAsia="arial" w:hAnsi="arial" w:cs="arial"/>
          <w:i/>
          <w:color w:val="000000"/>
          <w:sz w:val="20"/>
          <w:lang w:val="en-US" w:eastAsia="en-US" w:bidi="ar-SA"/>
        </w:rPr>
        <w:t>Belknap</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person can say of something he regularly does in his professional life that he invariably does it in a certain way, that surely is evidence and possibly convincing evidence that he did it in that way on the day in question.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Wigmore on Evidence</w:t>
      </w:r>
      <w:r>
        <w:rPr>
          <w:rFonts w:ascii="arial" w:eastAsia="arial" w:hAnsi="arial" w:cs="arial"/>
          <w:color w:val="000000"/>
          <w:sz w:val="20"/>
          <w:lang w:val="en-US" w:eastAsia="en-US" w:bidi="ar-SA"/>
        </w:rPr>
        <w:t xml:space="preserve">, vol. IA (Tillers rev. 1983), states that there is no reason why habit should not be used as evidence either of negligent action or of careful action (para. 97), and that habit should be admissible as a substitute for present recollection. </w:t>
      </w:r>
      <w:r>
        <w:rPr>
          <w:rFonts w:ascii="arial" w:eastAsia="arial" w:hAnsi="arial" w:cs="arial"/>
          <w:i/>
          <w:color w:val="000000"/>
          <w:sz w:val="20"/>
          <w:lang w:val="en-US" w:eastAsia="en-US" w:bidi="ar-SA"/>
        </w:rPr>
        <w:t>Phipson on Evidence</w:t>
      </w:r>
      <w:r>
        <w:rPr>
          <w:rFonts w:ascii="arial" w:eastAsia="arial" w:hAnsi="arial" w:cs="arial"/>
          <w:color w:val="000000"/>
          <w:sz w:val="20"/>
          <w:lang w:val="en-US" w:eastAsia="en-US" w:bidi="ar-SA"/>
        </w:rPr>
        <w:t>, 13th ed. (1982), paras. 9-22, reaches a similar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argument submitted by the plaintiff is that the defendant's "usual practice" would not have been in place in the manner she now describes in the infancy of her non-hospital practice, as evidenced by the lapses in her recording. It was admitted that the defendant made no record of having taken the plaintiff's blood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find that the defendant had developed some form of usual practice by December of 2007, based upon her residency training and her time at Children's Hospital, but I am unable to accept that it was invariable at this early stage of her career. There are, as well, as the plaintiff's mother pointed out, lapses in the recording of what the defendant asserted to be her usual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result, while I do not wholly reject the evidence of either the plaintiff's mother or the defendant as to what each says transpired on December 13, 2007, I am not prepared to prefer the defendant's recollection to that of the plaintiff's mother based upon habit or invariable practice. I do find, however, that the defendant's records and consultation letter are to be preferred over the plaintiff's mother's recollection to the extent that the two vary.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contends that although the defendant interviewed both the plaintiff and her mother and performed a basic neurological exam, she failed to elicit details about the specific onset of the plaintiff's more severe headaches, and information on whether the plaintiff's headaches were continuing to increase in severity, and failed to clarify her symptoms of vertigo, including their timing and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mother testified that the defendant was late for the appointment and that the appointment itself had lasted only 20 minutes, although the defendant, lacking any recollection of this appointment, reconstructed her schedule to suggest the appointment lasted an hour and fifteen minutes. I am not persuaded that the recollection of the duration of the visit by either the plaintiff's mother or the defendant is reliable. Instead, I conclude that the activities described in the defendant's records and consultation report would have required a meeting of more than 20 minutes, but less than one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Following the visit, the defendant provided a consultation letter dated December 16, 2007 to Dr. How. In her consultation report, the defendant confirmed that the plaintiff had been referred to her for chronic daily headaches. She noted that the plaintiff was in grade 8, and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classically a straight A student but is in a new school this year. Since grade 6, Gwen has been having increasingly frequent and severe headaches. This is associated with her looking sick and pale with heavy eyes. She develops bitemporal throbbing pain. She often feel tired and dizzy with the headaches. Occasionally she is nauseous but she does not vomit with the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 recorded that the plaintiff's headaches typically began in the afternoon, and were exacerbated by activity and might improve with sleep. She also noted that the plaintiff did get phono photophobia; light and sound-induced discomfort. The defendant also noted that the plaintiff's headaches had been present most days for approximately one year, and that intermittently, every three to four weeks, she would get much more severe headaches associated with significant vertigo that could last for several days. Two extra strength Tylenol and Advil pills taken at the onset of the headaches were effective if the headaches were mild but not if they were more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also noted the plaintiff's shoulder and knee problems that were thought to be associated with her then abandoned swimming activities. The defendant also noted that the plaintiff's mother had a history of carsickness and one definite migraine, but only rare headaches, and that the plaintiff had a tendency to carsickness. Also noted was that the plaintiff's maternal grandmother also had a history of migraines but that there was no known history of depression, anxiety, or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 wrote that her examination of the plaintiff revealed a normal mental status examination, intact cranial nerves with normal fundi and full visual fields, and normal and symmetrical tone, bulk and strength, and 2+ and symmetrical deep tendon reflexes with down going plantar responses, and that her gait and balance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reported that it was her impression the plaintiff had migraine headaches and transformed migraines to make chronic daily headaches. She suggested riboflavin 400 mg per day for three months to serve as a prophylactic agent. She offered the plaintiff Imitrex 50-100 mg to take at the onset of severe headaches, but at that time, the plaintiff preferred not to try any different medications. The defendant did not order any tests or brain imaging of the plaintiff, nor schedule any follow up appointment, although she advised the plaintiff to return if she wished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mother acknowledged that the defendant told the plaintiff and her that if there were any concerns, they could contact her again. The plaintiff stated she never followed up with the defendant because she had no further concerns with respect to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contends that her presentation to the defendant was complex and required more than simply a diagnosis of the most likely explanation of her headaches, particularly in light of the changing pattern of her headaches, which she alleges was not properly explored by the defendant, and the continuing issue of possible Connective Tissue Disease. The parties each called evidence on this issue from neurologists with impressive credentials.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led evidence from Dr. Gary Stimac, a neuroradiologist. Some of his evidence touched on the standard of care to be expected of the defendant, and to the extent that it did, I prefer the evidence of the neurologists.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adduced evidence from Dr. Donald Cameron, a neurologist, and Dr. Daune MacGregor, a pediatric neurologist, who both stated that the defendant failed to meet the standard of care expected of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 called evidence from Dr. Philip Teal, a neurologist, and Dr. Michael Shevell, a pediatric neurologist, who differed in their views from those of Drs. Cameron and MacGregor and opined that the defendant met her required standard of care in her dealings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Each of these neurologists purported to address matters in issue in this case not only within their area of expertise, but in allied fields as well. I will set out portions of their evidence both within and beyond the scope of their specialty for convenience, but in the areas where they crossed into the domain of other specialties, I will treat their opinions with caution where they differ from other witnesses qualified in those allied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Donald A. Cameron is a Fellow of the Royal College of Physicians and Surgeons of Canada in Neurology; Assistant Professor, Division of Neurology, Department of Medicine, University of British Columbia; Head of Division of Neurology, Department of Medicine, Lion's Gate Hospital; Director, Outpatient Neurological Rehabilitation Program, Lion's Gate Hospital; Director, Electroencephalography Laboratory, Lion's Gate Hospital, and is licensed to practice his specialty in British Columbia and Ontario. His present practice is in North Vancouver, B.C., and he has privileges at Lion's Gate Hospital and Burnaby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Cameron acknowledged he is not a pediatric neurologist, does not treat children, and would not have treated the plaintiff, who was 13 years old at the time she saw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Cameron had the benefit of reviewing and considering the opinions of Dr. Teal, before preparing his own opinion. I will discuss the evidence of Dr. Teal below, but there was at least some common ground between him and Dr. Cameron. In his report dated March 16, 2016, Dr. Cameron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Dr. Teal that Dr. Wambera conducted a competent and thorough history and performed a thorough neurological examination for a patient who is suffering with a complaint of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Daune MacGregor, is a Fellow of the Royal College of Physicians and Surgeons of Canada in both Paediatrics and Neurology and is board certified in the United States in Paediatrics and Neurology with special competence in Child Neurology and a Fellow of the American Academy of Neurology. She is licensed to practice in the Province of Ontario, and is a Professor of Paediatrics (Neurology) at the University of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MacGregor's current appointment is as a staff neurologist at the Hospital For Sick Children in Toronto, where she has completed a one-year term as the Acting Head of the Division of Developmental Paediatrics and a nine-year term as Associate Paediatrician-in-Chief (Clinical) and Associate Chair of Paediatrics. She is a past president of the Canadian Association of Child Neurologists and the current Acting Head of the Division of Clinical Genetics and Metabolics in the Department of Paediatrics at the University of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Teal has specialty qualifications in the fields of both Neurology and in Emergency Medicine from the Royal College of Physicians and Surgeons of Canada. He is licensed to practice medicine in the Province of British Columbia and in the State of California. He previously worked as a full-time emergency physician at the Victoria General Hospital and Royal Jubilee Hospital in Victoria, British Columbia, and as such was frequently involved in the emergency assessment, triage and management of stroke and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His subsequent neurology training was at the University of British Columbia and further subspecialty training in the field of Cerebrovascular Disease was at Tufts University, Boston, MA. He is a Clinical Professor of Neurology at the University of British Columbia, and on active staff at the Vancouver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Teal maintains a tertiary referral practice that encompasses a broad range of general and subspecialty neurology. He has a particular interest in acquired brain injury arising from cerebrovascular diseases and traumatic brain injury. He sees a large volume of hospital-based neurology and is asked to consult on pediatric and adolescent cases involving stroke and cerebrovascular disease, both ischemic and hemorrhagic, as well as headache. He provides cerebrovascular consultations regarding pediatric and adolescent strokes to the neurology service at B.C. Children's Hospital as well as in his clinical office practice. He is the Director of the Stroke Program at Vancouver General Hospital and holds the Sauder Family and Heart and Stroke Foundation of British Columbia Professorship of Clinical Stroke Research. He is involved in medical education at the medical-student level, resident level, and postgraduate level and lectures locally, nationally and internationally.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his report of June 15, 2015, Dr. Teal expressed his opinion that Dr. Wambera conducted a competent and thorough history and performed a thorough neurologic examination appropriate to the presenting complaint of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 also stated that it was his opinion that the defendant's neurologic history was appropriate to her presenting complaint in that she established the profile and pattern of the plaintiff's headaches. He expressed the further opinion that the neurologic examination, which recorded a normal funduscopic examination, served to rule out increased intracranial pressure, and that the general examination was normal with no markers for any underlying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Teal concluded that the diagnosis of migraine arrived at by the defendant was reasonable and appropriate based on the history provided, the neurological examination, and the diagnostic criteria for migraine, and that the defendant's recommendations and treatment plan for the plaintiff's headaches and willingness to re-evaluate the plaintiff as required were appropriate and within the standard of care for neurological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Shevell is a Pediatric Neurologist board certified as such by the Corporation Professionnelle des Medecins du Quebec, the Royal College of Physicians and Surgeons of Canada and the American Board of Psychiatry and Neurology. He also has held a subspecialty certification in Neurodevelopmental Disabilities from the American Board of Psychiatry and Neurology. He is a tenured Professor in the Departments of Neurology/Neurosurgery and Pediatrics at McGill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Shevell is an attending staff physician and past Director of the Division of Pediatric Neurology at the Montreal Children's Hospital-McGill University Health Centre ("MCH-MUHC") and is presently the Chairman of the Department of Pediatrics at McGill University and Pediatrician in Chief at MCH-MUHC.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Shevell expressed his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Wambera's history taking and physical examination was most indeed appropriate to the presenting complaint of headaches of long-standing duration. Dr. Wambera correctly posed questions to raise the possibility of any "red-flag" that would merit further detailed investigation. The physical examination was the standard one that should be undertaken in a neurologic assessment of all adolescent patients and was sufficient to pick-up any physical signs of raised intracranial pressure or the lateralizing findings that would be suggestive of potential intracranial pathology. The history taking and physical examination was sufficient in my opinion to render a precise neurologic diagnosis to explain the patient's then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think that Dr. Wambera's follow up approach was indeed reasonable. She did advise the patient to return if there were any deterioration or progression in the headache symptoms. This did not in fact occur and indeed the patient's headaches improved with the intervention of acupuncture. Some neurologists recommend a regular follow up two to three months after initial visit for migrainous headaches. If this indeed this had been arranged, there would have been no worrisome findings as the clinical notes from Dr. How document an improvement and indeed resolution of the headache symptoms in the interval subsequent to the December 2007 consultation with the neurologist.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I find, as an experienced Pediatric Neurologist practicing in an academic university setting throughout his career, that Dr. Wambera's care is most certainly in keeping with what I would expect from a neurologist and from those neurologists I have personally trained over the years (n=40).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MacGregor acknowledged that Dr. Shevell, the defendant's pediatric neurologist expert, would have taken the same approach that the defendant took in this case, and agreed that that approach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MacGregor also conceded that the defendant's follow-up plan was one of a number of reasonable approaches.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that the defendant's history taking and examination of the plaintiff has the support of her peers and was commensurate with the requisite standard of care.</w:t>
      </w:r>
      <w:r>
        <w:rPr>
          <w:rFonts w:ascii="arial" w:eastAsia="arial" w:hAnsi="arial" w:cs="arial"/>
          <w:sz w:val="20"/>
          <w:lang w:val="en-US" w:eastAsia="en-US" w:bidi="ar-SA"/>
        </w:rPr>
        <w:cr/>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Differential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MacGregor agreed that the defendant's diagnosis of migraine with chronic daily headaches was correct. She also agreed that she would not have included AVM in her own differential diagnosis, had she seen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But Dr. MacGregor expressed her opinion that the defendant ought to have included chronic daily headache - episodic migraine type, headache secondary to cerebral vasculitis/arteritis and chronic intracranial hypertension in her differential diagnosis. Dr. MacGregor would have included vasculitis and connective tissue disease in her differential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Teal explained how rare these conditions are in pediatric patients. By the time of the defendant's consultation with the plaintiff, she had had multiple negative tests for vasculitis and connective tissue disease and no clinical findings of these conditions. One might therefore expect that the likelihood of the plaintiff's headaches being caused by vasculitis and connective tissue disease would have been even more remote than vascular malformation.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her report of August 22, 2015, Dr. MacGregor also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commented in prior reports that I am critical of Dr. Wambera's approach in that she failed to establish a clear differential between primary headache disorders such as migraine and secondary headache disorders - this is a particularly problematic omission as there was absence of attention to the associated neurological symptomatology (dizziness and vertigo) and I disagree with Dr. Teal that this was not a worrisome headache pattern. A family history of migraine headaches is not uncommon but does assist in establishing the diagnosis of a primary headache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experience in managing paediatric and adolescent headache disorders for over 25 years, this child's very complex history and the presence of neurological symptomatology embedded in her headache pain, is clearly an indication for imaging. It is of note that Dr. Teal mentions associated features which could suggest neurologic dysfunction but fails to give recognition to the vertiginous symptomatology.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her addendum report dated October 26, 2016, she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once again address the issue of what specific concerns should have been addressed by the paediatric neurologist assessing this child in December, 2007. I will reiterate that Gwendolen was a child with a chronic headache disorder which had been persistent and there were intermittent more severe headaches associated with significant vertigo. In the assessment of headaches to determine whether one is dealing with a primary headache disorder or a secondary headache disorder, the determination of "red flag" symptomatology is very important and in this child's case, in my opinion, should have triggered diagnostic imaging. It is my opinion that a paediatric neurologist with a duty of care towards a patient should insure that a chronic headache with frequent exacerbation headache pain has been evaluated for treatable neurological or neurosurgical disorders.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differential diagnosis had I seen this child in December, 2007 and obtained the discussed historical details and completed a neurological examination would have been as follows: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chronic daily headache - episodic migraine type</w:t>
      </w:r>
      <w:r>
        <w:rPr>
          <w:rFonts w:ascii="arial" w:eastAsia="arial" w:hAnsi="arial" w:cs="arial"/>
          <w:color w:val="000000"/>
          <w:sz w:val="20"/>
          <w:lang w:val="en-US" w:eastAsia="en-US" w:bidi="ar-SA"/>
        </w:rPr>
        <w:t xml:space="preserve"> - this diagnosis would be of a form of primary headache disorder however, there needed to be the recognition of the "red flag" issue of embedded neurological symptomatology. This required MRI and MRA scanning for clarification of the diagnosis and reassurance in proceeding with treatment planning.</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headache secondary to cerebral vasculitis/ arteritis</w:t>
      </w:r>
      <w:r>
        <w:rPr>
          <w:rFonts w:ascii="arial" w:eastAsia="arial" w:hAnsi="arial" w:cs="arial"/>
          <w:color w:val="000000"/>
          <w:sz w:val="20"/>
          <w:lang w:val="en-US" w:eastAsia="en-US" w:bidi="ar-SA"/>
        </w:rPr>
        <w:t xml:space="preserve"> - there was recognition of associated systemic symptoms which included joint pain/arthralgia. It would have been of value to consider work-up for autoimmune disorders such as systemic lupus arteriosis and thus MRI and MRA scanning would be of value had there been chronic inflammatory markers. It is possible that conventional angiography would have been required if this was to be the working diagnosis given that MRI/MRA does not image distal small vessels.</w:t>
      </w:r>
    </w:p>
    <w:p>
      <w:pPr>
        <w:numPr>
          <w:numId w:val="1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chronic intracranial hypertension</w:t>
      </w:r>
      <w:r>
        <w:rPr>
          <w:rFonts w:ascii="arial" w:eastAsia="arial" w:hAnsi="arial" w:cs="arial"/>
          <w:color w:val="000000"/>
          <w:sz w:val="20"/>
          <w:lang w:val="en-US" w:eastAsia="en-US" w:bidi="ar-SA"/>
        </w:rPr>
        <w:t xml:space="preserve"> - the chronicity of this child's headaches with intermittent exacerbation in the absence of papilledema should have triggered a request for MRV studies to rule out signs of chronic increased intracranial pressure (jugular bulb compression).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not have included an arteriovenous malformation in my differential diagnosis at the time of this first presentation. Nevertheless, a request for the appropriate diagnostic imaging in the form of MRI/MRA/MRV would have in all likelihood determined that 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Paediatric neurologists are taught that it is satisfactory in headache management to conduct a neurological examination which if normal, allows one to proceed with treatment and not to further investigate. That approach is applied to children who meet criteria for migraine or migraine with aura - which this child did not. There was access to MRI scanning with MRA/MRV study available across Canada in 2007 and as I have indicated, in my opinion, a paediatric neurologist caring for a child with this presentation would order brain imaging to plan for treatment and for reassurance for the child and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her supplementary report dated May 8, 2017, she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has been considerable debate with regard to treatment of unruptured arteriovenous malformations (S.R Al-Shai, White BM, Council et al - Outcomes after conservative management or intervention for unruptured arteriovenous malformations (JAMA 2014: 3(11): 16: 161-169). Critique of these studies by Dr. Robert Friedlander (University of Pittsburgh) is that the point is not treating an AVM but rather curing an AVM. Dr. Freelander has written that grade 1 and 2 AVMs can be treated with expert hands with a high degree of safety and efficiency. Grade 3 brain AVMs (based on the Speltzer-Martin criteria) are in a grey zone.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Dr. Wamberra [sic] correctly identified this disorder as chronic daily headache but failed to recognized [sic] what are considered to be "red flags" in this case despite notating those features in her consultation. In my opinion, there was clear indication for imaging in this child with chronic daily headache which is described (with less accuracy) as transformed migraine by Dr. Wamberra [sic]. This child had headaches with increasing frequency and severity. There was an association of systemic symptoms which included joint pain involving the shoulders, hips and knees with chest pain and fatigue. It is noted that investigations to June of 2007 had been negative. There was also report of dizziness and vertigo. It is noted that vertigo was considered as an exception to the decision to not conduct diagnostic imaging in chronic daily headache although it is recognized that vertigo as part of acute exacerbation can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Her view was shared to some extent by Dr. Cameron. In his letter of March 16, 2016, Dr. Cameron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However Dr. Wambera did not consider the differential diagnosis for common migraine headache as documented in her consultation report of December 16, 2007. Essentially there was no consideration of any alternate possible diagnosis or etiology of the recurrent headaches that had been dating back for several years in the case of Ms. O'Connor.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Dr. Wambera did not consider connective tissue disease or vasculitis in the differential diagnosis in the case of Ms. O'Connor. It is the case that recurrent bloodwork may have to be undertaken in patients with joint discomfort or muscular discomfort or pain associated with headaches, as the parameters with respect to vasculitis or connective tissue diseases may be negative initially and then become positive at a later date. Dr. Wambera did not consider this condition in the differential diagnosis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in summary, it is my opinion that Dr. Wambera did meet the standard of care with respect to the neurological history and neurological examination of Dr. Wambera in that one also must consider migraine headaches in the case of Ms. O'Connor on December 13, 2007, but it is my opinion that Dr. Wambera did not meet the standard of care in following through with her neurological assessment of Ms. O'Connor specifically regarding a differential diagnosis and evaluation and assessment which would involve ordering appropriate investigations for alternate etiologies of the headaches in the case of Ms.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Cameron was the only expert witness who said he would have included AVM in his differential diagnosis. He explained that its inclusion would have been based simply on the fact that she had a headache: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Correct. The usual - - the three main presentations - - well four main presentations with regards to AVM, regardless of age: Recurrent headache, focal seizure, generalized seizure, neurological deficit of an occupied space and presses on brain. They get focal weakness, focal sensory complaints, or - - this is unruptured hemorrhages. AVMs. If they hemorrhage then it's an abrupt presentation. Usually strong headache, may have seizures and focal neurological deficits all at once. So those are the - - the different 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am unable to accept this reasoning. The plaintiff had an unruptured AVM when she saw the defendant, but had no history of focal seizure, generalized seizure or neurological deficit of an occupied space. I will deal with Dr. Cameron's view of her headache pattern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is unnecessary to speculate about what would have been revealed by blood work after the defendant's consultation with the plaintiff. It is clear from the plaintiff's historic blood work and Dr. Bolaria's consultation in January 2008 that blood work would have been normal, and thus the defendant's alleged failure to order further bloodwork played no causative role in the rupture of the plaintiff's AVM.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Shevell expressed his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neurologic diagnosis that could be generated by the history and physical examination obtained by Dr. Wambera is that of underlying migraine headaches. There is no other plausible diagnosis that unites all the clinical features and the normal physical examination as documented. This is the correct diagnosis at the time of the consultation which was in December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Insofar as the defendant's failure to engage in a differential diagnosis and arrange for a follow-up visit or visits, Dr. Teal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my opinion it was not necessary for Dr. Wambera to discuss the possibility of a connective tissue disease or a connective tissue disease-related cause for her headaches. No inflammatory connective tissue disorders were identified by several physicians evaluating her for muscular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Miss O'Connor was subsequently evaluated by Dr. Bolaria, a pediatrician with expertise in rheumatology, in January 2008. Dr. Bolaria felt tire musculoskeletal complaints were due to an overuse syndrome and patellofemoral syndrome. Dr. Bolaria did not feel there was evidence of an inflammatory arthritis and bloodwork was negative. There was no evidence for a connective tissue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also note that I did not discuss the possibility of cerebral aneurysms in the differential diagnosis as, again, although aneurysms can present with headaches, the occurrence of chronic headaches over two years would be so atypical for cerebral aneurysm that I would not have considered it as a priority on the list of differential diagnoses for Miss O'Connor's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his evidence at trial, Dr. Redekop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do not include a list of a differential diagnosis. I don't think it's effective to reproduce a list that any physician can get by going to a textbook. I think your job as a neurologist is to try to ascertain what you most probably think is happening based on the information you have. If there are any other possibilities that you are considering then you perhaps should list them, but you should not list all the potential causes for a particular symptom.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risk that was to be considered in this case was not the risk of the plaintiff's AVM rupturing, but rather the risk that her history and symptomatology required her pediatric neurologist to explore the possibility that she had a condition other than transformed headache resulting in chronic daily headache that caused her symptoms, or that her symptoms required testing that might have incidentally shown that she had an AVM.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dangers of evaluating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 based on hindsight are well recognized as they tend to colour all aspects of the assessment of medical care and can influence the fair and reasonable assessment of that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Lapointe v. Hôpital Le Gardeur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xml:space="preserve"> at 362-363, Madam Justice L'Heureux Dubé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judgment from </w:t>
      </w:r>
      <w:r>
        <w:rPr>
          <w:rFonts w:ascii="arial" w:eastAsia="arial" w:hAnsi="arial" w:cs="arial"/>
          <w:i/>
          <w:color w:val="000000"/>
          <w:sz w:val="20"/>
          <w:lang w:val="en-US" w:eastAsia="en-US" w:bidi="ar-SA"/>
        </w:rPr>
        <w:t>Hôpital général de la région de l'Amiante</w:t>
      </w:r>
      <w:r>
        <w:rPr>
          <w:rFonts w:ascii="arial" w:eastAsia="arial" w:hAnsi="arial" w:cs="arial"/>
          <w:color w:val="000000"/>
          <w:sz w:val="20"/>
          <w:lang w:val="en-US" w:eastAsia="en-US" w:bidi="ar-SA"/>
        </w:rPr>
        <w:t xml:space="preserve"> indicates, courts should be careful not to rely upon the perfect vision afforded by hindsight. In order to evaluate a particular exercise of judgment fairly, the doctor's limited ability to foresee future events when determining a course of conduct must be borne in mind. Otherwise, the doctor will not be assessed according to the norms of the average doctor of reasonable ability in the same circumstances, but rather will be held accountable for mistakes that are apparent only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have concluded that at least some of Dr. MacGregor's opinions suffer from an unwitting influence derived from a retrospective analysis of what the defendant could have done in the context of the plaintiff eventually suffering a hemorrhage. I therefore place greater weight on the views expressed by Drs. Teal and Shevell as to the appropriate differential diagnosis for the plaintiff in December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Where a specialist physician follows an accepted or standard practice of her peers, in all but rare exceptions such as those discussed in </w:t>
      </w:r>
      <w:r>
        <w:rPr>
          <w:rFonts w:ascii="arial" w:eastAsia="arial" w:hAnsi="arial" w:cs="arial"/>
          <w:i/>
          <w:color w:val="000000"/>
          <w:sz w:val="20"/>
          <w:lang w:val="en-US" w:eastAsia="en-US" w:bidi="ar-SA"/>
        </w:rPr>
        <w:t>Anderson v. Chasney et al.</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[1949] M.J. No. 54</w:t>
        </w:r>
      </w:hyperlink>
      <w:r>
        <w:rPr>
          <w:rFonts w:ascii="arial" w:eastAsia="arial" w:hAnsi="arial" w:cs="arial"/>
          <w:color w:val="000000"/>
          <w:sz w:val="20"/>
          <w:lang w:val="en-US" w:eastAsia="en-US" w:bidi="ar-SA"/>
        </w:rPr>
        <w:t xml:space="preserve">, such following will usually meet the expected standard of care. As Mr. Justice Sopinka wrote for the majority in </w:t>
      </w:r>
      <w:r>
        <w:rPr>
          <w:rFonts w:ascii="arial" w:eastAsia="arial" w:hAnsi="arial" w:cs="arial"/>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paras. 38-39: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 As L'Heureux-Dubé J. stated in </w:t>
      </w:r>
      <w:r>
        <w:rPr>
          <w:rFonts w:ascii="arial" w:eastAsia="arial" w:hAnsi="arial" w:cs="arial"/>
          <w:i/>
          <w:color w:val="000000"/>
          <w:sz w:val="20"/>
          <w:lang w:val="en-US" w:eastAsia="en-US" w:bidi="ar-SA"/>
        </w:rPr>
        <w:t>Lapointe</w:t>
      </w:r>
      <w:r>
        <w:rPr>
          <w:rFonts w:ascii="arial" w:eastAsia="arial" w:hAnsi="arial" w:cs="arial"/>
          <w:color w:val="000000"/>
          <w:sz w:val="20"/>
          <w:lang w:val="en-US" w:eastAsia="en-US" w:bidi="ar-SA"/>
        </w:rPr>
        <w:t xml:space="preserve">, in the context of the Quebec </w:t>
      </w:r>
      <w:r>
        <w:rPr>
          <w:rFonts w:ascii="arial" w:eastAsia="arial" w:hAnsi="arial" w:cs="arial"/>
          <w:i/>
          <w:color w:val="000000"/>
          <w:sz w:val="20"/>
          <w:lang w:val="en-US" w:eastAsia="en-US" w:bidi="ar-SA"/>
        </w:rPr>
        <w:t>Civil Code</w:t>
      </w:r>
      <w:r>
        <w:rPr>
          <w:rFonts w:ascii="arial" w:eastAsia="arial" w:hAnsi="arial" w:cs="arial"/>
          <w:color w:val="000000"/>
          <w:sz w:val="20"/>
          <w:lang w:val="en-US" w:eastAsia="en-US" w:bidi="ar-SA"/>
        </w:rPr>
        <w:t xml:space="preserve"> (at pp. 363-64):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number of available methods of treatment from which medical professionals must at times choose, and the distinction between error and fault, </w:t>
      </w:r>
      <w:r>
        <w:rPr>
          <w:rFonts w:ascii="arial" w:eastAsia="arial" w:hAnsi="arial" w:cs="arial"/>
          <w:color w:val="000000"/>
          <w:sz w:val="20"/>
          <w:u w:val="single"/>
          <w:lang w:val="en-US" w:eastAsia="en-US" w:bidi="ar-SA"/>
        </w:rPr>
        <w:t>a doctor will not be found liable if the diagnosis and treatment given to a patient correspond to those recognized by medical science at the time, even in the face of competing theories</w:t>
      </w:r>
      <w:r>
        <w:rPr>
          <w:rFonts w:ascii="arial" w:eastAsia="arial" w:hAnsi="arial" w:cs="arial"/>
          <w:color w:val="000000"/>
          <w:sz w:val="20"/>
          <w:lang w:val="en-US" w:eastAsia="en-US" w:bidi="ar-SA"/>
        </w:rPr>
        <w:t xml:space="preserve">. As expressed more eloquently by André Nadeau in "La responsabilité médicale" (1946), 6 </w:t>
      </w:r>
      <w:r>
        <w:rPr>
          <w:rFonts w:ascii="arial" w:eastAsia="arial" w:hAnsi="arial" w:cs="arial"/>
          <w:i/>
          <w:color w:val="000000"/>
          <w:sz w:val="20"/>
          <w:lang w:val="en-US" w:eastAsia="en-US" w:bidi="ar-SA"/>
        </w:rPr>
        <w:t>R. du B</w:t>
      </w:r>
      <w:r>
        <w:rPr>
          <w:rFonts w:ascii="arial" w:eastAsia="arial" w:hAnsi="arial" w:cs="arial"/>
          <w:color w:val="000000"/>
          <w:sz w:val="20"/>
          <w:lang w:val="en-US" w:eastAsia="en-US" w:bidi="ar-SA"/>
        </w:rPr>
        <w:t>. 153, at p. 155: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[Translation] The courts do not have jurisdiction to settle scientific disputes or to choose among divergent opinions of physicians on certain subjects. </w:t>
      </w:r>
      <w:r>
        <w:rPr>
          <w:rFonts w:ascii="arial" w:eastAsia="arial" w:hAnsi="arial" w:cs="arial"/>
          <w:color w:val="000000"/>
          <w:sz w:val="20"/>
          <w:u w:val="single"/>
          <w:lang w:val="en-US" w:eastAsia="en-US" w:bidi="ar-SA"/>
        </w:rPr>
        <w:t>They may only make a finding of fault where a violation of universally accepted rules of medicine has occurred. The courts should not involve themselves in controversial questions of assessment having to do with diagnosis or the treatment of preference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(7th ed. 1987), Professor Fleming observed the following with respect to the role of standard practice, at p. 109:</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Conformity</w:t>
      </w:r>
      <w:r>
        <w:rPr>
          <w:rFonts w:ascii="arial" w:eastAsia="arial" w:hAnsi="arial" w:cs="arial"/>
          <w:color w:val="000000"/>
          <w:sz w:val="20"/>
          <w:lang w:val="en-US" w:eastAsia="en-US" w:bidi="ar-SA"/>
        </w:rPr>
        <w:t xml:space="preserve"> with general practice, on the other hand, usually dispels a charge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tends to show what others in the same "business" considered sufficient, that the defendant could not have learnt how to avoid the accident by the example of others, that most probably no other practical precautions could have been taken, and that the impact of an adverse judgment (especially in cases involving industry or a profession) will be industry-wide and thus assume the function of a "test case". </w:t>
      </w:r>
      <w:r>
        <w:rPr>
          <w:rFonts w:ascii="arial" w:eastAsia="arial" w:hAnsi="arial" w:cs="arial"/>
          <w:color w:val="000000"/>
          <w:sz w:val="20"/>
          <w:u w:val="single"/>
          <w:lang w:val="en-US" w:eastAsia="en-US" w:bidi="ar-SA"/>
        </w:rPr>
        <w:t>Finally, it underlines the need for caution against passing too cavalierly upon the conduct and decision of experts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the same, even a common practice may itself be condemned as negligent </w:t>
      </w:r>
      <w:r>
        <w:rPr>
          <w:rFonts w:ascii="arial" w:eastAsia="arial" w:hAnsi="arial" w:cs="arial"/>
          <w:color w:val="000000"/>
          <w:sz w:val="20"/>
          <w:u w:val="single"/>
          <w:lang w:val="en-US" w:eastAsia="en-US" w:bidi="ar-SA"/>
        </w:rPr>
        <w:t>if fraught with obvious risks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emphases added by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Brimacombe v. Mathews</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2001 BCCA 206</w:t>
        </w:r>
      </w:hyperlink>
      <w:r>
        <w:rPr>
          <w:rFonts w:ascii="arial" w:eastAsia="arial" w:hAnsi="arial" w:cs="arial"/>
          <w:color w:val="000000"/>
          <w:sz w:val="20"/>
          <w:lang w:val="en-US" w:eastAsia="en-US" w:bidi="ar-SA"/>
        </w:rPr>
        <w:t xml:space="preserve"> at paras. 75, 77 (leave to appeal refused </w:t>
      </w:r>
      <w:hyperlink r:id="rId236" w:history="1">
        <w:r>
          <w:rPr>
            <w:rFonts w:ascii="arial" w:eastAsia="arial" w:hAnsi="arial" w:cs="arial"/>
            <w:i/>
            <w:color w:val="0077CC"/>
            <w:sz w:val="20"/>
            <w:u w:val="single"/>
            <w:shd w:val="clear" w:color="auto" w:fill="FFFFFF"/>
            <w:lang w:val="en-US" w:eastAsia="en-US" w:bidi="ar-SA"/>
          </w:rPr>
          <w:t>[2001] S.C.C.A. No. 325</w:t>
        </w:r>
      </w:hyperlink>
      <w:r>
        <w:rPr>
          <w:rFonts w:ascii="arial" w:eastAsia="arial" w:hAnsi="arial" w:cs="arial"/>
          <w:color w:val="000000"/>
          <w:sz w:val="20"/>
          <w:lang w:val="en-US" w:eastAsia="en-US" w:bidi="ar-SA"/>
        </w:rPr>
        <w:t>), Chief Justice McEachern held in a case of two reasonable options or approaches, as long as the defendant physician follows one of the two reasonable courses, he or she cannot be characterized in law to have breached his or her duty of care. Where there are different schools of thought accepted within the profession the test is not whether something better or different should or could have been done, but whether the physician failed to measure up to the standards of the profession.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But what we have here is a decision by a qualified and experienced obstetrician to get this baby delivered as quickly as possible by successfully exhorting the mother to resume pushing, which she did. Apparently, Dr. Braithwaite would have accepted the risks of arm and head entrapment by applying traction. That might have saved precious seconds, but it also may have made matters worse. The evidence is replete with references to different schools of thought about how to deliver babies in normal and abnormal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With respect, the trial judge does not seem to have applied the correct test to determining liability as explained in the authorities such as </w:t>
      </w:r>
      <w:r>
        <w:rPr>
          <w:rFonts w:ascii="arial" w:eastAsia="arial" w:hAnsi="arial" w:cs="arial"/>
          <w:i/>
          <w:color w:val="000000"/>
          <w:sz w:val="20"/>
          <w:lang w:val="en-US" w:eastAsia="en-US" w:bidi="ar-SA"/>
        </w:rPr>
        <w:t>Korn</w:t>
      </w:r>
      <w:r>
        <w:rPr>
          <w:rFonts w:ascii="arial" w:eastAsia="arial" w:hAnsi="arial" w:cs="arial"/>
          <w:color w:val="000000"/>
          <w:sz w:val="20"/>
          <w:lang w:val="en-US" w:eastAsia="en-US" w:bidi="ar-SA"/>
        </w:rPr>
        <w:t xml:space="preserve"> and the cases cited in that decision. There is no doubt that this was a troubled delivery from the three-minute mark. On one side, there were signs of distress and on the other side there were indications, such as the heart monitor, that the problem could be solved by having the mother continue to push. The test is not whether something better or different should or could have been done, or whether a satisfactory result was finally achieved, but whether the defendant failed to measure up to the standards of his profession. I find strong support that Dr. Mathews met the standards of the profession in the evidence of both Dr. Farquharson and Dr. Connors quoted above and in other important passages set out in the Appendix.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 contends, and I accept that if the evidence establishes more than one recognised and accepted body of medical opinion, a physician is not negligent if they adhere to one accepted school of 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Maynard v. West Midlands Regional Health Authority</w:t>
      </w:r>
      <w:r>
        <w:rPr>
          <w:rFonts w:ascii="arial" w:eastAsia="arial" w:hAnsi="arial" w:cs="arial"/>
          <w:color w:val="000000"/>
          <w:sz w:val="20"/>
          <w:lang w:val="en-US" w:eastAsia="en-US" w:bidi="ar-SA"/>
        </w:rPr>
        <w:t xml:space="preserve"> (1983), [1984] 1 W.L.R. 634, [1985] 1 All E.R. 635 (H.L.), the evidence of the medical experts disagreed as to the wisdom of the steps taken by the defendants. At page 638, Lord Scarman, with whom all of the Lordships agreed,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think that the words of Lord President Clyde in </w:t>
      </w:r>
      <w:r>
        <w:rPr>
          <w:rFonts w:ascii="arial" w:eastAsia="arial" w:hAnsi="arial" w:cs="arial"/>
          <w:i/>
          <w:color w:val="000000"/>
          <w:sz w:val="20"/>
          <w:lang w:val="en-US" w:eastAsia="en-US" w:bidi="ar-SA"/>
        </w:rPr>
        <w:t>Hunter v. Hanley</w:t>
      </w:r>
      <w:r>
        <w:rPr>
          <w:rFonts w:ascii="arial" w:eastAsia="arial" w:hAnsi="arial" w:cs="arial"/>
          <w:color w:val="000000"/>
          <w:sz w:val="20"/>
          <w:lang w:val="en-US" w:eastAsia="en-US" w:bidi="ar-SA"/>
        </w:rPr>
        <w:t>, 1955 S.L.T. 213, 217 can be bettered: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realm of diagnosis and treatment there is ample scope for genuine difference of opinion and one man clearly is not negligent merely because his conclusion differs from that of other professional men . . . The true test for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diagnosis or treatment on the part of a doctor is whether he has been proved to be guilty of such failure as no doctor of ordinary skill would be guilty of if acting with ordinary care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only add that a doctor who professes to exercise a special skill must exercise the ordinary skill of his speciality;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And further at page 638: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Differences of opinion and practice exist, and will always exist, in the medical as in other professions. There is seldom any one answer exclusive of all others to problems of professional judgment. A court may prefer one body of opinion to the other: but that is not basis for a conclusion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And at p. 639: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Lords, even before considering the reasons given by the majority of the Court of Appeal for reversing the findings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have to say that a judge's 'preference' for one body of distinguished professional opinion to another also professionally distinguished is not sufficient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practitioner whose actions have received the seal of approval of those whose opinions, truthfully expressed, honestly held, were not preferred. If this was the real reason for the judge's finding, he erred in law even though elsewhere in his judgment he stated the law correctly. For in the realm of diagnosis and treatment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established by preferring one respectable body of professional opinion to another. Failure to exercise the ordinary skill of a doctor (in the appropriate speciality, if he be a specialist)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Agate v. Burrows</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[1988] B.C.J. No. 586</w:t>
        </w:r>
      </w:hyperlink>
      <w:r>
        <w:rPr>
          <w:rFonts w:ascii="arial" w:eastAsia="arial" w:hAnsi="arial" w:cs="arial"/>
          <w:color w:val="000000"/>
          <w:sz w:val="20"/>
          <w:lang w:val="en-US" w:eastAsia="en-US" w:bidi="ar-SA"/>
        </w:rPr>
        <w:t xml:space="preserve"> (S.C.), Mr. Justice Trainor made the following comments with respect to diagnostic errors and the use of judgment in considering the value of further testing: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each diagnosis, the exercise of reasonable care, skill and judgment is required. A mistaken diagnosis may not be a negligent one. A mistaken diagnosis becomes a negligent one if the mistake results from a failure to exercise reasonable care, skill and judgment. It can result from the failure to collect necessary factual data through appropriate tests or a patient's history. However, the obligation to have a further test done is a question of medical judgment to be exercised on the basis of information then available and the possible gain or additional information which might be learned from such a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One cannot retrospectively prefer one accepted school of thought over another. In </w:t>
      </w:r>
      <w:r>
        <w:rPr>
          <w:rFonts w:ascii="arial" w:eastAsia="arial" w:hAnsi="arial" w:cs="arial"/>
          <w:i/>
          <w:color w:val="000000"/>
          <w:sz w:val="20"/>
          <w:lang w:val="en-US" w:eastAsia="en-US" w:bidi="ar-SA"/>
        </w:rPr>
        <w:t>Fairley v. Waterman, et al</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2002 BCSC 10</w:t>
        </w:r>
      </w:hyperlink>
      <w:r>
        <w:rPr>
          <w:rFonts w:ascii="arial" w:eastAsia="arial" w:hAnsi="arial" w:cs="arial"/>
          <w:color w:val="000000"/>
          <w:sz w:val="20"/>
          <w:lang w:val="en-US" w:eastAsia="en-US" w:bidi="ar-SA"/>
        </w:rPr>
        <w:t xml:space="preserve"> at paras. 11 and 42, Mr. Justice Wong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circumstances where there are two competing and acceptable schools of thought the law is quite clear that adherence to either school (i.e. non-intervention versus intervention) is an acceptable standard of care, and a simple clinical misjudgment cannot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 The law is clear that an error in clinical judgment cannot be seen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when there are two separate schools of thought in respect of a medical issue adherence to one of those schools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even if, in retrospect, adherence to that school of thought is erroneous. The case law is clear; one cannot prefer one school of thought over another on a retrospective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Rogers v. Grypma</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2001 ABQB 958</w:t>
        </w:r>
      </w:hyperlink>
      <w:r>
        <w:rPr>
          <w:rFonts w:ascii="arial" w:eastAsia="arial" w:hAnsi="arial" w:cs="arial"/>
          <w:color w:val="000000"/>
          <w:sz w:val="20"/>
          <w:lang w:val="en-US" w:eastAsia="en-US" w:bidi="ar-SA"/>
        </w:rPr>
        <w:t xml:space="preserve"> at paras. 260-262, Mr. Justice Lutz quoted from </w:t>
      </w:r>
      <w:r>
        <w:rPr>
          <w:rFonts w:ascii="arial" w:eastAsia="arial" w:hAnsi="arial" w:cs="arial"/>
          <w:i/>
          <w:color w:val="000000"/>
          <w:sz w:val="20"/>
          <w:lang w:val="en-US" w:eastAsia="en-US" w:bidi="ar-SA"/>
        </w:rPr>
        <w:t>Kehler v. Myles</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(1986), 74 A.R. 259</w:t>
        </w:r>
      </w:hyperlink>
      <w:r>
        <w:rPr>
          <w:rFonts w:ascii="arial" w:eastAsia="arial" w:hAnsi="arial" w:cs="arial"/>
          <w:color w:val="000000"/>
          <w:sz w:val="20"/>
          <w:lang w:val="en-US" w:eastAsia="en-US" w:bidi="ar-SA"/>
        </w:rPr>
        <w:t xml:space="preserve"> (Q.B.), aff'd </w:t>
      </w:r>
      <w:hyperlink r:id="rId241" w:history="1">
        <w:r>
          <w:rPr>
            <w:rFonts w:ascii="arial" w:eastAsia="arial" w:hAnsi="arial" w:cs="arial"/>
            <w:i/>
            <w:color w:val="0077CC"/>
            <w:sz w:val="20"/>
            <w:u w:val="single"/>
            <w:shd w:val="clear" w:color="auto" w:fill="FFFFFF"/>
            <w:lang w:val="en-US" w:eastAsia="en-US" w:bidi="ar-SA"/>
          </w:rPr>
          <w:t>1988 ABCA 350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260 Furthermore, in </w:t>
      </w:r>
      <w:r>
        <w:rPr>
          <w:rFonts w:ascii="arial" w:eastAsia="arial" w:hAnsi="arial" w:cs="arial"/>
          <w:i/>
          <w:color w:val="000000"/>
          <w:sz w:val="20"/>
          <w:lang w:val="en-US" w:eastAsia="en-US" w:bidi="ar-SA"/>
        </w:rPr>
        <w:t>Kehler</w:t>
      </w:r>
      <w:r>
        <w:rPr>
          <w:rFonts w:ascii="arial" w:eastAsia="arial" w:hAnsi="arial" w:cs="arial"/>
          <w:color w:val="000000"/>
          <w:sz w:val="20"/>
          <w:lang w:val="en-US" w:eastAsia="en-US" w:bidi="ar-SA"/>
        </w:rPr>
        <w:t xml:space="preserve"> the Alberta Court of Appeal, referring to </w:t>
      </w:r>
      <w:r>
        <w:rPr>
          <w:rFonts w:ascii="arial" w:eastAsia="arial" w:hAnsi="arial" w:cs="arial"/>
          <w:i/>
          <w:color w:val="000000"/>
          <w:sz w:val="20"/>
          <w:lang w:val="en-US" w:eastAsia="en-US" w:bidi="ar-SA"/>
        </w:rPr>
        <w:t>Maynard</w:t>
      </w:r>
      <w:r>
        <w:rPr>
          <w:rFonts w:ascii="arial" w:eastAsia="arial" w:hAnsi="arial" w:cs="arial"/>
          <w:color w:val="000000"/>
          <w:sz w:val="20"/>
          <w:lang w:val="en-US" w:eastAsia="en-US" w:bidi="ar-SA"/>
        </w:rPr>
        <w:t>, held at 106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necessitated dismissal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simply because honest and competent experts disagree over a doctor's diagnosis or treatment. Disagreement notwithstanding the only question to be answered remains: Has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been established under proof, by a preponderance of evidence, that the specialist failed to possess or to exercise a reasonable degree of learning or skill possessed by the average specialist in the field.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261 When a trial judge is faced with two sets of very qualified experts testifying to the presence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not acceptable to declare a tie and the tie goes to the doctor. The medical community could simply produce experts to testify conduct was appropriate and therefore dictate who would and who would not be negligent. On the contrary, it is the duty of a trial judge to weigh the opinions of the experts who testify and to select the theories which in his or her view are most consistent with the evidence and the requisite burden of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262 Therefore, based on the evidence presented, it is my duty to carefully assess the theories regarding placement of the graft and size of the graft. If after weighing the evidence I am satisfied that the preponderance of evidence goes to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it is my task to make that finding, not the medical experts'. I am not obliged to blindly reject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simply because experts appear on both sides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While this reasoning may be apposite where the disagreement can be resolved by factual findings, it cannot be utilized to resolve controversial questions of assessment having to do with diagnosis or the treatment of preference as Sopinka J. explained in t</w:t>
      </w:r>
      <w:r>
        <w:rPr>
          <w:rFonts w:ascii="arial" w:eastAsia="arial" w:hAnsi="arial" w:cs="arial"/>
          <w:i/>
          <w:color w:val="000000"/>
          <w:sz w:val="20"/>
          <w:lang w:val="en-US" w:eastAsia="en-US" w:bidi="ar-SA"/>
        </w:rPr>
        <w:t>er Neuzen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One cannot dispute the wisdom of the comments of Madam Justice Sharma in </w:t>
      </w:r>
      <w:r>
        <w:rPr>
          <w:rFonts w:ascii="arial" w:eastAsia="arial" w:hAnsi="arial" w:cs="arial"/>
          <w:i/>
          <w:color w:val="000000"/>
          <w:sz w:val="20"/>
          <w:lang w:val="en-US" w:eastAsia="en-US" w:bidi="ar-SA"/>
        </w:rPr>
        <w:t>Brodeur v. Provincial Health Services Authority</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2016 BCSC 968</w:t>
        </w:r>
      </w:hyperlink>
      <w:r>
        <w:rPr>
          <w:rFonts w:ascii="arial" w:eastAsia="arial" w:hAnsi="arial" w:cs="arial"/>
          <w:color w:val="000000"/>
          <w:sz w:val="20"/>
          <w:lang w:val="en-US" w:eastAsia="en-US" w:bidi="ar-SA"/>
        </w:rPr>
        <w:t xml:space="preserve"> at para. 107, where she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care must also be sensitive to the degree of risk. Where a doctor has, or ought to have, knowledge of a particular risk, that standard of care is greater. Justice Holmes explains this in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2009 BCSC 386</w:t>
        </w:r>
      </w:hyperlink>
      <w:r>
        <w:rPr>
          <w:rFonts w:ascii="arial" w:eastAsia="arial" w:hAnsi="arial" w:cs="arial"/>
          <w:color w:val="000000"/>
          <w:sz w:val="20"/>
          <w:lang w:val="en-US" w:eastAsia="en-US" w:bidi="ar-SA"/>
        </w:rPr>
        <w:t xml:space="preserve"> at para. 49, aff'd </w:t>
      </w:r>
      <w:hyperlink r:id="rId244"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that a physician must provide will take into account all the factors affecting or potentially affecting the life and health of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am persuaded that the opinions of Drs. Shevell and Teal represent one accepted school of thought as to the acceptable standard of care by the defendant with respect to her differential diagnosis and follow-up with the plaintiff, and that the defendant has therefore met the requisite standard of care with respect thereto.</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Neuroimaging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decision of the Manitoba Court of Appeal in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was revisited by Mr. Justice Hope in the context of the alleged failure on the part of physicians to avail themselves of the scientific means and facilities open to them for the collection of the best factual data upon which to arrive at their diagnoses, in </w:t>
      </w:r>
      <w:r>
        <w:rPr>
          <w:rFonts w:ascii="arial" w:eastAsia="arial" w:hAnsi="arial" w:cs="arial"/>
          <w:i/>
          <w:color w:val="000000"/>
          <w:sz w:val="20"/>
          <w:lang w:val="en-US" w:eastAsia="en-US" w:bidi="ar-SA"/>
        </w:rPr>
        <w:t>Bergen Estate v. Sturgeon General Hospital District No. 100</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[1984] A.J. No. 2575</w:t>
        </w:r>
      </w:hyperlink>
      <w:r>
        <w:rPr>
          <w:rFonts w:ascii="arial" w:eastAsia="arial" w:hAnsi="arial" w:cs="arial"/>
          <w:color w:val="000000"/>
          <w:sz w:val="20"/>
          <w:lang w:val="en-US" w:eastAsia="en-US" w:bidi="ar-SA"/>
        </w:rPr>
        <w:t xml:space="preserve"> (Q.B.). Recognizing that it was "not a case where an exotic or rare disease is involved making diagnosis very difficult by reason of its rareness", at paras. 28-29, Hope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Here it is not that a wrong diagnosis was made; for everyone will make mistakes. Here it is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these parties evidenced by their respective omissions and failures, some of which I have outlined; a failure to use the available time and facilities to take what appears to me to be </w:t>
      </w:r>
      <w:r>
        <w:rPr>
          <w:rFonts w:ascii="arial" w:eastAsia="arial" w:hAnsi="arial" w:cs="arial"/>
          <w:color w:val="000000"/>
          <w:sz w:val="20"/>
          <w:u w:val="single"/>
          <w:lang w:val="en-US" w:eastAsia="en-US" w:bidi="ar-SA"/>
        </w:rPr>
        <w:t>comparatively routine tests, steps and consultations</w:t>
      </w:r>
      <w:r>
        <w:rPr>
          <w:rFonts w:ascii="arial" w:eastAsia="arial" w:hAnsi="arial" w:cs="arial"/>
          <w:color w:val="000000"/>
          <w:sz w:val="20"/>
          <w:lang w:val="en-US" w:eastAsia="en-US" w:bidi="ar-SA"/>
        </w:rPr>
        <w:t xml:space="preserve"> which would have proved that the diagnosis was wrong. Coyne, J.A., again in the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case said at p. 87: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Neglect of such simple, obvious and reasonable precautions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defendant Chasney. He did not exercise a fair, reasonable and competent degree of care when he omitted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realize that in the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case the court was considering whether leaving a sponge in the patient after an operation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Further, I realize that the court was speaking of something easily understood by ordinary individuals; namely the counting of sponges; however, I am of the opinion that the principles of law I have above quoted are equally applicable to this case. This opinion of mine appears to be supported in </w:t>
      </w:r>
      <w:r>
        <w:rPr>
          <w:rFonts w:ascii="arial" w:eastAsia="arial" w:hAnsi="arial" w:cs="arial"/>
          <w:i/>
          <w:color w:val="000000"/>
          <w:sz w:val="20"/>
          <w:lang w:val="en-US" w:eastAsia="en-US" w:bidi="ar-SA"/>
        </w:rPr>
        <w:t>Wade v. Nayerneuiri</w:t>
      </w:r>
      <w:r>
        <w:rPr>
          <w:rFonts w:ascii="arial" w:eastAsia="arial" w:hAnsi="arial" w:cs="arial"/>
          <w:color w:val="000000"/>
          <w:sz w:val="20"/>
          <w:lang w:val="en-US" w:eastAsia="en-US" w:bidi="ar-SA"/>
        </w:rPr>
        <w:t xml:space="preserve"> et al. quoted in Legal Medical Quarterly, vol. II, no. 1, 1978, p. 67, where Stark, J., is quoted as saying at p. 71: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cases have established that an erroneous diagnosis does not alone determine the physician's liability. But if the physician, as an aid to diagnosis, does not avail himself of the scientific means and facilities open to him for the collection of the best factual data upon which to arrive at his diagnosis, does not accurately obtain the patient's history, does not avail himself in this particular case of the need for referral to a neurologist, does not perform the stiff neck tests and the lumbar puncture tests, the net result is not an error in judgment but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Of course the doctor was acting in good faith but he failed in the ways in which I have indicated in not being more conscious of the grave symptoms that stood out before him and which were urged upon him by the patient's condition and by the information conveyed to him by his wife. I do not consider that his duty was performed by allowing Wade to leave in the condition in which he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Ordinary common sense must dictate that when you are dealing with a life-threatening malady that has been brought to your attention for the purpose of ruling it out, you do not ignore these precautions in the face of such signs, symptoms and information. Again, Coyne, J.A., in the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case says at pp. 86-87: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Ordinary common sense dictates that when simple methods to avoid danger have been devised, are known, and are available, non-users with fatal results, cannot be justified by saying that others had been following the same old, less careful practice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Chow (Litigation guardian of) v. Wellesley Hospital</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[1999] O.J. No. 279</w:t>
        </w:r>
      </w:hyperlink>
      <w:r>
        <w:rPr>
          <w:rFonts w:ascii="arial" w:eastAsia="arial" w:hAnsi="arial" w:cs="arial"/>
          <w:color w:val="000000"/>
          <w:sz w:val="20"/>
          <w:lang w:val="en-US" w:eastAsia="en-US" w:bidi="ar-SA"/>
        </w:rPr>
        <w:t xml:space="preserve"> (Gen Div), Lissaman J. stated at para. 192:</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also exists a duty to thoroughly investigate a patient's condition and to properly inform oneself of this condition. The court in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 </w:t>
      </w:r>
      <w:hyperlink r:id="rId89"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supra, adopt the decision of </w:t>
      </w:r>
      <w:r>
        <w:rPr>
          <w:rFonts w:ascii="arial" w:eastAsia="arial" w:hAnsi="arial" w:cs="arial"/>
          <w:i/>
          <w:color w:val="000000"/>
          <w:sz w:val="20"/>
          <w:lang w:val="en-US" w:eastAsia="en-US" w:bidi="ar-SA"/>
        </w:rPr>
        <w:t>Rann v. Twitchell</w:t>
      </w:r>
      <w:r>
        <w:rPr>
          <w:rFonts w:ascii="arial" w:eastAsia="arial" w:hAnsi="arial" w:cs="arial"/>
          <w:color w:val="000000"/>
          <w:sz w:val="20"/>
          <w:lang w:val="en-US" w:eastAsia="en-US" w:bidi="ar-SA"/>
        </w:rPr>
        <w:t>, (1909), 82, Vt. 79 at 84 on this point: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is not to be judged by the result, nor is he to be held liable for an error in judgment.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to be determined by reference to the pertinent facts existing at the time of his examination and treatment, of which he knew, or in the exercise of due care, should have known. It may consist in a failure to apply the proper remedy upon a correct determination of existing physical conditions, or it may precede that and result from a failure to properly inform himself of these conditions. If the latter, then it must appear that he had a reasonable opportunity for examination and that the true physical conditions were so apparent that they could have been ascertained by the exercise of the required degree or care and skill (p.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 gave evidence that she never ordered an MRI with MRA/MRV unless there were features of migraine with hemiplegia (MRA) or known vascular abnormalities that required a secondary assessment on the suggestion of radiology (MRV).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her evidence at trial, the defendant explained that in 2007 she was following the American Academy of Neurology 2002 Practice Parameter regarding appropriate investigation of patients with recurrent headaches, from which she understood that routine neuroimaging was not indicated in children with recurrent headache and normal neurological examination. It was her understanding from this Practice Parameter that risk factors which required consideration of neuroimaging included recent onset of severe headaches in the preceding month, papilledema, abnormal neurological findings, historical features of neurological dysfunction, and absence of history of migraine. The defendant further understood from that Practice Parameter that for patients with a recent onset of severe headaches within the last six months and an abnormal neurological examination, for example, raised intracranial pressure, neuroimaging would also be considered, but that neuroimaging was not indicated in the context of headache with associated vertigo.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There was no evidence the plaintiff's vertigo was ever independent of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Cameron agreed that it was likely that the plaintiff was suffering from recurrent benign tension headaches, or recurrent migraine headaches, or recurrent headaches associated with flu-like infections. Dr. Cameron never suggested the plaintiff's vertigo was an indication for neuroimaging, nor did he include increased intracranial pressure on his list of differential diagnoses. He stated that he could not agree with Dr. MacGregor's opinion that it was necessary for the defendant to order more than CT imaging. He described that opinion as going "too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his report dated March 16, 2016, Dr. Cameron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the American Academy of Neurology policy regarding reasons for further investigations, specifically either CT or MRI investigation in a child or adolescent with headache. As Dr. Teal has outlined in his report and as is outlined in the policy section of the American Academy of Neurology, neuro-imaging should be considered in children in whom there is a historical feature to suggest recent onset of severe headache or change in type of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his evidence at trial, Dr. Cameron reiterated the three policy criteria to be considered in deciding to order neuroimaging in children: historical features to suggest the recent onset of severe headache, change in the type of headache, or if there were associated features that suggest neurologic dysfunction. He confirmed that it was the third of the recommended considerations that applied to the plaintiff, and that it was his assumption that the plaintiff's headaches continued to worsen over time that he relied upon in reaching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Cameron confirmed the American Academy of Neurology Guidelines do not mandate neuroimaging in these circumstances nor do they obviate the need for clinical judgment and agreed these Guidelines state that neuroimaging is not indicated for recurrent headaches with normal neurological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It was Dr. Cameron's opinion that there was no requirement to order neuroimaging because of potential vasculitis or connective tissue disease. On Dr. Cameron's evidence, vasculitis and connective tissue disease never would have led to neuroimaging. Instead, he stated that vasculitis and connective tissue disease warranted further blood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his report dated March 16, 2016, Dr. Cameron also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Teal indicated in his report that at the time of Dr. Wambera's assessment of Ms. O'Connor, the headaches were not specifically changing, therefore she did not warrant a CT brain scan. However the headaches developed and had changed in pattern during the two year interval up to the date of Dr. Wambera's assessment of Ms. O'Connor or, in other words, prior to the assessment of Dr. Wambera, the neurologist, the patient who was suffering with a neurological condition, specifically recurrent headache, was suffering with an increased pattern involving increase or change in pattern of headaches with increased frequency and severity of headaches. This pattern of headache does fulfill the American Academy of Neurology guidelines regarding whether or not this patient should have further investigations and especially a CT brain scan and/or an MRI brain scan. Ms. O'Connor should have had a CT brain scan and/or an MRI brain scan performed to investigate a possible differential diagnosis regarding the provisional diagnosis or probable diagnosis of migraine headache in this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With respect, I am not persuaded that this criticism of the defendant is tenable. Dr. Cameron based his opinion regarding ordering imaging on two assumptions; first, that the plaintiff had a change in the pattern of her headache, with increasingly frequent and severe headaches when she saw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his evidence in chief, Dr. Cameron stated that he probably would have ordered a CT scan because of a change in pattern of headaches, which he described as "progressive" and "continued to worsen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He expressed the view that the defendant should have ordered CT or MRI investigation, based on his assumption the plaintiff was suffering with "increasingly frequent and severe headaches," and "with an increased pattern involving increase or change in pattern of headaches with increased frequency and severity of headaches" up to the date of Dr. Wambera's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Cameron's assumption regarding increasingly frequent and severe headaches is inconsistent with the preponderance of the evidence regarding the plaintiff's headache pattern. The plaintiff reported headaches of two years duration. Her mother stated that the plaintiff's headaches began in grade 6, and that her headache pattern starting in spring 2007 was almost daily headaches, with more severe headaches every three to four weeks. I prefer the evidence of the plaintiff's mother on this point that the change in the headaches occurred "probably in the late spring of 2007, in the summer particularly". This was at least some months before the plaintiff's consultation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On the information available to the defendant when she saw the plaintiff in December of 2007, there was a long-standing pattern of headaches with no evidence of a recent onset of severe headaches, progressively worsening headaches, or a change in the type of headaches immediately leading up to the consultation. Dr. How confirmed he was not concerned about the plaintiff's headaches having any secondary cause and they were not progressively worsening.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second assumptive basis for Dr. Cameron's opinion regarding ordering imaging was that the plaintiff had been suffering with intermittent headaches since five years of age and "Ms. O'Connor started developing recurrent headaches at the age of five", which was simply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Like Dr. Cameron, Dr. MacGregor is of the view that the defendant failed to meet the requisite standard of care in her consultation and dealings with the plaintiff for some of the same reasons as Dr. Cameron, and for additional reasons as well. She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child who has headaches which have complicating neurological symptomatology such as this child described in keeping with dizziness or vertigo, should have had a neuroimaging procedure. The fact that her neurological examination was normal does not preclude the fact that she could have had some form of intracranial mass - either a tumor or a vascular malformation which should have been ruled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this child should have had neuroimaging studies given the presentation of chronic, headache - it would have been acceptable to do CT scanning which would have revealed the arteriovenous malformation but the gold standard for evaluating this child's case would have been MRI scanning with MRA and MRV. It is my opinion that Dr. Wambera did not meet the standard of care expected by a paediatric neurologist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her report of August 22, 2015, Dr. MacGregor reiterated much of what she had written in her two earlier reports of May 18, 2014 and April 1, 2015. Within these reports, in discussing the possibility of headache caused by an AVM,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headaches associated with arteriovenous malformations are well-recognized as a symptom of abnormalities of intracranial vessels. The headaches are thought to be caused by high flow through the arteriovenous malformation and are often very similar to migraine. The headaches as triggered by arteriovenous malformation may in actual fact be a form of migraine. It is recognized that a sudden very severe headache can be caused by bleeding from an arteriovenous malformation.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summary, this child had presented with headaches which were recurrent and considered to be a form of chronic daily headache with associated neurological symptomatology including dizziness and vertigo. She then presented with an acute intracranial hemorrhage in July, 2010. This required emergency neurosurgical intervention for removal of intraparenchymal hemorrhage (left craniectomy). CT scanning done on admission showed a large acute hematoma in the left cerebral hemisphere. Subsequent cerebral angiogram (August 9, 2010) was normal and failed to demonstrate an arteriovenous malformation or aneurysm.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MacGregor agreed in cross-examination that there were no guidelines requiring imaging in the plaintiff's circumstances. She also agreed there is no absolute rule for ordering neuroimaging with a presentation of headache, and that whether imaging is required is based on the clinical judgment of the physician. She confirmed there are no guidelines or practice parameters for pediatric neurology that mandate ordering MRI with MRA/MRV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MacGregor agreed Dr. Shevell's approach to this case was a reasonable approach. Dr. MacGregor subscribes to a school of thought that would have imaged the plaintiff, but Dr. Teal and Dr. Shevell subscribe to a school of thought that would not have imaged the plaintiff on the information available to and the examination performed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Teal also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with Dr. MacGregor's assessment that most headaches accompanied by dizziness or vertigo require neuroimaging. This is particularly true in the setting of headaches that meet the criteria for migraine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Miss O'Connor's headache profile, including the occasional accompanying symptom of vertigo, did not raise significant "red flags" or fulfill suggested criteria for neuroimaging. Dr. Wambera conducted a competent history to identify headache features consistent with the diagnosis of migraine. Neurologic examination did not reveal any evidence of neurologic dysfunction. It remains my opinion that Dr. Wambera's decision not to arrange for neuroimaging was appropriate to the clinical circumstances and to authoritative practice guidelines.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completely with Dr. MacGregor's assertion that Dr. Wambera should have launched into a discussion regarding a wide range of uncommon neurological conditions that have headache as part of their clinical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it is unreasonable to expect a physician to discuss a wide range of diagnoses that do not fit the clinical picture nor is an expanded review of unlikely causes for headaches part of the normal consultative report to a family physician.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auscultation of the head for the detection of a cranial bruit (the "whooshing" sound of pulsatile blood flow), in the absence of a subjective complaint of a pulsatile bruit, is not part of the standard neurologic examination. The suggestion by Dr. MacGregor that the failure of Dr. Wambera to auscultate for bruits represents a deficiency in clinical assessment is unreasonable. Skull auscultation is not part of the routine neurological examination in individuals with a history of chronic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it is my opinion it is highly unlikely that Dr. Wambera would have heard a pulsatile bruit over the cranium. Pulsatile bruits are best heard in patients who report the symptom of pulsatile or pulse- synchronous tinnitus, in other words, the patient can hear the bruit. Skull bruits are most commonly heard in patients with significant dural AV fistulas, a different condition than AVM. It would be extraordinarily uncommon to hear a pulsatile bruit due to a small-or medium-sized AVM. There is no evidence that the vascular malformation present in Miss O'Connor was large enough to have produced a bruit that would have been transmitted to the skull in an audible fashion.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with Dr. MacGregor's contention that episodes of vertigo represented a worrisome symptom. It is my opinion the vertigo was part of her migraine headache pattern and did not represent a worrisome symptom.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it is highly unlikely that the vertigo associated with Miss O'Connor's episodic flare-ups of migraines was related to the AVM. True vertigo is uncommonly associated with hemispheric lesions in the area of Miss O'Connor's hemorrhage and presumed AVM.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Teal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Dr. Wambera's history and examination were well within the standard of care for a neurologist evaluating an adolescent with headache. The history was consistent with the diagnosis of migraine headache and did not reveal worrisome headache patterns. The neurologic examination was recorded as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there was not an indication for neuroimaging with either a CT brain scan or an MRI brain scan, based on the history of Ms. O'Connor's headaches, the headache profile, and the normal neurological examination. There was no clinical indication for vascular imaging of the blood vessels of the brain.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diagnosis of recurrent headaches which occur commonly in children and adolescents, is based on clinical features rather than diagnostic imaging.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Ms. O'Connor's headache profile at the time of Dr. Wambera's assessment was consistent with migraine headache. A normal neurologic examination was recorded. There was no history of seizures, focal neurologic deficits, or alteration in level of consciousness.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Dr. Wambera's decision not to request neuroimaging was well within the accepted standards of care and authoritative practice parameters.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was Dr. Shevell's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Vertigo or dizziness is not a recognized red flag to proceed to neuro-imaging in the setting of headaches that have other migrainous features. Vertigo and dizziness are subjective symptoms that are quite common in the context of migraines.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mentioned above and below, I would not consider imaging at that time of the December 2007 consultation given the clinical information generated and the normal physical examination. However, if imaging had been ordered, the specific imaging ordered would likely have been either a CT or MRI scan without contrast or angiography. Whether it would be a CT or an MR that would be ordered would depend on availability and waiting lists in the local vicinity of Vancouver Island at the time of December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Shevell explained in cross-examination that "red flags" need to be put into context, not in isolation, before making a decision whether imaging is necessary or not. He commented that a pediatric neurologist's diagnosis usually relies on clinical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response to Dr. Cameron's opinion regarding a changing pattern of headache, Dr. Shevell explained that change refers to a "crescendo increase in headache frequency" or a "marked alteration in [headache]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am left, therefore, with what I accept to be the honestly and firmly held, but opposing views of physicians, whose expertise I accept as to the standard of care that was expected of the defendant in her interactions with the plaintiff. As with the standard of care to be expected of a specialist with the defendant's training, with respect to her differential diagnosis and follow-up with the plaintiff, I am persuaded that the opinions of Drs. Shevell and Teal represent one accepted school of thought as to the acceptable standard of care by the defendant as to whether or not to order neuroimaging, and conclude that the defendant has therefore met the requisite standard of care with respect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Although my findings with respect to the first issue identified by the plaintiff are sufficient to dispose of the plaintiff's claim, I will nonetheless address the other issues raised by the parties in case my decision is appealed.</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Whether imaging would have revealed the plaintiff's AVM</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If Dr. Wambera should have ordered imaging, what type of imaging should have been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I have explained, unlike the treatment of opinions of experts on standard of care, it is necessary for a trier of fact to do the best that he or she can in determining the factual issues upon which the experts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Alluding to her earlier reports, and in response to Dr. Teal's report of June 15, 2015, Dr. MacGregor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your correspondence of September 26, 2016 you have asked that I comment once again with regard to the type of diagnostic imaging that should have been ordered when this child presented. This child should have had the appropriate study for this type of headache investigation which would have been a head MRI scan with MRA and MRV. This study would have had the greatest likelihood of identifying the vascular malformation (given that it was visible at the time of the neurosurgical procedure it quite likely would have been visualized with MRA study). Head CT scanning might also have been of value with the use of contrast imaging. The resolution of MRI scanning would be better than of CT scanning.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Insofar as the factual assumptions underlying her opinions, Dr. MacGregor interpreted Dr. Sun's operative report as demonstrating that an AVM was visible at the time of the neurosurgical procedure that "quite likely would have been visualized with MRA study". This was a misunderstanding of the operative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MacGregor was of the opinion that it is highly likely that had the plaintiff had a CT scan or an MRI scan--with or without vascular imaging--that the AVM would have been discovered, and that depending on the pathological anatomy of the AVM, she might either have had an interventional radiological procedure for ablation of the arterial feeding vessels or alternatively, a neurosurgical procedure could have been considered, including stereotaxic radiosurgery.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Shevell's opinion was that if imaging had been ordered, it would have been routine CT or MRI without contrast or angiography, and on a routine CT or MTI an AVM would not have been apparent. In answer to the question "If that imaging had been ordered, would it have shown an AVM?", Dr. Shevell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routine CT or MRI will not necessarily reveal an AVM. Angiography is necessary to demonstrate this on a CT scan. Special acquisition windows, entitled MR Angiography and MR Venography, are necessary to capture intracranial blood vessels of sufficient quality to diagnose a intracranial AVM when utilizing the MR technology.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from the foregoing, I do not think that an imaging study, either a CT or an MRI, was indicated nor do I feel that had such an imaging be done would an AVM become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Drs. Teal and Shevell, acknowledged that the American Academy of Neurology Guidelines indicate neuroimaging where there is a substantial or substantive change in the patient's headache pattern. However, they were of the view that the plaintiff's changes had been in place too long or not were delineated clearly enough to meet that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Teal's opinion was that the standard of care in British Columbia and in the published practice guidelines would not have supported the type of neuroimaging Dr. MacGregor said that she would have ordered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MacGregor acknowledged in direct examination the "gold standard" of MRI with MRA/MRV to identify an AVM is not the standard of care the defendant was required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MacGregor is the only expert to suggest anyone would have ordered MRI with MRA/ MRV in these circumstances. Neither of the plaintiff's imaging experts, Dr. Lownie and Dr. Stimac, contemplated MRI with MRA/MRV being used in these circumstances when they discussed whether an AVM would likely have been identified on imaging. The plaintiff led no expert evidence from Dr. Lownie or Dr. Stimac regarding what imaging would have been indicated. I infer that both Dr. Lownie and Dr. Stimac were of the opinions that MRI with MRA/MRV was not indicated in the plaintiff's circumstances, and conclude that the defendant was not in breach of her required standard of care in not ordering such imaging.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Again, I am left, therefore, with what I accept to be the honestly and firmly held views of physicians whose expertise I accept as to what type of imaging should have been ordered by the defendant if she should have ordered imaging at all. I find should the defendant have ordered imaging in this case, the imaging that should have been ordered by her would have been routine CT or MRI without contrast or angiography.</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If Non-contrast imaging had been ordered, would a Neuroradiologist have performed that imaging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Siu provided his opinion in a report dated January 8, 2017 that imaging would not have been performed in this case. The plaintiff led no expert evidence from Dr. Lownie or Dr. Stimac to rebut Dr. Siu's opinion, despite being in a position to do so. The defendant asks me to draw the inference that the opinions of Drs. Lownie and Stimac, if asked, would have been that this imaging would not have been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 am not prepared to draw such an inference. Counsel for the defendant knew the evidence that they intended to lead from Dr. Siu and had the opportunity to put it to Drs. Lownie and Stimac in cross-examination. In my view, having elected not to challenge Drs. Lownie or Stimac with Dr. Siu's opinion, the defendant cannot ask for such an inference. To permit her to do so would offend the rule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(1893), 6 Reps. 67 (H.L.), which provides that when a cross-examiner intends to impeach the credibility of a witness he must give the witness notice of his intention. The "rule" is not absolute and a court has discretion as to its application. In civil cases, the "rule" affects the weight given to contradictory evidence rather than the admissibility: </w:t>
      </w:r>
      <w:r>
        <w:rPr>
          <w:rFonts w:ascii="arial" w:eastAsia="arial" w:hAnsi="arial" w:cs="arial"/>
          <w:i/>
          <w:color w:val="000000"/>
          <w:sz w:val="20"/>
          <w:lang w:val="en-US" w:eastAsia="en-US" w:bidi="ar-SA"/>
        </w:rPr>
        <w:t>Hurd v. Hewitt</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(1994), 20 O.R. (3d) 639</w:t>
        </w:r>
      </w:hyperlink>
      <w:r>
        <w:rPr>
          <w:rFonts w:ascii="arial" w:eastAsia="arial" w:hAnsi="arial" w:cs="arial"/>
          <w:color w:val="000000"/>
          <w:sz w:val="20"/>
          <w:lang w:val="en-US" w:eastAsia="en-US" w:bidi="ar-SA"/>
        </w:rPr>
        <w:t xml:space="preserve"> at 652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Siu cited the American College of Radiologists' Appropriateness Criteria for Headache in Children in his report as authoritative on the issue of when neuroimaging was appropriate in children, but did not disagree that the criteria stated that an MRI was recommended for patients with primary headache and symptoms such as vertigo.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am not persuaded by the defendant, who bears the onus of proof on this issue, that had the defendant ordered routine CT or MRI without contrast or angiography for the plaintiff that such imaging would have been refused by a neuroradiologist.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If imaging had been performed before July 25, 2010, what would it have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order to address this issue, it is necessary to determine the probable size of the plaintiff's AVM, at the time that it ruptured.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 contends that although the AVM nidus would have been seen on neuroimaging even if it was not, that abnormal vessel would have been visible, without the compression from the mass effect of the hematoma.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 contends that in the result, whether the scan ordered was a CT or an MRI, the abnormal vessel identified in the pre-surgery CTA would have been of sufficient dimensions to be visible and lead to further investigation and identifying the AVM even if the nidus was not large enough to be visible by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defendant contends that the plaintiff's experts disagreed amongst themselves as to the size of the presumed AVM.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evidence of the neurosurgeons for both parties focussed more importantly on what might have been learned from imaging, had that been undertaken at or near the plaintiff's visit to the defendant, the treatments that might have been offered, and the likelihood of the acceptance of the treatments offered, had the imaging disclosed an AVM.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defendant asserts that the plaintiff's experts also disagree amongst themselves as to whether an AVM would have been identified in this case. Dr. Cameron considered that it would have been documented on a CT brain scan or MRI brain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MacGregor felt that it was highly likely that had the plaintiff had a CT scan or an MRI scan with or without vascular imaging, that the AVM would have been discovered, and that she should have had the appropriate study for this type of headache investigation which would have been a head MRI scan with MRA and MRV. She also noted that, "Head CT scanning might also have been of value with the use of contrast imaging."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MacGregor's opinion regarding the appropriate treatment for the plaintiff in her reports is also based on her assumption the plaintiff's AVM was "a small and non-eloquent AVM which should have been highly amenable to neurosurgical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Cameron stated in his report of March 16,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surgical records document, Dr. Sun, the neurosurgeon, was able to see the arteriovenous malformation within the clot and he was able to manipulate the vessels of the arteriovenous malformation to cauterize it. This would indicate that this arteriovenous malformation was not a tiny malformation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her August 22, 2015 report, Dr. MacGregor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the cerebral angiography which was done subsequently did not identify the malformation, it must therefore be assumed that the lesion self-destructed at the time of the acute presentation and was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defence experts Dr. Teal, Dr. Redekop, and Dr. Siu were of the view that that the presumed AVM was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Teal had the benefit of reviewing Dr. MacGregor's reports of May 8, 2014, and April 1 and August 22, 2015 before preparing his subsequent report dated July 20, 2016. In that report he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with the broad generalization of the opinion put forward by Dr. MacGregor with regard to the likelihood of detection of the AVM with or without vascular imaging regardless of the modality.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detection of vascular malformations of the brain using CT or MRI imaging is highly dependent on the nature of the malformation, the size of the malformation, the location of the malformation, and the imaging modality utilized.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investigation of chronic headaches, a noncontrast CT head scan is the most common imaging modality to screen patients for underlying structural lesions. Noncontrast CT scans are insensitive for detecting vascular abnormalities.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a noncontrast CT scan would likely fail to detect small- or medium-sized AVMs as well as many other potential causes for intracerebral hemorrhage including dural AV fistulas, cavernomas, or aneurysms, and likely would not have detected Miss O'Connor's AVM.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a CT angiogram, a contrast study with imaging sequence optimized for imaging blood vessels, would likely have detected an AVM greater than 3 cm in size. The sensitivity of CT angiography detection for AVMs larger than 3 cm approaches 100%. The sensitivity of CT angiogram for AVMs less than 1 cm in diameter is less than 60%, and small AVMs may be 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with Dr. MacGregor's assertion that an MRI with MRV (MR venography) and MRA (MR angiography) were necessary to clarify her chronic headache disorder. Such an approach was not the standard of care in 2007 nor is it the standard of care in 2016. It is unrealistic to expect a community neurologist to order an MRI with MRV and MRA for a child with chronic headaches that are consistent with migraine. This is not the pattern of practice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practise of neurology, patients with chronic headaches are seen on a daily basis. Practice guidelines have been promoted to reduce unnecessary neuroimaging studies to reduce radiation exposure and to optimize resource utilization. In 2007, access to MRI imaging, especially for the evaluation of chronic headache, was very limited.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with Dr. MacGregor's assessment that Miss O'Connor's AVM was likely a grade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Miss O'Connor's AVM was at least a Spetzler-Martin grade 2, and possibly a grade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Spetzler-Martin grading system was developed to assess surgical risks for AVMs. It uses three features: Maximal AVM diameter (less than 3 cm = 1 point, 3-6 cm = 2 points, greater than 6 cm = 3 points), location (non-eloquent cortex = 0 points, in or adjacent to eloquent cortex = 1 point) and venous drainage pattern (superficial = 0 points, deep = 1 point). Total points = (size) + (venous drainage) + (eloquence). Eloquent brain areas include sensory motor, visual, language, thalamus, and internal capsule.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Teal expressed his opinion that a non-contrast CT scan would likely fail to detect small- or medium-sized AVMs,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 not know the size of Miss O'Connor's AVM, although in my opinion it was likely very small, and it is uncertain if it would have been detected on routine MRI imaging.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Shevell wrote in his report of January 28, 2016 that had either a CT or an MRI been obtained in this case prior to July 25, 2010, he did not feel that on such imaging, an AVM would have been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Contrary to Dr. MacGregor, Dr. Shevell was of the opinion that the plaintiff had an eloquent AVM.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disagree with Dr. MacGregor that the plaintiff had a "non-eloquent AVM." At the time of rupture she developed both hemiparesis and aphasia thus suggesting that its location was in eloquent (i.e. critically functional) cortex underlying contralateral motor and language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Lownie, Dr. Stimac, Dr. Redekop and Dr. Siu all recognized the presence of the abnormal blood vessel in the pre-surgery CTA of July 25,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Stephen Lownie is a neurosurgeon and neurointerventionalist with interests in vascular and skull base diseases. He obtained his MD at Dalhousie University, followed by postgraduate education in neurosurgery at the University of Western Ontario ("Western"), and diagnostic and interventional neuroradiology fellowships at Western and at UCLA. He has been an attending neurosurgeon and neurointerventionalist at London Health Sciences Centre in London Ontario since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He is a Professor in the Departments of Clinical Neurological Sciences, Medical Imaging and Otolaryngology at Western in London, Ontario. He served as Chief of the Division of Neurosurgery from 2000 to 2005, and as Co-Chair / Co-Chief of the Department of Clinical Neurological Sciences from 2000 to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Lownie was asked whether the plaintiff's cerebral arteriovenous malformation would have been visible on a routine MRI, CT with contrast, and/or CT without contrast, prior to the lesion presenting with hemorrhage. He responded by stating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surgeon's report, with the "bleeding collection of vessels" and the fact that cauterizing it did "take some time" it is evident that the AVM occupied at least a centimeter, or two to three centimeters or more, in size diameter.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and more objectively, AVM vessels at the cortical surface are seen on the CTA to extend to and/or from the lower aspect of the hematoma. These are ectatic (abnormally dilated). On the coronal images, two of these have a pitchfork appearance and one limb is compressed or contains occlusive thrombus. One or possibly two small penetrating vessels, having the appearance of perforating AVM feeding arteries, are also seen. These findings indicate that abnormal vessels are present, likely feeding and draining vessels related to the AVM.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AVMs are congenital lesions which when they rupture and bleed, create a nearby hematoma (solid blood clot). Due to compression of the AVM and its associated (and also) compressible feeding and draining vessels by the mass effect of the hematoma, AVMs may be difficult to detect on imaging studies done when the hematoma mass effect is at its worst. That would certainly be the case with a hematoma as large as this patient's was. However, abnormal vessels are seen on the CTA of July 25th, even when the large hematoma was exerting its maximum local mass effect, just prior to the emergency surgery. This indicates that these vessels, and likely other even more prominent vessels related to the AVM, would also have been seen prior to the time of hemorrhage of the AVM, when no hematoma mass effect was present. Thus we may conclude that the AVM would certainly have been visible on earlier imaging, and if anything more prominently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which studies would have demonstrated an AVM prior to bleeding (MRI, CT with contrast, and/or CT without contrast), only the MRI and CT with contrast would have demonstrated an AVM with certainty. The CT without contrast would have been hit-or-miss.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Dr. Lownie gave the following explanation of the issues to be faced in deciding on intervention: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Doctor, could you elaborate on what you mean when you say it would be speculative on the issue of intervention for an AVM that's been diagnosed in a 16-year-old?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certainly. I have treated many AVMs in teenagers and young adults. But the decision to treat it is a very complicated one and it's based on the symptoms the individual's experiencing, their age, the location of the AVM, the size of the AVM, the arteries that go into it and the veins that drain it. And then you have that complexity.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then the other complexity is that the treatment options which, as we've heard, include surgery, catheter treatment and focused radiation.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a very complex decision and it typically takes an hour to two hours in an outpatient clinic with all of the imaging done, including imaging that wasn't available in this individual, prior to the bleeding, and even after the bleeding. So it's a huge amount of information that is not available that would typically be used to make a difficult decision with the patient and their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When you say "unavailable," you mean unavailable to you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That's correct. It's -- it might be contended, for example, that the AVM is in an area where treatment wouldn't be offered. And yet when bleeding like this occurs we really have no idea where the original location of the AVM was. It might well be treatable surgically, and it almost certainly would have been treatable with radiation.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his December 7, 2016 report, Dr. Lownie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surgeon's report, with the "bleeding collection of vessels" and the fact that cauterizing it did "take some time" it is evidence that the AVM occupied at least a centimeter, or two to three centimeters or more, in size diameter.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his June 26, 2017 report, Dr. McKenzie commented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that the AVM was small as it appears to have been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Dr. Lownie gave his opinion that MRI and CT with contrast would have demonstrated an AVM with certainty, but that CT without contrast would have been "hit-or-miss". He offered no opinion regarding what non-contrast MRI would have likely revealed.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defendant contends that the plaintiff rejects Dr. Lownie's opinion in favour of her other experts' opinions, despite the fact Dr. Lownie is the most qualified of the plaintiff's experts to opine on the issue of identification of a presumed AVM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Gary Stimac is a Diagnostic Radiologist, Board Certified in the United States and in Canada with active medical licenses in Washington, Nevada, and California. He has been practicing Diagnostic Radiology in Washington since 1984. In 1975 and 1979, respectively, he received an M.S. and Ph.D. in Physics from the Massachusetts Institute of Technology. He obtained an MD from the University of Iowa in 1979, and completed a General Medicine Internship (1980), Residency in Diagnostic Radiology (1983), and Fellowship in Neuroradiology (1984) all at the University of California, San Francisco.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Dr. Stimac was an Assistant Professor of Radiology at the University of Washington from 1984 to 1987, where he served as Director of Neuroimaging and Director of Neuroradiology Fellowship Training. He is certified by the National Board of Medical Examiners and the American Board of Radiology, and is a Fellow of the Royal College of Physicians of Canada in Diagnostic Radiology, and a Senior Member of the American Society of Neuroradiology.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He has regularly performed evaluations of patients with vascular disease, cerebral infarcts, and cerebral hemorrhage, including CT, MRI, MRA, and angiography, and routinely presented the radiology discussions at weekly interdisciplinary and clinical conferences, which included representatives of neurosurgery, neurology, neuropathology, radiation therapy, oncology, rehabilitation medicine, and nursing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Stimac's opinion is the AVM was "large," between 2 cm and 4 cm in diameter: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massive size of the hematoma indicates, in this case, that the AVM was large, probably between 2 cm and 4 cm in diameter.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his June 26, 2017 report, Dr. Stimac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appearances on the pre-operative and post-operative CT scans, the conventional angiogram, and the descriptions provided in the operative report, this AVM (prior to its rupture) was 2 cm to 4 cm in diameter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Contrary to the view of Dr. Lownie, and based on the available information available to him, Dr. Stimac expressed his opinion that it is very likely that the AVM, prior to its rupture, would have been easily detectable on a non-contrast CT or a non-contrast MRI. Contrast-enhanced CT or MRI scans would have further increased the likelihood of detection.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Stimac expressed his view that pre-operative CT scans of the plaintiff's brain taken July 25, 2010 showed a massive brain hemorrhage, most consistent with rupture of a left MCA-distribution AVM. Specifically, he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pre-operative CTA and the post-operative conventional angiogram revealed prominent branches of the left MCA bifurcation, which most likely represent the primary feeding vessels of the AVM. Venous drainage of the AVM appeared to be primarily lateral, toward the transverse sinus.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Subsequent, postoperative scans demonstrated a large area of left hemispheric encephalomalacia caused by the initial massive hemorrhage, the AVM, and the necessity of surgical resection. Further consequences of the hemorrhage, the need for surgery, and the associated marked brain swelling included infarction of the adjacent left basal ganglia structures, the left cerebral peduncle, and the medial left temporal lobe.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his evidence at trial, Dr. Stimac confirmed that his opinion was based upon the assumption that the plaintiff's headaches continued to worsen over time. I have already found above that as the plaintiff's mother confirmed, the headache pattern had stabilized by at least the summer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answer to the question, "Can the location and size of the AVM be estimated (prior to its rupture) using the various examinations and the operative report?", Dr. Stimac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The pre-operative CT and CTA, the immediate post-operative CT scans, the 8/9/10 cerebral angiogram, and correlative information from the operative report can be used to estimate the pre-bleed size and location of the AVM.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Location: The initial CT scan shows the hematoma to be entirely within the parenchyma (brain substance) of the left hemisphere. The hematoma does not extend to the surface of the brain, and there is no "break-through" bleeding into the ventricles, the subarachnoid space, or the subdural space.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the AVM arose from inside the brain. The center of the hemorrhage is deep in the brain. The CTA and the conventional angiogram demonstrate prominent branches of the left MCA bifurcation, which were most likely the principal feeding vessels of the AVM.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findings place the AVM deep within the left hemisphere, near the junction of the frontal and parietal lobes.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Size: The hematoma is massive-- 4.5 cm laterally, 3.5 cm inferior-to-superior, and 6.5 cm in anterior- to-posterior extent. A 1.5 cm halo of edema surrounds much of the hematoma. The hematoma-plus-edema represents a mass effect roughly the size of a baseball.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unruptured AVMs can have some degree of mass effect, most of them exhibit little or no mass effect. This lack of significant mass effect is one of the primary radiographic diagnostic features used in separating an AVM from a hemorrhagic tumor, hypertensive hemorrhage, or traumatic contusion.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massive size of the hematoma indicates, in this case, that the AVM was large, probably between 2 cm and 4 cm in diameter.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Stimac stated his opinion regarding the probable size of an AVM in this case is based on the size of the hematoma and Dr. Sun's operative report which is arguably inconsistent with the evidence of Dr. Sun. Dr. Stimac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operative report provides additional evidence that the AVM was large. Dr. Sun describes removing "a significant amount" of acute blood (clot), "which was removed in a piecemeal fashion." He further described cauterizing a bleeding collection of vessels, including what he believed was the nidus of the AVM. He described removing and cauterizing the vessels as, "This did take some time." Near the end of his surgery, he "looked in the hematoma cavity and evacuated any more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Stimac expressed his opinion that the AVM would have been visible on non-contrast CT or MRI. He based his opinion on his own interpretation of the plaintiff's imaging. In cross-examination he acknowledged no AVM was identified on the plaintiff's pre-operative CT and CTA.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With respect to whether a non-contrast CT or MRI would have shown the AVM prior to its rupture on July 25, 2010, Dr. Stimac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The spatial resolution and the contrast resolution of CT and MRI are far in excess of that required to diagnose a lesion of this size.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CT and MRI scans have a spatial resolution of about one millimeter. A lesion in the range of 2 cm to 4 cm would be easily detected by its size alone.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both CT and MRI have the further ability to resolve abnormalities on the basis of their relative brightness (called contrast resolution). On a non-contrast CT scan (i.e., a scan performed without intravenous contrast), the AVM would show low density (dark) areas where brain tissue had been replaced by abnormal blood vessels. It would show some of the AVM vessels as high density (white), because they contain blood, which is denser than brain tissue. Distortion of normal structures in the area of the AVM would also likely be evident.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MRI employs a variety of methods of manipulating the magnetic field and radio pulses to provide different sequences, each of which creates different patterns of brightness/darkness of the various structures. The contrast resolution of MRI, is therefore, much higher than that of CT. The AVM would certainly have been demonstrated on a standard non-contrast MRI.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Contrast-enhanced CT or MRI includes the injection of an intravenous contrast agent, which passes through the vessels of the brain. The AVM would have been easily demonstrated on such enhanced scans, because the vessels of the AVM would appear white against the gray appearance of brain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Gary Redekop is a neurosurgeon who was called to give evidence by the defendant. He received his MD degree from Western in 1987, completed neurosurgical residency training in 1993, and underwent subspecialty training in microvascular and endovascular neurosurgery.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Dr. Redekop received his fellowship in neurosurgery from the Royal College of Physicians and Surgeons of Canada in 1993. Since then he has been a member of the Division of Neurosurgery at the University of British Columbia and the Vancouver General Hospital. He was the Head of the Division of Neurosurgery at UBC and VGH from 2002 - 2013, and presently serves as the Head of the Department of Surgery at UBC and VGH. He served a six-year term as Chairman of the Neurosurgery Specialty Committee of the Royal College of Physicians and Surgeons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Redekop's practice has a specialized focus on the surgical and endovascular treatment of cerebrovascular conditions including aneurysms and arteriovenous malformations, and he sees several hundred patients with such problems annually. He has one of the largest personal experiences with their diagnosis and treatment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plaintiff argued that because Dr. Redekop is unwilling to offer opinions to those who bring malpractice claims against physicians, his evidence should be rejected on the basis that it is inherently biased. I have not ignored this submission, but having heard the evidence from all of the experts, and carefully considering that of Dr. Redekop, which I find to be based upon facts consistent with those that I have accepted, such a criticism of him is unwarranted.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Redekop confirmed in his evidence that he manages patients with headaches who are referred to him for neurosurgical consultation. Dr. Redekop is part of the Vancouver-based multi-disciplinary team involved in the treatment of AVMs. He has privileges at Vancouver General Hospital and British Columbia Children's Hospital. He stated that he probably has the largest cerebrovascular surgical practices in Canada, and one of the largest in North America. Dr. Redekop stated when there is a child with a vascular problem like an AVM in British Columbia he is typically the neurosurgeon involved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It is Dr. Redekop's opinion that if the plaintiff had undergone a screening MRI scan it is highly unlikely that it would have shown an AVM. He pointed out that the only imaging study that she ever had that was even suspicious for showing a vascular abnormality was the CT angiogram done on July 25, 2010, at the time of the cerebral hemorrhage. That imaging revealed a slightly prominent blood vessel adjacent to the blood clot, described by Dr. Sun in his consultation as "a suspicious area that may be consistent with an arterial venous malformation." Dr. Redekop expressed that this finding was quite subtle and was not even mentioned in the official radiology report dictated by Dr.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Redekop described it as a micro-AVM, around 1 mm in size. In his report dated March 31, 2015, Dr. Redekop wrote: The cerebral angiogram that was done after the surgery did not show any abnormality whatsoever. It is possible that a very tiny, so-called "micro-AVM" was the cause of the bleeding, and that Dr. Sun completely cauterized it. ... There was no definite imaging or pathological confirmation of an AVM in this case. While it is certainly possible that a "micro-AVM" was the cause, this is not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Redekop also disagreed with Dr. MacGregor's opinion that depending on the pathological anatomy of the AVM, the plaintiff might either have had an interventional radiology procedure for ablation of the arterial feeding vessels or alternatively a neurosurgical procedure could have been considered (including stereotactic radiosurgery). Dr. Redekop expressed the view that this opinion indicated a lack of understanding of the treatment principles of AVMs in general, and a failure to apply those principles to what is known about this specific case. He elaborated,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Treatment of AVMs can involve microsurgical removal, focused high-energy radiation (stereotactic radiosurgery), endovascular embolization, or a combination of these modalities. The risks associated with AVM treatment depend primarily on the size and location of the AVM nidus.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Endovascular treatment using embolization of a liquid embolic material is used to occlude the AVM nidus, not for "ablation of the arterial feeding vessels" as Dr. MacGregor suggests. Anyone directly involved with the treatment of AVMs understands that nidus obliteration, not feeding artery occlusion, is required in order to eliminate the AVM and its associated future bleeding risks. In this specific case, it is most likely that if an AVM had been identified, it would be very small. Further, with a normal angiogram done after an operation in which no AVM nidus was removed, it is highly unlikely that there would have been suitable angioarchitecture to permit complete embolization without risk of occluding adjacent arteries supplying normal cortex and thus causing a stroke. The term "pathological anatomy" used by Dr. MacGregor refers to the histological, or microscopic, tissue structure of the blood vessels. This is generally not a factor in the selection of a treatment approach. Rather, it is the vascular or angiographic anatomy that is critical to decision-making.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Redekop also took issue with Dr. MacGregor's statement that, "I have described above that the most likely course of treatment would have begun with detailed vascular imaging including a cerebral angiogram following an initial diagnosis made either by CT scanning or MRI scanning. There then likely would have been an attempt at an interventional radiology procedure to ablate the malformation. Failing that, there are a number of neurosurgical approaches that could have been used - either direct neurosurgical operative procedures or the use of a gamma knife." He disagreed with Dr. MacGregor's description of the likely course of treatment in this case, commenting: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for the reasons already set out, it is unlikely that a screening CT or MRI scan would have shown an AVM. It is more likely that a screening study would have been reported as either normal, or alternatively, with a possibility of a prominent vessel as was noted by the surgeon (but not the radiologist) on the CT angiogram that was done after the hemorrhage.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such a small abnormality had been identified at that time, I do not believe that a neurosurgeon would have attributed the headache symptoms to it. Therefore there would be discussion with the patient and her family about the pros and cons of proceeding to a diagnostic angiogram to further assess what would have been felt to be an incidental and asymptomatic finding in the dominant hemisphere near eloquent functional cortex. Angiography is an invasive procedure that carries potential risks including a small risk of stroke, and it is quite possible that a decision at that time would have been to repeat the noninvasive imaging in 1-2 years as well as periodic clinical follow up visits, rather than to do an angiogram.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 angiogram had been obtained, and if a micro AVM were identified, it is most likely that the case would have been presented and discussed at a multidisciplinary AVM clinic rounds or team meeting, with input from neurology, neurosurgery, and neuroradiology. It is unlikely that a small deeply situated micro AVM in the dominant hemisphere of a neurologically intact adolescent, that was felt to be most likely an incidental finding, would be recommended initially for any type of interventional radiological or neurosurgical treatment, or stereotactic radiosurgery with gamma knife.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his report of March 31, 2015, Dr. Redekop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Gwendolyn O'Connor had undergone a screening MRI scan it is highly unlikely that it would have shown an AVM.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Redekop also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imaging study that she ever had that was even suspicious for showing a vascular abnormality was the CT angiogram done on July 25, 2010, at the time of the cerebral hemorrhage. There was a slightly prominent blood vessel adjacent to the blood clot, described by Dr. Sun in his consultation as "a suspicious area that may be consistent with an arterial venous malformation." This finding was quite subtle and was not even mentioned in the official radiology report dictated by Dr. Lee.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definite AVM nidus on the CT angiogram, nor was there any definite AVM nidus identified or removed at the time of surgery. Friable bleeding vessels were encountered and cauterized, but no tissue was sent for pathological diagnosis. In my experience with many surgical operations to evacuate blood clots from the brain, friable bleeding vessels are routinely encountered, even when the cause is definitely not an AVM, such as instances of trauma, high blood pressure, or spontaneous or iatrogenic clotting disorders. The identification of bleeding vessels in the context of a large cerebral hemorrhage is not conclusive evidence of an underlying structural vascular abnormality.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cerebral angiogram that was done after the surgery did not show any abnormality whatsoever. It is possible that a very tiny, so-called "micro-AVM" was the cause of the bleeding, and that Dr. Sun completely cauterized it. Such an AVM would almost certainly not be seen on a routine screening MRI scan requested to assess for chronic headaches or migraine. The post-operative angiogram did not show any blood vessel irregularity or caliber changes that would usually be seen with an AVM of even modest size. There was no definite imaging or pathological confirmation of an AVM in this case. While it is certainly possible that a "micro-AVM" was the cause, this is not certain. If a micro-AVM was the cause of the hemorrhage, the type of MRI scan that would have been done on the basis of the symptoms in December 2007 or January 2008 would not have been likely to detect this type of small blood vessel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Siu has a specialty in Radiology and a subspecialty in Neuroradiology and Interventional Radiology. He was called by the defendant as a witness. He is certified by the Royal College of Physician and Surgeons of Canada and is a Fellow of the College in good standing. He is also certified by the American Board of Radiology in Diagnostic Radiology with a certification of added qualification in Neuroradiology.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He is engaged in public and private practice in both academic and non-academic settings, is a practicing Radiologist, and has been an active member of the medical staff at Royal Columbian Hospital in New Westminster and at Eagle Ridge Hospital in Port Moody since July 2000. At these sites, he is responsible for evaluating the medical imaging studies of patients with neurological diseases and has regular interactions with emergency physicians, neurologists and neurosurgeons, not only to provide physicians of patients' diagnoses, but also to provide guidance in patients' imaging and treatment. As a neuro and interventional radiologist, he routinely performs invasive procedures to treat patients with a variety of injuries, disorders and conditions, including treating vascular lesions.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Siu explained the abnormal vessel identified by himself and the other experts is likely 1-2 mm in diameter and that when the experts are discussing an "enlarged vessel," they are referring to the diameter of the vessel, not the length of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his report of February 25, 2016, Dr. Sui commented that small AVMs are commonly not detectable with routine CT or MRI scan.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only a single enlarged blood vessel was seen on the CTA and there was no visible AVM nidus, this suggested the AVM was likely small in size. Small AVMs are commonly not detectable with routine CT or MRI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Siu's opinion is based on the American College of Radiology ("ACR") criteria for imaging in primary headache: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American College of Radiology Appropriate Criteria for Headache-Child: Primary headache (chronic or recurrent headache including migraine without permanent neurologic signs or signs of increased intracranial pressure), the use of neuroimaging, including MRI with and without contrast, MR Angiography, CT scan with and without contrast, CT Angiography, and Ateriography Cerebral were all rated as "usually not appropriate". [ACR Appropriateness Criteria: Headache - Child, Variant 1, p.1]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Siu was asked about the image of less than 3 mm described by Dr. Lownie as a pitchfork.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And the portion of it is less than a millimetre. I would say it's less than 3 millimetres and it could be 2 millimetres, 1 millimetre, depending on where along that pitchfork you are measuring.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diameter of the vessel is 1 to 2 millimetres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Siu expressed his opinion that the vessel was only 1 - 2 mm in diameter and therefore would not be visible even though he could see it on the CTA, but he agreed that the dimension of the portion of the abnormal vessel identified was approximately 1.5 cm, which is well in excess of the 3 mm space he suggested would have been between the slices of a CT or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Siu expressed his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chance of finding a serious abnormality on brain imaging, either with CT or MRI, in an individual with migraine, tension-type, or other chronic headaches, is very low, less than 0.5% (0-0.5%). This rate is not significantly different than the chance of finding a serious abnormality in asymptomatic volunteers (0.4%). [reference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circumstances with Gwendolen, if imaging was ordered, the imaging would be a routine non contrast MRI or routine non contrast CT scan.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MRI is preferred to CT due to MRI's superior anatomical and contrast resolution and lack of radiation. However, CT may be considered where MRI is not available or if MRI is contraindicated (e.g. due to implanted or metallic foreign bodies) or not tolerated (e.g. due to claustrophobia). [CAR Diagnostic Imaging Referral Guideline Section L09 Pediatric Headaches: chronic/recurrent]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circumstances in this matter, a contrast enhanced scan, either with MR or CT or CTA, would not be indicated due to the potential risk of allergic reaction or adverse effects to the intravenous contrast agent. Although a MRA can be performed without contrast administration, there was no clinical indication for a MRA under these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invasive imaging test, in particular a catheter-directed cerebral angiography, is the most sensitive imaging modality in detecting a cerebral arteriovenous malformation. However, under these circumstances, a catheter angiogram would not be indicated as a screening test based on her presentation and due to the risk profile of this invasive test. The risks of a catheter-directed cerebral angiography include stroke, contrast allergic reaction, and puncture site complications such as groin hematoma, infection and vessel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cross-examination plaintiff's counsel referred Dr. Siu to the ACR criteria from 2012, and put to him a statement that suggests MRI "should" be ordered in patients presenting with vertigo, but the 2007 ACR criteria were never put to Dr. Siu by counsel for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Dr. Siu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hematoma was indeed caused by a ruptured AVM, then a routine MRI or CT scan performed prior to July 25, 2010, likely will not show any abnormality for the following reason.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only a single enlarged blood vessel was seen on the CTA and there was no visible AVM nidus, this suggested the AVM was likely small in size. Small AVM's are commonly not detectable with routine CT or MRI scan. For non-enhanced CT scan, cerebral arteriouvenous malformation "may be normal (if AVM very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cross-examination plaintiff's counsel put to Dr. Siu an abnormal vessel would have been identified on CT or MRI. Dr. Siu explained the abnormal vessel identified by himself and the other experts is likely less than 3 mm, and would not be seen on routine CT or MRI. Following the hemorrhage, the abnormal vessel was only visible on CTA imaging.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Dr. Siu commented on Dr. Stimac's views of what might be evident from a non-contrast CT scan. He wrote: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unruptured AVM does not "replace" brain tissue and there are no low density areas around the AVM on a non-contrast CT scan. Thus, I disagree with Dr. Stimac's statement regarding the "low density (dark) areas".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non-anemic individuals, blood is higher density than brain tissue. Thus if an AVM has enlarged blood vessels, the blood vessels may be seen on a non-contrast CT scan. However, with small AVMs, the blood vessels usually are not large enough to be distinguished from the normal intracranial blood vessels.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AVM's have "lack of significant mass effect", as stated by Dr. Stimac on page 13 of his report, the distortion of normal structures in the area of the AVM would likely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be evident, especially with small AVM's. Thus, I disagree with Dr. Stimac regarding his statement that "distortion...would also likely be evident.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cross-examination Dr. Sui agreed that the most likely cause of the plaintiff's hematoma was a ruptured AVM.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Siu replied to Dr. Stimac's comments with respect to the certainty that the AVM would have been demonstrated on a standard non-contrast MRI as follows:</w:t>
      </w:r>
      <w:r>
        <w:rPr>
          <w:rFonts w:ascii="arial" w:eastAsia="arial" w:hAnsi="arial" w:cs="arial"/>
          <w:sz w:val="20"/>
          <w:lang w:val="en-US" w:eastAsia="en-US" w:bidi="ar-SA"/>
        </w:rPr>
        <w:cr/>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that MRI have higher contrast resolution than that of CT.</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disagree that the AVM would "certainly have been demonstrated" on a standard non-contrast MRI. The ability of MRI to detect an AVM is influenced by the size and location of the AVM. A small AVM may not be detectable on a standard non-contrast MRI. An AVM may not be identified if it is situated in locations where there are abundant normal blood vessels.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Siu agreed with Dr. Stimac that the vascular structures in the plaintiff's brain were displaced by the hematoma and agreed that there was no evidence of a central cerebral aneurysm. He also agreed that the most likely etiology for the hematoma was an underlying AVM.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Siu also agreed that if there was an underlying AVM, the hematoma "hindered" the determination of the blood supply due to the large size and marked mass effect of the hematoma.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Dr. Siu commented on the opinions of Dr. Stimac with respect to the plaintiff's cerebral angiogram of August 9, 2010, and in particular his finding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Injection of the left internalk carotid artery (ICA) reveals normal intracranial carotid artery, proximal left ACA, and proximal left MCA. The anterior communicating artery shows cross-filling. The proximal branches of the left ACA are normal. The left MCA terminates in a double bifurcation. The most distal branches of the left MCA are enlarged, and pass superiorly and posteriorly. One large MCA branch shows truncation, and was likely a major feeding vessel to the AVM. Decreased vascularity of the distal left MCA and distal left MCA circulation is evident in the region of the resected AVM. There is moderate filling of the left PCA via the left posterior communicating artery; however, the left PCA shows marked spasm and irregularity. This spasm is likely caused by blood from the AVM rupture and/or the effects of the mass effect and surgery. There are no findings of aneurysm or residual AVM in the left carotid circulation. The venous drainage is within the normal range.</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that the intracranial carotid artery, proximal left MCA, proximal left MCA, and proximal branches of the left ACA were normal on the angiogram. I agree there were cross-filling of the anterior communicating artery. I agree that the Ml segment of the left MCA terminates in a double bifurcation.</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disagree that the most distal branches of the left MCA passing superior and posteriorly were enlarged. In my opinion, these branches were within normal limits in size.</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disagree that there was a "large MCA branch" showing "truncation". No truncated or enlarged MCA branch was demonstrated on the angiogram. No arterial feeding vessel was evident to the presumptive resected AVM.</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that there was moderate filling of the left PCA via the left posterior communicating artery. I agree that the left PCA showed "irregularity", likely from vasospasm, due to the hematoma and/or surgery.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that there was no aneurysm or residual AVM seen in the left carotid circulation. I agree the venous drainage was within normal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Dr. Siu disagreed that there was a "large MCA branch" showing "truncation" and commented that no truncated or enlarged MCA branch was demonstrated on the angiogram, nor was there an arterial feeding vessel evident to the presumptive resected AVM.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Siu also addressed Dr. Stimac's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massive size of the hematoma indicates, in this case, that the AVM was large, probably between 2 cm and 4 cm in diameter. The hemorrhage most likely filled the space occupied by the AVM until the intracranial pressure restricted further bleeding and further expansion of the hematoma. These statements are consistent with the radiographic images in establishing that the large collection of AVM vessels formed a cavity, which filled with blood when the AVM ruptured. The long time ("This did take some time") required to resect the AVM and hematoma also indicates that the AVM was of substantial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Siu responded by writing:</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size of the hematoma often does not correlate with the size of the AVM. There are several factors that affect the size of the hematoma when an AVM ruptures.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factor is the size of the rupture point (e.g. pin hole size or larger).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Another factor is the portion of the AVM that has ruptured. The hematoma may be smaller if the rupture is from a venous aneurysm in the draining vein or a nidal vessel. The hematoma may be larger if the rupture occurs from an aneurysm in the feeding artery.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flow rate through the AVM is also a factor in that a higher flow AVM will bleed more due to increased flow and pressure.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individual's systemic blood pressure is also a factor. A bigger hematoma will develop if the person's blood pressure is elevated.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person's blood clotting ability (e.g. underlying coagulopathy or on medications such as antiplatelets or blood thinners) also influences the size of the hematoma. The blood's clotting ability is the primary reason that the bleeding from the ruptured AVM eventually stops.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location of the AVM also affects the size of the hematoma. Certain portion of the brain, such as the corpus callosum or brainstem are more resistant to expansion while a hematoma can expand quickly within the white matter of the cerebral hemispheres.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increased intracranial pressure may eventually play a role in restricting the size of the hematoma, this is usually seen when there is significant brain herniation which is associated with a high mortality.</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Thus, in summary, I disagree with Dr. Stimac's statement that, based on the size of the hematoma, the AVM was large, probably between 2 cm and 4 cm. His rational for estimating the size of the AVM based on the size of the hematoma does not fit with my understanding of the pathophysiology of ruptured AVM's.</w:t>
      </w:r>
    </w:p>
    <w:p>
      <w:pPr>
        <w:numPr>
          <w:numId w:val="3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Stimac's [sic] stated that the AVM was of substantial size by correlating the size of the AVM to the time required to surgically resect the AVM and hematoma. Since I am not a neurosurgeon, and neither is Dr. Stimac, I have not personally resected an AVM or brain hematoma. Thus, I am not in a position to make such a correlation and I am not certain how Dr. Stimac is able to make this correlation either. I suspect the location and complexity of the AVM would play a factor to the surgical time but I defer this opinion to the appropriate surgical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plaintiff bears the onus of proving the size of her AVM as at July 25, 2010, on the balance of probabilities. I must therefore choose between some or all of the competing views of Drs. Cameron, MacGregor and Stimac, and to some extent Dr. Lownie, on the one hand, and Drs. Shevell, Teal, Siu and Redekop on the other hand, with respect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find that the views of Drs. Cameron, MacGregor and Stimac are dependent upon assumptions as to the findings of Dr. Sun that are disputed by Dr. Sun, and as such are unreliable. I find that the evidence of Dr. Lownie is equivocal on this issue. I prefer the evidence of Drs. Shevell, Teal, Siu and Redekop as to the likely size of the plaintiff's AVM at the time of its rupture, and conclude that it was only 1-2 mm in diameter. I have found that should the defendant have ordered imaging in this case it would have been routine CT or MRI without contrast or angiography.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Despite these findings, I am unable to accept that there was no chance that the AVM would not at least have been suspected on even that imaging.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Applying this analysis, I find that there was a reasonable possibility, which I assess as less than 50%, but greater than a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chance that the plaintiff's AVM would at least have been suspected had she undergone routine CT or MRI without contrast or angiography shortly after December 13, 2007.</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What treatment would have been recommended to the plaintiff had her AVM been diagnosed before July 25,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defendant contends that the plaintiff's causation case is predicated on inconsistent opinions from the plaintiff's own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Dr. Michael McKenzie, Dr. Michael Nikolakis, and Dr. Stephen Lownie, provided opinions for the plaintiff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Dr. Redekop, provided an opinion for the defendant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Dr. Michael McKenzie, is a Radiation Oncologist. He obtained his MD from Queen's University at Kingston in 1985 and completed his residency training in radiation oncology at the University of British Columbia (UBC)/British Columbia Cancer Agency (BCCA) in 1990. He undertook a fellowship focusing on stereotactic radiosurgery (SRS) at Montreal General Hospital between January and June 1991 and joined the clinical staff at the BCCA later that year at the Vancouver Cancer Centre. Between 1992 and 2011, he served as Chair of BCCA's Stereotactic Radiation Therapy Working Group, and led the commissioning of British Columbia's Provincial linear accelerator-based SRS program, which began operations in 1997. On average, the program treats between five and ten AVM cases per year, and he has been the treating radiation oncologist in all of those cases. He is a Clinical Professor in the Division of Radiation Oncology and Developmental Radiotherapeutics at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McKenzie's opinion based on his review of the operative report and imaging is an AVM in this case was "not large," and was likely small. Dr. McKenzie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Assuming that the AVM was small as it appears to have been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based on my read of Dr. Sun's operative report, my sense is that AVM was not large. Specifically, I strongly doubt that Gwendolyn's AVM was over 3cm...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McKenzie was asked, "If Ms. O'Connor's AVM had been diagnosed in 2008, would stereotactic radiosurgery to obliterate the AVM have offered had the options of microsurgery or embolization been rejected?" He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it is difficult to know exactly what sort of opinion we might have given in 2008 because usual image sets that we would like to see to make a disposition, including CT angiography, MRI, and catheter angiography were never done prior to hemorrhage. Based on what I know, my sense is we would likely have discussed SRS as an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answer to the question, "If stereotactic radiosurgery had been offered, what information would have been provided to the patient and her parents in order to make a decision about undertaking that treatment?", Dr. McKenzie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neurosurgeon seeing that patient with me would have shared with her and her parents the annual and lifetime risk of hemorrhage, with attended morbidity and potential mortality, without treatment. Because I leave this estimate to the Neurosurgeon and because of the lack of pre-hemorrhage imaging, I am not willing to give a specific figure in this case. However my experience is that the figure that is most commonly quoted is between 2 and 4 percent per year. Because this annual risk compounds in a young patient such as Ms. O'Connor was, (and is) the estimated life-time risk would likely have been cited as fairly high. To contrast with that, I would have discussed data on potential outcomes following stereotactic radiosurgery. These would have included the probability of obliteration of the AVM nidus and the risk of treatment induced symptomatic radionecrosis possibly with delayed cysts formation later. The probability of obliteration mostly depends on the dose of SRS selected. The probability of symptomatic cerebral radionecrosis depends on both the dose selected, and these as well as the size and location of the AVM. We tell the patient that all of these factors are carefully considered when a determination is made regarding a reasonable SRS dose on the day of treatment. Because of the lack of pre-hemorrhage imaging which would have given us better information about the exact location of the AVM nidus as well as its size, it is really not possible for me to view a specific figure. Assuming that the AVM was small as it appears to have been, I'd say we most often quote a probability of obliteration on the order of about 70- 80% by four years. I usually will share that with patients our own work (International Journal of Radiation Oncology Biology and Physics 2012 July 1; 83 (3): 872-877) in which we found that there was a 23% actuarial risk of symptomatic radiation injury four years post treatment. I will point out that in our series, in most of these instances, deficits were mild to fairly moderate only. However I would also say that, although our own work was not able to demonstrate this, other authors have reported that more significant deficits are more likely if the AVM is centered in highly eloquent brain. I also mentioned the risk of radiation induced second tumor. Radiation and tumor of the greatest concern would be radiation included malignancy. Although this is very rare, it is a bit more of a consideration in a very young patient with a long life expectancy. It is really hard to site a risk specific to this patient as data identifying life time risk in such a young patient are lacking. Based on what I do know I would probably quote a risk of something like 1/500. In any case, we would have gone through all of the above data to identify the pro's and con's of SRS as an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McKenzie was also asked, "Would the likelihood of success of stereotactic radiosurgery be affected by the size of the AVM and if so, in what why?" He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a number of factors that dictate the probability of success. Perhaps one [of] the more important ones is size. Primarily what affects this however is the fact that the size of the AVM and therefore the volume of radiation that is required drives SRS dose selection. Specifically, usually with a larger volume, we will consider reduction in dose in order to keep the treatment as safe as possible. Difficulty with that is that a lower dose of SRS is associated with reduction in the rate of AVM obliteration.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Dr. McKenzie was also asked if a smaller AVM would be more amenable to sterotactic radiosurgery, and responded that it would. He explained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Treatment of larger AVM's with SRS brings with it increased risk of symptomatic radiation injury or a reduction in the rate of obliteration (the above), or both. In our own experience, the cut point for increased risk of symptomatic radiation injury was a maximum diameter of 3 cm or greater. In these cases of larger AVM's, we now tend to hypofractionate, using 4 fractions of treatment rather than the single fraction SRS approach, in efforts to achieve good rates of obliteration and yet acceptable risk of symptomatic radiation injury. There is the possibility of pre-SRS angioembolization. However in our own experience efforts to reduce the size of a larger AVM using this approach haven't been terribly successful. By that I mean after angioembolization we find we are often left with a treatment volume that is fairly similar to what it was prior to angioembolization. In addition there are date to suggest that obliteration rates following angioembolization are inferior.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Another question to which Dr. McKenzie responded was when stereotactic radiosurgery is usually considered instead of microsurgery or embolization, to which he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treatment of choice for an AVM typically is surgery. Most Centres', angioembolization alone is rarely curative. Although there is the idea of using angioembolization to reduce AVM size (see my answer to Question 4 above), most often nowadays in our program, it is used to deal with a flow related arterial aneurysm which brings with it an increased risk of hemorrhage during the post- SRS latency period. SRS is usually considered instead of surgery if the neurosurgeon feels that there is relatively high risk of significant permanent functional deficit to be expected with surgery. More rarely we have seen cases in which the patient declines surgery which was otherwise felt to be a reasonable option, or there anesthetic risks that were of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Dr. McKenzie did not offer any opinion as to whether any treatment would have been recommended in these circumstances. As previously noted, he only went so far as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it is difficult to know exactly what sort of opinion we might have given in 2008 because usual image sets that we would like to see to make a disposition, including CT angiograph MRI, and catheter angiography were never done prior to hemorrhage.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Dr. Michael Nikolakis is a neurosurgeon certified by the Royal College of Physicians and Surgeons of Canada. He obtained his MD from the University of Alberta and completed a neurosurgical residency at the University of British Columbia as well as at the University of Alberta. His neurosurgical practice is in New Westminster,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He explained that the standard of care for treatment of an AVM has changed dramatically relative to when the Spetzler-Martin scale was published in 1986, pointing out that at that time, microsurgical resection was the standard of care when treating an AVM. He expressed the opinion that as at March of 2016, when he wrote his report in this case, microsurgery was very rarely the treatment of choice for an unruptured AVM, as endovascular surgery, stereotactic radiosurgery, or both treatment modalities in combination had become the standard of care for treatment of unruptured AVMs.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Dr. Nikolakis described the factors he said should be considered when deciding whether or not to treat an AVM and said that they included the patient's current symptoms, the risk of the arteriovenous malformation causing an intracerebral hemorrhage (AVM rupture), and the risk that treatment will cause a neurological deficits or other procedural complication. He considered that patient symptoms that would sway the decision-making process towards treatment included seizures that are refractory to medical management, symptoms of raised intracranial pressure secondary to venous outflow obstruction, and symptoms of cerebral ischemia secondary to preferential vascular shunting through the AVM.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summary, Dr. Nikolakis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my opinion is that Ms. O'Connor would likely have been offered treatment, either in the form of endovascular surgery or stereotactic radiosurgery, had her AVM been diagnosed prior to her intracerebral hemorrhage. I base this opinion on the fact that Ms. O'Connor's lifetime risk of AVM rupture would have been in the order of 90% had her AVM been diagnosed by the age of 15. Contemporary treatment options for unruptured AVMs, including endovascular surgery and stereotactic radiosurgery, have resulted in lower complication rates than seen historically with microsurgery.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final note, I would like to mention that a randomized-controlled clinical trial, known as the ARUBA Study, was published in 2013 (Appendix III). The importance of the study is that it is the only randomized study to date comparing treatment versus observation in the management of unruptured brain AVMs. The conclusion of this study was that observation was superior to treatment in preventing death or stroke. If one applies this study to the case of Ms. O'Connor, then treatment would not have been recommended.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Applying the conclusions of the ARUBA Trial to the case of Ms. O'Connor would be in-appropriate for the following reasons. The ARUBA Trial enrollment criteria included only patients aged 18 or older. The mean patient age in the ARUBA Trial was 44.5 years. As previously mentioned, the lifetime risk of AVM rupture is considered to be 2-4% per year, or 105 - patient age in years. Thus, the average patient enrolled in the ARUBA Study would have a lower lifetime risk of AVM rupture (60%) than would Ms. O'Connor (90%).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criticisms of the ARUBA Study include very poor enrollment numbers (only 226 out of 1740 possible patients were enrolled). Of the 226 enrolled patients, 35 were either excluded (3), or crossed over to the opposite treatment arm of the study (32). Lastly, there is no standardization with regards to which treatment or treatments were applied in a given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while the ARUBA study does provide further information on the natural history of unruptured AVMs, the conclusion of the study is not universally applied to adult patients with unruptured AVMs, and treatment decisions are still made on a case-by-case basis. As previously mentioned, applying the ARUBA Trial results to the pediatric population, as in the case of Ms. O'Connor, would be inappropriate based on the study's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Dr. Nikolakis's opinion is that microsurgery is rarely the treatment of choice for an unruptured AVM. In his opinion the plaintiff would likely have been offered treatment, either in the form of endovascular surgery, stereotactic radiosurgery,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In addition to his disagreements with the opinions of Dr. MacGregor, Dr. Redekop took issue with Dr. Nikolakis's statement that the lifetime bleeding risk of an AVM can be calculated as 105 minus the patient age in years. He commented that this would give an estimated lifetime risk of approximately 90% for a 15 year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Dr. Lownie was asked by counsel for the plaintiff, "If an AVM were diagnosed in Ms. O'Connor when she was 16 years old or younger, is it probable that some kind of intervention would have been undertaken (endovascular, surgical or otherwise)?" He replied, "It would be highly speculative whether treatment would have been offered. I'm not sure it would help to add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Dr. Redekop was also asked to comment upon whether the plaintiff would have been offered surgical treatment if her AVM had been identified on MRI in late 2007 or early 2008. The opinion he expressed on this question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2010 Gwendolyn O'Connor had a hemorrhage in the central area of the left hemisphere of the brain. This area is responsible for perception of sensation and vision for the right side, motor control of the right side, and language function. If an MRI in 2007 or 2008 had shown an AVM, based on the imaging and findings at the time of the hemorrhage in 2010, it would have been very small and deeply situated. If an AVM was identified on an MRI scan in late 2007 or early 2008, it is very unlikely that surgery or any other type of treatment would have been recommended. This is because of the very high risk of causing neurological impairment with respect to these functions. If an MRI had shown such a small, deeply situated left hemisphere AVM and Gwendolyn had been referred to me for an opinion about treatment I would have advised strongly against treatment at that time, because of these high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Dr. Redekop described the risks associated with surgery for an unruptured AVM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Treatment of AVMs can involve microsurgical removal, focused high-energy radiation (stereotactic radiosurgery), endovascular embolization, ora combination of these modalities. The risks associated with AVM treatment depend primarily on the size and location of the AVM nidus. For a small, deeply situated left hemisphere AVM the risks of neurological impairment affecting right side motor and sensory function as well as language would likely have been very high. In such an instance I would typically advise that the patient and family should expect an immediate post-operative deficit, with the hope that there would be gradual improvement over time. This recovery is not guaranteed and would quite likely be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Dr. Redekop wrote that if the plaintiff had been referred to him with a small, deep left hemisphere AVM that he would most likely have recommended a conservative approach to management, with a clinic visit every six to 12 months and periodic non-invasive imaging with CT or MRI every two to three years to look for any new vascular abnormalities such as the development of arterial or venous aneurysms. He opined that such a change would be extremely unlikely and it would be his expectation that ongoing conservative management would be recommended. He explained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think every time that I see a patient with an AVM, and we've already talked about what the follow-up routine might be, it's a topic of - - of conversation every time. The only decision that's made is not now or never. The only decision is, do we need to do something now or do we defer until a later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Dr. Redekop took significant issue with many of the opinions expressed by Dr. MacGregor. For example, He disagreed with her statement that "In my opinion it is highly likely that had this child had a CT scan or an MRI scan - with or without vascular imaging, that the arteriovenous malformation would have been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In addition, Dr. Redekop disagreed with Dr. MacGregor's statement that the plaintiff had a small and non-eloquent AVM that would have a 95-100% excellent outcome with surgical intervention. It was his opinion that the plaintiff's AVM was in an eloquent location. He explained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focus of the clot on the original CT scan was in the central Rolandic area and extending into the angular gyrus. The neurological functions of this area relate to the motor and sensory centres for the right side, language, mathematical abilities, and other higher cognitive functions. On the CT angiogram done prior to the surgery, the small suspicious vessel is the angular artery or one of its branches. In the dominant hemisphere, injury to the brain tissue surrounding an AVM in this location would be likely to lead to motor or sensory deficits in the right arm and hand, especially fine motor control of the hand and fingers. There would also likely be impairment of language function including reading, and Gerstmann's syndrome, which includes the inability to write, inability to learn or comprehend mathematics, inability to distinguish the fingers of the hand, and inability to distinguish right from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It was Dr. Redekop's opinion that if a CT or MRI scan had been requested to investigate headaches, it is most likely that a screening MRI study would have been obtained. Based on the indication for the MRI scan, it was Dr. Redekop's opinion that the radiologist would select a number of MRI sequences to be done. As there are many different types of MRI sequences available, each with the ability to highlight specific characteristics or features, such as evidence of acute stroke, a tumor, multiple sclerosis, etc. MRI angiography, which is a specific imaging modality that demonstrates blood vessels, is not part of a screening MRI study, and would not likely have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Dr. Redekop's opinion regarding management is consistent with Dr. Shevell's evidence regarding what he has observed in his practice. Dr. Shevell was asked what percentage of children in his practice who are diagnosed with AVMs undergo treatment. Dr. Shevell stated for those patients who have not hemorrhaged he could not recall any in the last five years having a neurosurgical intervention at his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Dr. Redekop's opinion, consistent with Dr. McKenzie's opinion, is microsurgery is the most commonly performed technique for treatment of AVM. Dr. Redekop responded to Dr. Nikolakis's opinion that "microsurgery is rarely the treatment of choice for an unruptured AVM":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with the statement that microsurgery is rarely the treatment of choice for AVMs. This opinion is evidently shared by Dr. MacGregor, who quoted in her report from a commentary paper about ARUBA that "the high rates of embolization as a solo treatment - with known low success rate in AVM eradication as opposed to immediately curative surgery alone ... was not felt to reflect standard practice." In my personal experience in the treatment of AVMs with microsurgery, endovascular embolization, and stereotactic radiosurgery, either as single or combination modalities, microsurgery remains the most commonly performed technique.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Dr. Redekop explained in cross-examination that where the presumed AVM is small and in an eloquent area, and found incidentally in a young person, the general approach would be to not recommend treatment, because of the risk of lifelong complications of severe consequence to developing motor, language, and social skills. He indicated it is not that he would recommend never having treatment, but to consider treatment after high school or university. Dr. Redekop stated monitoring is often the approach taken with AVMs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Dr. Redekop also disagreed with Dr. Nikolakis's opinion that microsurgery is rarely the treatment of choice for unruptured AVMs, and that endovascular embolization, stereotactic radiosurgery, or both, have become the standard of care. He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simple bleeding risk formula provides a rough approximation of bleeding risk of the course of life and is not in dispute. I disagree with the statement that microsurgery is rarely the treatment of choice for AVMs. This opinion is evidently shared by Dr. MacGregor, who quoted in her report from a commentary paper about ARUBA that "the high rates of embolization as a solo treatment - with known low success rate in AVM eradication as opposed to immediately curative surgery alone ... was not felt to reflect standard practice." In my personal experience in the treatment of AVMs with microsurgery, endovascular embolization, and stereotactic radiosurgery, either as single or combination modalities, microsurgery remains the most commonly performed technique.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Insofar as the opinion of Dr. Cameron that the plaintiff's AVM would probably have been amenable to treatment and therefore would have prevented any further hemorrhages was concerned, Dr. Redekop pointed out that while the presumed AVM in this case would likely have been "amenable to treatment", that does not mean that treatment would have been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Dr. Redekop commented that based on his experience with children and young adults with AVMs, it is important to consider their stage of physical, social, and cognitive development, and the implications of a permanent neurological deficit in these formative years on their eventual educational, cognitive, social, and physical functioning. The decision that has to be made about AVM treatment in children is not "now-or-never". Rather, it is a matter of determining if there is a strong justification to risk immediate and permanent neurological impairment, or to defer a decision about intervention until later in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Dr. Redekop expressed the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best evidence that we have is that the bleeding risk for AVMs is around 2% annually, with a 10% risk of permanent neurological disability or death if hemorrhage occurs. This means that if we consider a 10-year epoch, rather looking at the lifetime risk, for a 15-year old the risk of bleeding in the next decade is not more than 20%, and the risk of permanent disability or death is not more than 2%. In contrast, the risk of intervention for most AVMs, including low Spetzler- Martin grades, is much higher. In this particular case, the high risk of neurological deficits related to the specific location of the presumed AVM, including motor or sensory deficits in the right arm and hand, especially fine motor control of the hand and fingers, impairment of language function including reading, the inability to write, inability to learn or comprehend mathematics, inability to distinguish the fingers of the hand, and inability to distinguish right from left, with potentially profound effects on educational, cognitive, social, and physical functioning, would lead me to recommend against immediate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In response to Dr. Lownie's opinion that "based on the surgeon's report, with the bleeding collection of vessels and the fact that cauterizing it 'did take some time' it is evident that the AVM occupied at least a cm, or two to three cm in size diameter", Dr. Redekop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operated on several hundred brain AVMs as well as several hundred intracerebral hemorrhages caused by other conditions, unrelated to vascular malformations. It has been my experience that blood vessels in the walls of a hematoma cavity are often friable and difficult to coagulate, and it can take several minutes to get hemostasis even in the absence of a vascular malformation.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AVM of one to three cm diameter would have been seen on the CT angiogram or alternatively confirmed at the time of surgery. The description of a very small area of friable abnormal vessels does not in and of itself confirm the presence of an AVM. The difficulty with which hemostasis is obtained reflects the friability of the vessels and has nothing to do with the size of the AVM, nor can this be used to estimate the diameter of an AVM nidus.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Dr. Redekop also disagreed with Dr. Lownie's opinion regarding the size of the presumed AVM and his statement that an MRI or CT with contrast would have demonstrated an AVM with certainty. Dr. Redekop commented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conclusive evidence that an AVM was present. While a tiny AVM is certainly a strong possibility, the absence of pre-operative imaging of an AVM nidus and the absence of identification of a definite nidus at the time of surgery means that an AVM is not a confirmed cause. If an AVM nidus was present, it would have to have been very small, almost certainly less than 1 cm diameter.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as stated in my initial report of March 31, 2015, the headaches that Gwendolyn O'Connor experienced were typical of tension headaches and / or migraine, and there were no concerning features in the description of the headaches or associated symptoms, and no abnormal findings on examination to suggest a serious underlying cause such as infection, inflammation, or a structural lesion in or around the brain. There was no indication for an MRI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 accept that at least some specialists, including neurologists like Dr. Lownie, neurosurgeons like Dr. Nikolakis and radiation oncologists like Dr. McKenzie would have recommended intervention for the treatment of the plaintiff's AVM, had it been diagnosed prior to July 25, 2010, whereas others, like Dr. Redekop would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 find it probable that the plaintiff would have been referred to Dr. Redekop had her AVM been diagnosed before July 25, 2010, and received his advice against intervention to treat her AVM. I also find it likely that the plaintiff's mother would, as she did when she received the advice of the defendant, supported by that of Dr. How, that a CT scan was not indicated, have sought at least a second opinion with respect to the treatment of her daughter's AVM. This in turn would have led her to physicians like Drs. Lownie, Nikolakis and McKenzie who would have offered her contrary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In the result, I find that had her AVM been diagnosed before July 25, 2010, the plaintiff and her mother would have been presented with treatment options and have had to decide whether to pursue those options, rather than to "wait and see" as Dr. Redekop would have advised.</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Would the plaintiff have undergone treatment for her condition if it had been identified prior to July 25,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Dr. Redekop agreed that had the plaintiff, having discovered her AVM, been under his care and followed his advice as set out in his report, she would still have suffered a hemorrhage and that his medical management of the AVM would have been of no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Whether the plaintiff would have undergone treatment had an AVM been identified is based on the same modified objective analysis that typically applies in the context of informed consent to medical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Kooijman v. Bradshaw</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2016 BCSC 2316</w:t>
        </w:r>
      </w:hyperlink>
      <w:r>
        <w:rPr>
          <w:rFonts w:ascii="arial" w:eastAsia="arial" w:hAnsi="arial" w:cs="arial"/>
          <w:color w:val="000000"/>
          <w:sz w:val="20"/>
          <w:lang w:val="en-US" w:eastAsia="en-US" w:bidi="ar-SA"/>
        </w:rPr>
        <w:t>, the plaintiff alleged the defendant physicians were negligent in the diagnosis of a left neck node, and, had they not been negligent, she would have selected an alternative to the surgery she underwent. The causation issue was framed at para. 67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Kooijman must establish that, on a balance of probabilities, had the diagnosis for the left neck node been merely "suspicious" instead of positive, that she would have been offered and would have selected an alternative to the surgery she underwent.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test for determining whether the plaintiff would have undergone the same surgery or a different surgery is based on a modified objective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at 899, the Supreme Court of Canada described the modified objective test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average prudent person, the reasonable person in the patient's particular position, would agree to or not agree to, if all material and special risks of going ahead with the surgery or foregoing it were made known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Arndt v. Smith</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the Supreme Court of Canada adverted back to </w:t>
      </w:r>
      <w:r>
        <w:rPr>
          <w:rFonts w:ascii="arial" w:eastAsia="arial" w:hAnsi="arial" w:cs="arial"/>
          <w:i/>
          <w:color w:val="000000"/>
          <w:sz w:val="20"/>
          <w:lang w:val="en-US" w:eastAsia="en-US" w:bidi="ar-SA"/>
        </w:rPr>
        <w:t>Reibl v. Hughes</w:t>
      </w:r>
      <w:r>
        <w:rPr>
          <w:rFonts w:ascii="arial" w:eastAsia="arial" w:hAnsi="arial" w:cs="arial"/>
          <w:color w:val="000000"/>
          <w:sz w:val="20"/>
          <w:lang w:val="en-US" w:eastAsia="en-US" w:bidi="ar-SA"/>
        </w:rPr>
        <w:t>. At paras. 4-9, Cory J., for the majority, wrote that:</w:t>
      </w:r>
      <w:r>
        <w:rPr>
          <w:rFonts w:ascii="arial" w:eastAsia="arial" w:hAnsi="arial" w:cs="arial"/>
          <w:sz w:val="20"/>
          <w:lang w:val="en-US" w:eastAsia="en-US" w:bidi="ar-SA"/>
        </w:rPr>
        <w:cr/>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Laskin C.J. shared the authors' concerns about the subjective test, and rejected the pure subjective approach to causation. He explained at p. 898 that the plaintiff's testimony as to what he or she would have done, had the doctor given an adequate warning, is of little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could hardly be expected that the patient who is suing would admit that he would have agreed to have the surgery, even knowing all the accompanying risks. His suit would indicate that, having suffered serious disablement because of the surgery, he is convinced that he would not have permitted it if there had been proper disclosure of the risks, balanced by the risks of refusing the surgery. Yet, to apply a subjective test to causation would, correlatively, put a premium on hindsight, even more of a premium than would be put on medical evidence in assessing causation by an objective standard.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While an objective test would prevent an inappropriate emphasis being placed on the plaintiff's testimony, Laskin C.J. thought that a purely objective test also presented problems.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the purely objective standard might result in undue emphasis being placed on the medical evidence, essentially resulting in a test which defers completely to medical wisdom.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To balance the two problems, Laskin C.J. opted for a modified objective test for causation, which he set out at length at pp. 898-900: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it is the safer course on the issue of causation to consider objectively how far the balance in the risks of surgery or no surgery is in favour of undergoing surgery. The failure of proper disclosure pro and con becomes therefore very material. And so too are any special considerations affecting the particular patient. For example, the patient may have asked specific questions which were either brushed aside or were not fully answered or were answered wrongly. In the present case, the anticipation of a full pension would be a special consideration, and, while it would have to be viewed objectively, it emerges from the patient's particular circumstances. So too, other aspects of the objective standard would have to be geared to what the average prudent person, the reasonable person in the patient's particular position, would agree to or not agree to, if all material and special risks of going ahead with the surgery or foregoing it were made known to him. Far from making the patient's own testimony irrelevant, it is essential to his case that he put his own position forward.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adoption of an objective standard does not mean that the issue of causation is completely in the hands of the surgeon. Merely because medical evidence establishes the reasonableness of a recommended operation does not mean that a reasonable person in the patient's position would necessarily agree to it, if proper disclosure had been made of the risks attendant upon it, balanced by those against it. The patient's particular situation and the degree to which the risks of surgery or no surgery are balanced would reduce the force, on an objective appraisal, of the surgeon's recommendation. Admittedly, if the risk of foregoing the surgery would be considerably graver to a patient than the risks attendant upon it, the objective standard would favour exoneration of the surgeon who has not made the required disclosure. Since liability rests only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a failure to disclose material risks, the issue of causation would be in the patient's hands on a subjective test, and would, if his evidence was accepted, result inevitably in liability unless, of course, there was a finding that there was no breach of the duty of disclosure. In my view, therefore, the objective standard is the preferable one on the issue of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saying that the test is based on the decision that a reasonable person in the patient's position would have made, I should make it clear that the patient's particular concerns must also be reasonably based; otherwise, there would be more subjectivity than would be warranted under an objective test. Thus, for example, fears which are not related to the material risks which should have been but were not disclosed would not be causative factors. However, economic considerations could reasonably go to causation where, for example, the loss of an eye as a result of non-disclosure of a material risk brings about the loss of a job for which good eyesight is required. In short, although account must be taken of a patient's particular position, a position which will vary with the patient, it must be objectively assessed in terms of reasonableness.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words are as persuasive today as they were when they were written. The test enunciated relies on a combination of objective and subjective factors in order to determine whether the failure to disclose actually caused the harm of which the plaintiff complains. It requires that the court consider what the reasonable patient in the circumstances of the plaintiff would have done if faced with the same situation. The trier of fact must take into consideration any "particular concerns" of the patient and any "special considerations affecting the particular patient" in determining whether the patient would have refused treatment if given all the information about the possible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At paras. 7-8, Cory J. discussed the Court's then recent reconsideration of the modified objective test, and its application to case of a manufacturer's failure to warn, </w:t>
      </w:r>
      <w:r>
        <w:rPr>
          <w:rFonts w:ascii="arial" w:eastAsia="arial" w:hAnsi="arial" w:cs="arial"/>
          <w:i/>
          <w:color w:val="000000"/>
          <w:sz w:val="20"/>
          <w:lang w:val="en-US" w:eastAsia="en-US" w:bidi="ar-SA"/>
        </w:rPr>
        <w:t>Hollis v. Dow Corning Corp.</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 xml:space="preserve">. Cory J. noted that both the majority and minority judgments in </w:t>
      </w:r>
      <w:r>
        <w:rPr>
          <w:rFonts w:ascii="arial" w:eastAsia="arial" w:hAnsi="arial" w:cs="arial"/>
          <w:i/>
          <w:color w:val="000000"/>
          <w:sz w:val="20"/>
          <w:lang w:val="en-US" w:eastAsia="en-US" w:bidi="ar-SA"/>
        </w:rPr>
        <w:t>Hollis</w:t>
      </w:r>
      <w:r>
        <w:rPr>
          <w:rFonts w:ascii="arial" w:eastAsia="arial" w:hAnsi="arial" w:cs="arial"/>
          <w:color w:val="000000"/>
          <w:sz w:val="20"/>
          <w:lang w:val="en-US" w:eastAsia="en-US" w:bidi="ar-SA"/>
        </w:rPr>
        <w:t xml:space="preserve"> explicitly endorsed the continued application of the modified objective test from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xml:space="preserv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by a patient against a doctor, and that </w:t>
      </w:r>
      <w:r>
        <w:rPr>
          <w:rFonts w:ascii="arial" w:eastAsia="arial" w:hAnsi="arial" w:cs="arial"/>
          <w:i/>
          <w:color w:val="000000"/>
          <w:sz w:val="20"/>
          <w:lang w:val="en-US" w:eastAsia="en-US" w:bidi="ar-SA"/>
        </w:rPr>
        <w:t>Hollis</w:t>
      </w:r>
      <w:r>
        <w:rPr>
          <w:rFonts w:ascii="arial" w:eastAsia="arial" w:hAnsi="arial" w:cs="arial"/>
          <w:color w:val="000000"/>
          <w:sz w:val="20"/>
          <w:lang w:val="en-US" w:eastAsia="en-US" w:bidi="ar-SA"/>
        </w:rPr>
        <w:t xml:space="preserve"> is a very strong affirmation that "should not be lightly disregarded."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In further clarifying the test from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Cory J. wrote at para. 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doubt that objectively ascertainable circumstances, such as a plaintiff's age, income, marital status, and other factors, should be taken into consideration. However, Laskin C.J. didn't stop there. He went on and stated that "special considerations" affecting the particular patient should be considered, as should any "specific questions" asked of the physician by the patient. In my view this means that the "reasonable person" who sets the standard for the objective test must be taken to possess the patient's reasonable beliefs, fears, desires and expectations. Further, the patient's expectations and concerns will usually be revealed by the questions posed. Certainly, they will indicate the specific concerns of the particular patient at the time consent was given to a proposed course of treatment. The questions, by revealing the patient's concerns, will provide an indication of the patient's state of mind, which can be relevant in considering and applying the modified objective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Evidence from medical experts on what a patient likely would have done knowing the risks has been viewed by our courts as potentially determinative on the modified objective test. For example, in </w:t>
      </w:r>
      <w:r>
        <w:rPr>
          <w:rFonts w:ascii="arial" w:eastAsia="arial" w:hAnsi="arial" w:cs="arial"/>
          <w:i/>
          <w:color w:val="000000"/>
          <w:sz w:val="20"/>
          <w:lang w:val="en-US" w:eastAsia="en-US" w:bidi="ar-SA"/>
        </w:rPr>
        <w:t>Ralston v. Morris</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[1996] B.C.J. No. 3125</w:t>
        </w:r>
      </w:hyperlink>
      <w:r>
        <w:rPr>
          <w:rFonts w:ascii="arial" w:eastAsia="arial" w:hAnsi="arial" w:cs="arial"/>
          <w:color w:val="000000"/>
          <w:sz w:val="20"/>
          <w:lang w:val="en-US" w:eastAsia="en-US" w:bidi="ar-SA"/>
        </w:rPr>
        <w:t xml:space="preserve"> (S.C.) at para. 49, Mr. Justice Lowry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there is no denying that what she suffered in the weeks following the surgery was most distressing for her, I do not consider a woman in Ms. Ralston's circumstances would have forgone the operation even if told there was a high risk of wound breakdown. I say that principally because the suffering associated with the breakdown, as opposed to the permanence of scarring, was relatively short term. I am supported in this view by the unchallenged medical evidence that only a very small percentage of women (perhaps 5%) who pursue the idea of breast reduction as far as consulting a plastic surgeon, and who are then properly apprised of all of the risks, do not have the surgery done. Evidence of this kind was viewed as largely determinative in </w:t>
      </w:r>
      <w:r>
        <w:rPr>
          <w:rFonts w:ascii="arial" w:eastAsia="arial" w:hAnsi="arial" w:cs="arial"/>
          <w:i/>
          <w:color w:val="000000"/>
          <w:sz w:val="20"/>
          <w:lang w:val="en-US" w:eastAsia="en-US" w:bidi="ar-SA"/>
        </w:rPr>
        <w:t>Truant v. Guichon</w:t>
      </w:r>
      <w:r>
        <w:rPr>
          <w:rFonts w:ascii="arial" w:eastAsia="arial" w:hAnsi="arial" w:cs="arial"/>
          <w:color w:val="000000"/>
          <w:sz w:val="20"/>
          <w:lang w:val="en-US" w:eastAsia="en-US" w:bidi="ar-SA"/>
        </w:rPr>
        <w:t xml:space="preserve"> (pp. 15-18).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The defendant contends that the evidence of the plaintiff and her mother that they would have wanted to undergo treatment is to be given little to no weight in this context. In </w:t>
      </w:r>
      <w:r>
        <w:rPr>
          <w:rFonts w:ascii="arial" w:eastAsia="arial" w:hAnsi="arial" w:cs="arial"/>
          <w:i/>
          <w:color w:val="000000"/>
          <w:sz w:val="20"/>
          <w:lang w:val="en-US" w:eastAsia="en-US" w:bidi="ar-SA"/>
        </w:rPr>
        <w:t>Arndt</w:t>
      </w:r>
      <w:r>
        <w:rPr>
          <w:rFonts w:ascii="arial" w:eastAsia="arial" w:hAnsi="arial" w:cs="arial"/>
          <w:color w:val="000000"/>
          <w:sz w:val="20"/>
          <w:lang w:val="en-US" w:eastAsia="en-US" w:bidi="ar-SA"/>
        </w:rPr>
        <w:t>, the Supreme Court referred to this subjective evidence as to intent as "inherently unreliable testimony." That is why this issue is addressed applying a modified objective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plaintiff's mother conceded in her cross-examination at trial that she generally followed the advice of her daughter's physicians, but this concession must be placed in the context of her pursuit of a CT scan for the plaintiff, notwithstanding Dr. How's advice that it was not indicated, and her choice not to take the medication recommended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That said, what is relevant is any "particular concerns" or "special considerations" affecting the plaintiff at the time the decision would have been made. Those considerations inform the analysis of what a reasonable person in the plaintiff's circumstances would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Prior to her injury on July 25, 2010, the plaintiff's parents and the plaintiff together made decisions about her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When asked in direct examination what she would have done if diagnosed with an AVM, the plaintiff stated she would have discussed this with her parents, would have been anxious if an AVM were not treated, and would have wanted something to happen right away. The plaintiff stated she would have wanted surgical treatment even if she was feeling fine, and even if there were risks with treatment. The plaintiff stated she would have wanted another opinion if the recommendation were no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plaintiff stated that prior to her injury in July 2010, her goals were to complete high school at SMUS and attend university. She was interested in writing and public speaking, and language function was important to her. She was physically active, having competed in swimming and rowing, and motor function was important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defendant contends that in this case, the following evidence regarding the plaintiff's circumstances prior to July 25, 2010 weighs against her undergoing treatment:</w:t>
      </w:r>
      <w:r>
        <w:rPr>
          <w:rFonts w:ascii="arial" w:eastAsia="arial" w:hAnsi="arial" w:cs="arial"/>
          <w:sz w:val="20"/>
          <w:lang w:val="en-US" w:eastAsia="en-US" w:bidi="ar-SA"/>
        </w:rPr>
        <w:cr/>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an intelligent young woman, successful in academics and athletics, with ambitions to complete high school at SMUS and attend Columbia University,</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stated she would have made decisions regarding her health that would have allowed her to complete high school at SMUS and attend university,</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stated if she had been told she had an AVM prior to July 25, 2010, she would have depended on her physician to provide her with information regarding what an AVM is and how it should be managed,</w:t>
      </w:r>
    </w:p>
    <w:p>
      <w:pPr>
        <w:numPr>
          <w:numId w:val="4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agreed she relied on and accepted her physicians' advice with respect to decisions she made regarding her medical care, and</w:t>
      </w:r>
    </w:p>
    <w:p>
      <w:pPr>
        <w:numPr>
          <w:numId w:val="4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her mother elected to decline treatment with Tylenol #3 and Imitrex for headaches because of the side effects of medication, preferring acupuncture because there were less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In cross-examination, the plaintiff acknowledged she would have made decisions regarding her health that would have allowed her to complete high school at SMUS and attend university. The plaintiff stated if she had been told she had an AVM prior to July 25, 2010, she would have depended on her physician to provide her with information regarding what an AVM is and how it should be managed. She agreed she relied on her physicians for medical advice and made decisions based on their expertise, judgment, and advice. The plaintiff agreed she relied on and accepted her physicians' advice with respect to decisions she made regarding her medical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To paraphrase Chief Justice Laskin in </w:t>
      </w:r>
      <w:r>
        <w:rPr>
          <w:rFonts w:ascii="arial" w:eastAsia="arial" w:hAnsi="arial" w:cs="arial"/>
          <w:i/>
          <w:color w:val="000000"/>
          <w:sz w:val="20"/>
          <w:lang w:val="en-US" w:eastAsia="en-US" w:bidi="ar-SA"/>
        </w:rPr>
        <w:t>Reibl</w:t>
      </w:r>
      <w:r>
        <w:rPr>
          <w:rFonts w:ascii="arial" w:eastAsia="arial" w:hAnsi="arial" w:cs="arial"/>
          <w:color w:val="000000"/>
          <w:sz w:val="20"/>
          <w:lang w:val="en-US" w:eastAsia="en-US" w:bidi="ar-SA"/>
        </w:rPr>
        <w:t>, it could hardly be expected that the plaintiff would admit that she would have agreed not to pursue some form of treatment, even knowing all the accompanying risks of so doing. Her suit indicates that, having suffered serious disablement because the lack of intervention, she is convinced that she would have pursued some form of intervention it if there had been proper disclosure of the risks of non-intervention, balanced by the risks of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Weighed against her evidence is the evidence of Dr. Shevell that for those patients diagnosed with an AVM who have not hemorrhaged, he could not recall any in the last five years having a neurosurgical intervention, as well as the strong views of Dr. Redekop against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 have concluded that if faced with the choice of intervention or no intervention, a reasonable person in the position of the plaintiff or her mother, to whom proper disclosure of attendant risks had been made would have carefully weighed the risks and benefits of both options, and would have deferred the decision as to whether to pursue intervention, and if so, what intervention, until that person completed her high school education and attended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case before me is a sympathetic one. The plaintiff, a young person with a bright future, has been given very unfortunate circumstances, which have undoubtedly altered the course of her life, not for the better. It is the role of this Court to assess the evidence through unbiased eyes, and to correctly apply the legal principles applicable to this jurisdiction. Unfortunately for the plaintiff in this case, the evidence presented before me, applied to the correct legal principles, is insufficient for a finding of liability against the defendant. Several experts provided evidence for both sides in this case. The experts had differing opinions on many if not all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As I have noted above, according to the law, the opinion of one or even a group of medical experts about the appropriate medical standard will not necessarily equate to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such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Applying the correct legal principles to the evidence before me, I find that there is an insufficient basis for a finding of liability against the defendant, and therefore dismiss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2" style="position:absolute;z-index:251764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Sohal v. Lezama, [2019] B.C.J. No. 1893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10 and August 15, 2019; September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 and 16, 2019 by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M147109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1893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1709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30 B.C.L.R. (6th) 162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C.P.C. (8th) 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2939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Rupinder Sohal, Plaintiff, and Graham Lezama, Enterprise Rent-A-Car Canada Company/La Compagnie de Location D'Autos Enterprise Canada doing business as Enterprise Rent-A-Car or Enterprise Rentals, Enterprise Rent-A-Car of British Columbia doing business as Enterprise Rentals,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(101 paras.)</w:t>
      </w:r>
    </w:p>
    <w:p>
      <w:pPr>
        <w:jc w:val="both"/>
        <w:rPr>
          <w:rFonts w:ascii="arial" w:eastAsia="arial" w:hAnsi="arial" w:cs="arial"/>
          <w:sz w:val="20"/>
          <w:lang w:val="en-US" w:eastAsia="en-US" w:bidi="ar-SA"/>
        </w:rPr>
      </w:pPr>
      <w:bookmarkStart w:id="22" w:name="Counsel_4"/>
      <w:bookmarkEnd w:id="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3"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Graham Lezama and Enterprise Rent-A-Car Canada Company: Vince G. Critchley.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PFM Productions Inc. and LHP Holdings Inc.: Paul R. Saunders.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 w:name="Judgment_4"/>
      <w:bookmarkEnd w:id="23"/>
      <w:r>
        <w:pict>
          <v:line id="_x0000_s1044" style="position:absolute;z-index:251714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 AND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BACKGROUND AND 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MASTER'S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REVIEW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 RE CLAIMS FOR CONTRIBUTION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IS THE EFFECT OF S. 22 OF THE NEW LIMITATION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new Limitation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competing case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 and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 THE TRANSITION PROVISIONS OF THE NEW LIMITATION ACT "SAVE"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Preliminary objection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transitional provisions of the new Limitation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 and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AND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 w:name="N.P. KENT J."/>
            <w:bookmarkEnd w:id="24"/>
            <w:r>
              <w:rPr>
                <w:rFonts w:ascii="arial" w:eastAsia="arial" w:hAnsi="arial" w:cs="arial"/>
                <w:b/>
                <w:color w:val="000000"/>
                <w:sz w:val="30"/>
                <w:lang w:val="en-US" w:eastAsia="en-US" w:bidi="ar-SA"/>
              </w:rPr>
              <w:t>N.P. KENT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 and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May 30, 2018 a master of this Court granted leave for the defendants to each file third party notices seeking contribution and indemnity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from PFM Productions Inc. ("PFM") and its successor by amalgamation LHP Holdings Inc. ("LHP"). PFM and LHP now appeal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master ruled that the two-year limitation period applicable to the defendant Lezama's claim for contribution and indemnity had not expired. She held that the limitation period applicable to the defendant Enterprise's claim for contribution and indemnity had indeed expired, however she exercised her discretion under Rule 3-5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to permit the claim to be brought notwithstanding expiry of that limitation period. In doing so, she dismissed that defendant's argument that s. 22(2)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prohibited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On appeal the defendants concede that the relevant limitation period for the contribution claims had expired for both defendants and that the master's ruling to the contrary with respect to the defendant Lezama was in error. The question on appeal for both defendants is thus whether s. 22(2)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prohibited the third party proceedings or whether it was open to the master to exercise a discretion to permit the third party claims to proceed notwithstanding expiry of the limitation period, a discretion of the sort that existed under the Rules and the now repealed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appeal the defendants seek to argue for the first time that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actually governs the within claim, that no limitation period respecting the proposed contribution claims had actually expired under that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that the master properly exercised the discretion that was available to her under the former regime. In the alternative, if the master's interpretation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not moot, then the defendants submit that she was correct in her determination that s. 22(2)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did not prohibit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the reasons that follow, the appeal is allowed with costs and the order granted by Master Dick on May 30, 2018 is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BACKGROUND and 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This procedural dispute arises in the context of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which provides for vicarious liability upon an owner or lessee of a motor vehicle in certain circumstances. That section deems a person driving a motor vehicle who "acquired possession of that motor vehicle with the consent, express or implied" of its owner and/or lessee to be "the agent or servant of, and employed as such by, that owner/lessee and to be driving or operating the motor vehicle in the course of his or her employment with that owner/lessee". At common law, acting as an agent or employee in the course of one's employment as such gives rise to vicarious liability of the principal/employer for any injury caused by any negligent driving on the part of the "deemed" agent/employee.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this particular case the vehicle was driven by Mr. Lezama. The vehicle, a van, was owned by Enterprise Rent-A-Car ("Enterprise"). At the time of the accident the vehicle had been rented from Enterprise by PFM and was being used in connection with the production of a television movie "Profile For Murder" with which Mr. Lezama was somehow associated.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accident occurred on October 27, 2012 at the intersection of Station Street and Terminal Avenue in the City of Vancouver. At that time, Ms. Rupinder Sohal was sitting in her motor vehicle waiting to exit a parking lot when she was struck and allegedly injured by the van owned by Enterprise and driven by Mr. Lezama.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Exactly two years later on October 27, 2014, Ms. Sohal issued a personal injury lawsuit against Mr. Lezama and Enterprise. Her Notice of Civil Claim originally misnamed Mr. Lezama as "Lezama Graham". When that error was discovered, it was corrected by way of an Amended Notice of Civil Claim filed on July 27,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claim against Mr. Lezama asserted direct liability on his part for negligent driving. The claim against Enterprise was two-fold: first, it alleged vicarious liability on the part of Enterprise in its capacity as the owner of a vehicle who had expressly or impliedly consented to Mr. Lezama having possession of it within the meaning of s. 86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Secondly, the claim also alleged direct liability on the part of Enterprise for, among other things, failing to maintain the vehicle "in good working order" and allowing Mr. Lezama to operate the vehicle when he had "inadequate skill and training" to properly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Both versions of the Notice of Civil Claim also included a certain "John Doe" as a defendant. The pleadings alleged that John Doe, a litigation pseudonym because true identity was unknown at the time, was the employer of Mr. Lezama at the time of the accident. The pleading framed an alternative claim for both vicarious and direct liability on the part of that unknown employer in exactly the same terms as the claim against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April 14, 2016 ICBC-appointed defence counsel filed a Response to Civil Claim on behalf of both Mr. Lezama and Enterprise. Among other things, that Response:</w:t>
      </w:r>
      <w:r>
        <w:rPr>
          <w:rFonts w:ascii="arial" w:eastAsia="arial" w:hAnsi="arial" w:cs="arial"/>
          <w:sz w:val="20"/>
          <w:lang w:val="en-US" w:eastAsia="en-US" w:bidi="ar-SA"/>
        </w:rPr>
        <w:cr/>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admitted that a motor vehicle accident had occurred at the time and place alleged involving a motor vehicle driven by Mr. Lezama with the consent of its registered owner(s);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admitted that Enterprise was the owner of the vehicle;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identified the "John Doe" referred to in the Amended Notice of Civil Claim as PFM, an entity that had rented the Lezama-driven motor vehicle from Enterprise at the material time;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denied any fault on the part of Mr. Lezama/ Enterprise but in the alternative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with respect to the accident and consequential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Various developments occurred as a result of PFM being identified in the pleadings: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law firms were appointed to represent Mr. Lezama and Enterprise;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all three of the plaintiff, Mr. Lezama and Enterprise consented to an order adding PFM and LHP as defendants (the former in the place of "John Doe") and further amending the Notice of Civil Claim to reflect their addition (again, essentially paralleling the same claim made against Enterprise);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registry rejected the consent order because it had not been consented to by the parties who were proposed to be added (PFM and LHP).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February 23, 2018 a Notice of Application was filed by Mr. Lezama seeking leave to add PFM and LHP as third parties in the action and to file an attached form of Third Party Notice claiming contribution and indemnity from them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That application was supported by an affidavit sworn by a paralegal at the law firm representing Mr. Lezama.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 March 28, 2018 PFM and LHP filed a joint Application Response to the Lezama application. Among other things, that Response invoked the "transition provisions"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relied on s. 22(2) of that Act as a complete defence to both the claim itself and the application to add the two companies as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May 7, 2018 Enterprise filed its separate Notice of Application to also add PFM and LHP as third parties to the action and for leave to issue an attached form of Third Party Notice against them. In addition to the previously sworn paralegal affidavit filed in relation to the Lezama application, counsel for Enterprise filed three additional affidavits sworn by a risk manager from Enterprise, a claims examiner from ICBC, and the lawyer who had initially represented both defendants and who filed their joint Response to Civil Claim. All of this material purports to explain the "confusion" on the part of counsel and their client insurer in identifying the role of PFM in the underlying drama and the delay in bringing forward any application to add the proposed third parties 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On May 8, 2018 counsel for PFM and LHP filed their joint Application Response to the Enterprise application. Again,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was invoked as a complete defence to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Both applications came before the master in chambers on May 30, 2018. Oral judgment was granted at the conclusion of the application. Leave was granted to add PFM and LHP as third parties to the action and to issue Third Party Notices in the form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During the application, counsel for PFM and LHP sought an order that, if they were added to the litigation as third parties, they should be permitted to argue limitation period expiry as a defence to the contribution claim on the merits at trial. The master ruled that, because she had not been provided with any fulsome arguments on the point, the parties would be permitted to return at a later date to address this issue. The formal orders filed with the registry following the applications granted the parties leave to appear for a continuation of the application respecting preservation of the limitation defence as a defence on the merits at any trial. That continuation did not occur. Instead, this appeal proceeding was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MASTER'S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Reasons for Judgment were delivered orally following the conclusion of the applications and they are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master first recited the history of the litigation. She then referred to the "rules and applicable law". In that regard she set out the principles to be considered on an application for leave to file a Third Party Notice pursuant to Rule 3-5(4), principles on which the parties agreed: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proposed third party must establish beyond doubt that the pleadings disclose no cause of action. The court is permitted to reject proposed claims only if the action is "bound to lose" or there is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exercising its discretion as to whether leave ought to be granted, the court can consider factors such as prejudice to the parties, the expiration of a limitation period, the merits of the proposed claim, any delay in the proceedings and the timeliness of the application.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is generally not required [to] adduce evidence in support of pleadings, and that applies to amendment of pleadings. The court is required to assume that all pleaded facts are true.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important consideration is whether it is "just and convenient" in all the circumstances of the case to grant leave to file the third party notice.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Steveston Seafood Auction Inc. v. Bahi</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2013 BCSC 1072</w:t>
        </w:r>
      </w:hyperlink>
      <w:r>
        <w:rPr>
          <w:rFonts w:ascii="arial" w:eastAsia="arial" w:hAnsi="arial" w:cs="arial"/>
          <w:color w:val="000000"/>
          <w:sz w:val="20"/>
          <w:lang w:val="en-US" w:eastAsia="en-US" w:bidi="ar-SA"/>
        </w:rPr>
        <w:t xml:space="preserve"> at para.19.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master also recited the "applicable sections"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namely, ss. 8 (general discovery rules), 16 (discovery rule for claims for contribution on indemnity), and 22(1) and (2) (counterclaim or other claim or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analysis portion of her decision, the master:</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acknowledged the third parties' arguments that the limitation period for the proposed contribution and indemnity proceedings had expired in September 2017 and that the defendants are "unable to obtain leave in this matter due to the language in s. 22(2)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held that the "limitation period for the filing of the claims for contribution and indemnity started to run in April 2016, the date of filing of the Response to Civil Claim",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that no limitation period had expired by the time Mr. Lezama filed his application for leave to issue his Third Party Notice;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acknowledged that even if she was wrong in that finding, she was able to exercise discretion to permit the third party claims regardless of the expiry of any limitation period, and proceeded to consider the relevant factors for the exercise of that discretion;</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concluded that it was just and convenient to grant leave notwithstanding expiry of the limitation period because there was merit to the claim, the third party proceedings would not give rise to any delay in the action, and the explanation given for the delay in instituting the applications was acceptable (attempts to resolve matters by consent); and</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made a finding that "the prejudice to the defendants in not granting leave in this matter outweighs any prejudice to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result, leave was granted to both defendants to file their respective proposed Third Party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REVIEW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accept the appellant's submission respecting the applicable standard of review, namely: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review on appeal of a Master's decision depends on the nature of the decision:</w:t>
      </w:r>
    </w:p>
    <w:p>
      <w:pPr>
        <w:numPr>
          <w:numId w:val="1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of a purely interlocutory decision is a true appeal and the master's decision is not to be interfered with unless it is 'clearly wrong' ... [a decision can be said to be clearly wrong when, among other things, a master</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exercises her decision under a mistake of law;</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errs in law or principle;</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misdirects herself on the evidence;</w:t>
      </w:r>
    </w:p>
    <w:p>
      <w:pPr>
        <w:numPr>
          <w:numId w:val="2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disregards a principle;</w:t>
      </w:r>
    </w:p>
    <w:p>
      <w:pPr>
        <w:numPr>
          <w:numId w:val="2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misapprehends facts or takes into account irrelevant factors; or</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makes an order that would result in an injustice]; and</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questions of law, final orders, and rulings on questions vital to the final issue in the case are reviewed by way of a rehearing on the merits based on the record before the master. Even when an exercise of discretion is involved, the judge appealed to may properly substitute his or her own view for that of the master.</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Kalafchi v. Yao</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2015 BCCA 524</w:t>
        </w:r>
      </w:hyperlink>
      <w:r>
        <w:rPr>
          <w:rFonts w:ascii="arial" w:eastAsia="arial" w:hAnsi="arial" w:cs="arial"/>
          <w:color w:val="000000"/>
          <w:sz w:val="20"/>
          <w:lang w:val="en-US" w:eastAsia="en-US" w:bidi="ar-SA"/>
        </w:rPr>
        <w:t xml:space="preserve"> at paras. 3 and 13.</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Sidhu v. Hothi</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2014 BCCA 510</w:t>
        </w:r>
      </w:hyperlink>
      <w:r>
        <w:rPr>
          <w:rFonts w:ascii="arial" w:eastAsia="arial" w:hAnsi="arial" w:cs="arial"/>
          <w:color w:val="000000"/>
          <w:sz w:val="20"/>
          <w:lang w:val="en-US" w:eastAsia="en-US" w:bidi="ar-SA"/>
        </w:rPr>
        <w:t xml:space="preserve"> at para. 9</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Abermin Corp. v. Granges Exploration Ltd</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PFM and LHP submit the appropriate standard of review in this case is a re-hearing on the merits because:</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determination that the limitation period had not expired with respect to Mr. Lezama's claim for contribution or indemnity was clearly wrong; and</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 determination that s. 22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allows discretion to permit a third party claim for contribution and indemnity following applicable limitation period expiry is incorrect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noted above, the defendants now concede that the limitation period for bringing their third party claims under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had indeed expired before their respective applications for leave had been filed. They thus agree with the appellant that the master's determination to the contrary with respect to the Lezama Third Party Notice was clearly wrong. That concession narrows the issue on appeal to a question of law, namely, whether there is any discretion under s. 22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to grant leave to bring a third party claim for contribution and indemnity after the applicable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agree that the appropriate procedure on this appeal is a re-hearing on the merits based on the record before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 RE CLAIMS FOR CONTRIBUTION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Rule 3-5 addresses third party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Making a third party claim</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against whom relief is sought in an action may, if that party is not a plaintiff in the action, pursue a third party claim against any person if the party alleges that</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contribution or indemnity from the person in relation to any relief that is being sought against the party in the action,</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relief against the person and that relief relates to or is connected with the subject matter of the action, or</w:t>
      </w:r>
    </w:p>
    <w:p>
      <w:pPr>
        <w:numPr>
          <w:numId w:val="3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between the party and the person</w:t>
      </w:r>
    </w:p>
    <w:p>
      <w:pPr>
        <w:numPr>
          <w:numId w:val="3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substantially the same as a question or issue that relates to or is connected with</w:t>
      </w:r>
    </w:p>
    <w:p>
      <w:pPr>
        <w:numPr>
          <w:numId w:val="3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claimed in the action, or</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action, and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properly be determined in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Third party need not be party to original action</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party claim may be pursued against a person, whether or not that person is a party to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leave is required</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file a third party notice</w:t>
      </w:r>
    </w:p>
    <w:p>
      <w:pPr>
        <w:numPr>
          <w:numId w:val="3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with leave of the court, or</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leave of the court, within 42 days after being served with the notice of civil claim or counterclaim in which the relief referred to in subrule (1) is claimed.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for leave</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an application for leave under subrule (4) (a) must be served on</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and</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parties of record.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set aside third party notice</w:t>
      </w:r>
    </w:p>
    <w:p>
      <w:pPr>
        <w:numPr>
          <w:numId w:val="4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on application, the court may set aside a third party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response to third party notice not required</w:t>
      </w:r>
    </w:p>
    <w:p>
      <w:pPr>
        <w:numPr>
          <w:numId w:val="4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party who is a defendant in the action need not file or serve a response to third party notice and is deemed to deny the facts alleged in the third party notice and to rely on the facts pleaded in that party's response to civil claim if all of the following apply:</w:t>
      </w:r>
    </w:p>
    <w:p>
      <w:pPr>
        <w:numPr>
          <w:numId w:val="4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party notice contains no claim other than a claim for contribution or indemnity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numPr>
          <w:numId w:val="4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has filed and served a response to civil claim to the plaintiff's notice of civil claim;</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intends, in defending against the third party notice, to rely on the facts set out in the third party's response to civil claim and on no other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Claims for contribution or indemnity are most frequently, but not exclusively, brought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Rule 21-9 addresses claims brought under that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Contribution or indemnity claimed under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p>
    <w:p>
      <w:pPr>
        <w:numPr>
          <w:numId w:val="4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defendant who claims contribution or indemnity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from a person must do so,</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against whom the claim is to be made is a plaintiff, by counterclaim, or</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other case, whether or not the person against whom the claim is to be made is a party to the action, by third party notice.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Apportionment of liability claimed under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defendant who does not claim contribution or indemnity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but who does claim an apportionment of liability under that Act must claim that apportionment in the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did not expressly address limitation periods applicable to claims for contribution or indemnity, whether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or otherwise. The common law principles respecting causes of action for contribution or indemnity were thus an important consideration in determining applicable limitation periods and, in the context of any third party proceeding respecting same, how any defence based on limitation period expiry might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First enacted in 1925, and last seriously amended in 1936,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significantly changed the common law in the areas of (1)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(2) apportionment of fault, and (3) contribution and indemnity between defendants. An extensive description of the law in this regard, including the difficult procedural and substantive issues involved, can be found in the Law Reform Commission of British Columbia's "Report on Shared Liability" (L.R.C. 88, August 1986) and the British Columbia Law Institute's "Report on Contribution After Settlement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(B.C.L.I. 74, December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"characteristics of the cause of action" for contribution and indemnity as well as third party proceedings related to same were exhaustively canvassed by our Court of Appeal in </w:t>
      </w:r>
      <w:r>
        <w:rPr>
          <w:rFonts w:ascii="arial" w:eastAsia="arial" w:hAnsi="arial" w:cs="arial"/>
          <w:i/>
          <w:color w:val="000000"/>
          <w:sz w:val="20"/>
          <w:lang w:val="en-US" w:eastAsia="en-US" w:bidi="ar-SA"/>
        </w:rPr>
        <w:t>The Owners, Strata Plan LMS 1751 v. Scott Management Ltd.</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2010 BCCA 192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terms "contribution" and "indemnity" both refer to a restitutionary remedy rooted in unjust enrichment that provides a right of contribution toward a plaintiff's damages as between concurrent tortfeasors. A claim for indemnity seeks recovery of the entire amount that a tortfeasor has paid to the plaintiff. A claim for contribution seeks only a portion of that amount. For the sake of brevity, in these reasons I use the term "contribution" to refer to both.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There was no right to contribution at common law between concurrent tortfeasors. A plaintiff could sue and collect 100 percent of her loss from any one of several concurrent tortfeasors regardless of his degree of fault. That tortfeasor had no right to then sue the others to recover the amounts attributable to their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British Columbia, that unfairness was remedied by enacting a statutory right to contribution and indemnity in 1936. Presently, that right is found in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reads: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4(1) If damage or loss has been caused by the fault of 2 or more persons, the court must determine the degree to which each person was at fault.</w:t>
      </w:r>
    </w:p>
    <w:p>
      <w:pPr>
        <w:numPr>
          <w:numId w:val="5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5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Section 4(2) thus creates two independent statutory rights. The first is a plaintiff's right to recover the whole of her loss from any one of several concurrent tortfeasors on the basis that they are jointly and severally liable. The second is the right as between those tortfeasors to claim contribution.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cause of action for contribution does not accrue, and the limitation period does not begin to run, until the defendant tortfeasor sued by the plaintiff has been found liable: </w:t>
      </w:r>
      <w:r>
        <w:rPr>
          <w:rFonts w:ascii="arial" w:eastAsia="arial" w:hAnsi="arial" w:cs="arial"/>
          <w:i/>
          <w:color w:val="000000"/>
          <w:sz w:val="20"/>
          <w:lang w:val="en-US" w:eastAsia="en-US" w:bidi="ar-SA"/>
        </w:rPr>
        <w:t>George Wimpey &amp; Co. v. British Overseas Airways Corporation</w:t>
      </w:r>
      <w:r>
        <w:rPr>
          <w:rFonts w:ascii="arial" w:eastAsia="arial" w:hAnsi="arial" w:cs="arial"/>
          <w:color w:val="000000"/>
          <w:sz w:val="20"/>
          <w:lang w:val="en-US" w:eastAsia="en-US" w:bidi="ar-SA"/>
        </w:rPr>
        <w:t xml:space="preserve">, [1955] A.C. 169 at 177, [1954] 3 All E.R. 661 (H.L.); </w:t>
      </w:r>
      <w:r>
        <w:rPr>
          <w:rFonts w:ascii="arial" w:eastAsia="arial" w:hAnsi="arial" w:cs="arial"/>
          <w:i/>
          <w:color w:val="000000"/>
          <w:sz w:val="20"/>
          <w:lang w:val="en-US" w:eastAsia="en-US" w:bidi="ar-SA"/>
        </w:rPr>
        <w:t>British Columbia Hydro and Power Authority v. Van Westen</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[1974] 3 W.W.R. 20</w:t>
        </w:r>
      </w:hyperlink>
      <w:r>
        <w:rPr>
          <w:rFonts w:ascii="arial" w:eastAsia="arial" w:hAnsi="arial" w:cs="arial"/>
          <w:color w:val="000000"/>
          <w:sz w:val="20"/>
          <w:lang w:val="en-US" w:eastAsia="en-US" w:bidi="ar-SA"/>
        </w:rPr>
        <w:t xml:space="preserve"> at 22 (B.C.S.C); </w:t>
      </w:r>
      <w:r>
        <w:rPr>
          <w:rFonts w:ascii="arial" w:eastAsia="arial" w:hAnsi="arial" w:cs="arial"/>
          <w:i/>
          <w:color w:val="000000"/>
          <w:sz w:val="20"/>
          <w:lang w:val="en-US" w:eastAsia="en-US" w:bidi="ar-SA"/>
        </w:rPr>
        <w:t>Krusel No. 1</w:t>
      </w:r>
      <w:r>
        <w:rPr>
          <w:rFonts w:ascii="arial" w:eastAsia="arial" w:hAnsi="arial" w:cs="arial"/>
          <w:color w:val="000000"/>
          <w:sz w:val="20"/>
          <w:lang w:val="en-US" w:eastAsia="en-US" w:bidi="ar-SA"/>
        </w:rPr>
        <w:t xml:space="preserve"> at paras. 47-50.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does not set out a specific limitation period for a claim for contribution. It is thus subject to the residual limitation period of six years pursuant to s. 3(5)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xml:space="preserve"> case was a classic example of the so-called "leaky condo" litigation that inundated the legal system in British Columbia for almost three decades. The plaintiff strata corporation sued the construction managers, architects and developer of the condominium complex for damage arising from water leaks penetrating the building envelope. The leaks had been noticed and investigated shortly after completion of construction in 1994. The litigation was started by way of a Writ issued in November 1999 served upon the defendants one year later. The Statement of Claim was issued two years later in October 2002 and defence pleadings early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applied in July 2006 to add as defendants some 17 new parties who had been trade contractors, material suppliers and consultants on the project. That application was dismissed because no satisfactory explanation for the lengthy delay in bringing the joinder application was offered, the limitation period for the plaintiff to sue the proposed new parties had expired, prejudice in the form of lost witnesses and documentation existed, and a draft proposed Amended Statement of Claim was not provided to particularize the connection between the proposed new parties and the subject matter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Thereafter in July 2008 the defendants issued Third Party Notices against the same trade contractors, material suppliers and consultants claiming contribution and indemnity from them pursuant to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In 2009 the third parties brought an application to set aside the Third Party Notices relying on the same evidence of prejudice successfully raised in opposition to the earlier application by the plaintiff to join them as defendants. Once again, that evidence was not disputed nor was any explanation for the delay in issuing the Third Party Notices provided. Instead, the defendants simply argued such considerations were irrelevant because the claim in the Third Party Notices was limited to contribution and indemnity and the limitation period for that cause of action did not begin to run until the plaintiff obtained judgment against them (a date far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relevant rules and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provisions included former Rule 22(1), (6) and (14), now Rule 3-5(1), (4), (8) and Rule 21-9, and s. 4(1) of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which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If an action to which this or any other Act applies has been commenced, the lapse of time limited for bringing an action is no bar to ...</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proceedings,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any applicable law, with respect to any claims related to or connected with the subject matter of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well, the guidelines applicable to exercising discretion under Rule 22(6) to set aside a Third Party Notice had been well-established in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(1985), 61 B.C.L.R. 315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Lui No. 1</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(1987), 11 B.C.L.R. (2nd) 273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Lui No. 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addition to describing the characteristics of a cause of action for contribution and indemnity, as set out above, the Court of Appeal in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xml:space="preserve"> made the following observations and rulings:</w:t>
      </w:r>
      <w:r>
        <w:rPr>
          <w:rFonts w:ascii="arial" w:eastAsia="arial" w:hAnsi="arial" w:cs="arial"/>
          <w:sz w:val="20"/>
          <w:lang w:val="en-US" w:eastAsia="en-US" w:bidi="ar-SA"/>
        </w:rPr>
        <w:cr/>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expiry of the limitation period governing the plaintiff's claim against the trades, suppliers and consultants did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bar the defendants' claim against them for contribution under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numPr>
          <w:numId w:val="5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two quite different categories of cases that must be considered:</w:t>
      </w:r>
    </w:p>
    <w:p>
      <w:pPr>
        <w:numPr>
          <w:numId w:val="5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covers situations where a proposed defendant/third party enjoys immunity from the plaintiff's claim by virtue of pre-tort contract or legislation;</w:t>
      </w:r>
    </w:p>
    <w:p>
      <w:pPr>
        <w:numPr>
          <w:numId w:val="5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second category involves situations where, at the time the tort occurred, concurrent tortfeasors became potentially jointly and severally liable to the plaintiff under s. 4(2)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but the plaintiff's cause of action in that regard was extinguished through a settlement or expiry of the limitation period;</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 4(2)(b)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creates an independent right of contribution, the objective of which is to ensure that any damages established by the plaintiff will be shared equitably among concurrent tortfeasors according to their degree of fault;</w:t>
      </w:r>
    </w:p>
    <w:p>
      <w:pPr>
        <w:numPr>
          <w:numId w:val="6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principled reason why the post-tort conduct of the plaintiff in failing to join some tortfeasors as defendants before the limitation period against them expired should interfere with the defendants' right of contribution;</w:t>
      </w:r>
    </w:p>
    <w:p>
      <w:pPr>
        <w:numPr>
          <w:numId w:val="6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22(14)(b) (currently Rule 21-9), which requires a defendant to seek contribution or indemnity from a non-party by way of third party notice does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extinguish the defendants' right to claim contribution from other tortfeasors by way of a separate action issued after liability is first imposed upon that defendant--procedural rules cannot extinguish a substantive cause of action;</w:t>
      </w:r>
    </w:p>
    <w:p>
      <w:pPr>
        <w:numPr>
          <w:numId w:val="6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rule simply stipulates that a claim for contribution must be brought by third party notice if it is advanced in the plaintiff's action;</w:t>
      </w:r>
    </w:p>
    <w:p>
      <w:pPr>
        <w:numPr>
          <w:numId w:val="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plaintiff obtains judgment against a tortfeasor, the independent cause of action for contribution against concurrent tortfeasors is "accrued" and at that point is governed by a six-year limitation period;</w:t>
      </w:r>
    </w:p>
    <w:p>
      <w:pPr>
        <w:numPr>
          <w:numId w:val="6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an error in principle in the exercise of judicial discretion to dismiss a claim for contribution on the basis of inordinate delay when the limitation period for that claim has not expired;</w:t>
      </w:r>
    </w:p>
    <w:p>
      <w:pPr>
        <w:numPr>
          <w:numId w:val="6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striking third party notices seeking contribution because of inordinate delay does not extinguish the claim but simply postpones it to the six-year period following the date judgment is obtained against the tortfeasor, a consequence that likely exacerbates the prejudicial effect of delay; and</w:t>
      </w:r>
    </w:p>
    <w:p>
      <w:pPr>
        <w:numPr>
          <w:numId w:val="6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fundamental question on applications to strike third party contribution notices should be whether greater injustice and inconvenience will arise from allowing the contribution claim to continue as a third party proceeding, or from striking it and leaving it to be pursued in a separate future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the result, since the limitation period for the defendants to seek contribution from the proposed third-party tortfeasors had not expired, the Court of Appeal in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xml:space="preserve"> allowed the appeal and reinstated the Third Party Notices issued by the defendants against the trades, suppliers and consultants involved in the condominium construction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wish to add a few comments of my own about third party proceedings for contribution, which may have implications for the issues to be decided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noted above, under the "old" regime, a tortfeasor's independent statutory cause of action for contribution from concurrent tortfeasors did not accrue until a liability judgment against that tortfeasor was obtained by the plaintiff. The procedural rule permitting such a claim to be pursued before any liability judgment is issued ["old" Rule 22(14)(b), current Rule 21-9] thus provides for a claim that was and is, technically speaking, both conditional and declaratory in nature. This is because:</w:t>
      </w:r>
      <w:r>
        <w:rPr>
          <w:rFonts w:ascii="arial" w:eastAsia="arial" w:hAnsi="arial" w:cs="arial"/>
          <w:sz w:val="20"/>
          <w:lang w:val="en-US" w:eastAsia="en-US" w:bidi="ar-SA"/>
        </w:rPr>
        <w:cr/>
      </w:r>
    </w:p>
    <w:p>
      <w:pPr>
        <w:numPr>
          <w:numId w:val="6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plaintiff is contributorily negligent (as tort defendants almost invariably claim, particularly in motor vehicle actions), then, s. 1 and 2(c)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combine to mean that multiple tortfeasor defendants are severally, not jointly, liable and each such defendant is liable to pay only for that portion of the loss that corresponds to his degree of fault: </w:t>
      </w:r>
      <w:r>
        <w:rPr>
          <w:rFonts w:ascii="arial" w:eastAsia="arial" w:hAnsi="arial" w:cs="arial"/>
          <w:i/>
          <w:color w:val="000000"/>
          <w:sz w:val="20"/>
          <w:lang w:val="en-US" w:eastAsia="en-US" w:bidi="ar-SA"/>
        </w:rPr>
        <w:t>Leischner v. West Kootenay Power and Light Co</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(1986), 70 B.C.L.R. 145</w:t>
        </w:r>
      </w:hyperlink>
      <w:r>
        <w:rPr>
          <w:rFonts w:ascii="arial" w:eastAsia="arial" w:hAnsi="arial" w:cs="arial"/>
          <w:color w:val="000000"/>
          <w:sz w:val="20"/>
          <w:lang w:val="en-US" w:eastAsia="en-US" w:bidi="ar-SA"/>
        </w:rPr>
        <w:t xml:space="preserve"> (C.A.). Hence if the plaintiff is found contributorily negligent, contribution between multiple defendant tortfeasors does not arise (and any third party proceedings for same necessarily fail);</w:t>
      </w:r>
    </w:p>
    <w:p>
      <w:pPr>
        <w:numPr>
          <w:numId w:val="6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where the plaintiff was not contributorily negligent and concurrent defendant tortfeasors were jointly and severally liable to pay 100 per cent of the plaintiff's loss, any defendant's claim for contribution did not "mature" unless and until that defendant "overpaid",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was called upon by the plaintiff to pay a sum which exceeds that portion of the loss corresponding to his degree of fault (the defendant can only require contribution towards that "excess" payment); and</w:t>
      </w:r>
    </w:p>
    <w:p>
      <w:pPr>
        <w:numPr>
          <w:numId w:val="7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hence, the third party proceeding is essentially seeking declaratory relief,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"if the plaintiff is not contributorily at fault, and if I am required by the plaintiff to pay any portion of his loss exceeding my allocated degree of fault, then I am entitled to contribution from the other liable tortfeasor(s) for such excess payment": see </w:t>
      </w:r>
      <w:r>
        <w:rPr>
          <w:rFonts w:ascii="arial" w:eastAsia="arial" w:hAnsi="arial" w:cs="arial"/>
          <w:i/>
          <w:color w:val="000000"/>
          <w:sz w:val="20"/>
          <w:lang w:val="en-US" w:eastAsia="en-US" w:bidi="ar-SA"/>
        </w:rPr>
        <w:t>Ferguson v. Ferguson</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[1996] B.C.J. No. 2626</w:t>
        </w:r>
      </w:hyperlink>
      <w:r>
        <w:rPr>
          <w:rFonts w:ascii="arial" w:eastAsia="arial" w:hAnsi="arial" w:cs="arial"/>
          <w:color w:val="000000"/>
          <w:sz w:val="20"/>
          <w:lang w:val="en-US" w:eastAsia="en-US" w:bidi="ar-SA"/>
        </w:rPr>
        <w:t xml:space="preserve"> (S.C.)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Because the cause of action for, and a concurrent tortfeasor's liability for, contribution did not arise until after the plaintiff has obtained and enforced (collected) his judgment, and because any such contribution liability was subject to a six-year limitation period following such judgment, it was unheard of under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for any contribution claim to be met with a defence based on expiry of the limitation period. Rather, as a matter of practice in most multi-party tort cases, all "at-risk" tortfeasors would usually be drawn into the underlying litigation and, as a matter of law,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defences to any contribution claim could not and would not arise. This is exactly what happened in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procedural rules considered in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xml:space="preserve"> have not changed in any substantive way except for the new requirement under Rule 3-5(4), which only allows a defendant to issue a Third Party Notice (whether for contribution or any other matter) without leave of the court if it is filed within 42 days after being served with the plaintiff's Notice of Civil Claim. What </w:t>
      </w:r>
      <w:r>
        <w:rPr>
          <w:rFonts w:ascii="arial" w:eastAsia="arial" w:hAnsi="arial" w:cs="arial"/>
          <w:color w:val="000000"/>
          <w:sz w:val="20"/>
          <w:u w:val="single"/>
          <w:lang w:val="en-US" w:eastAsia="en-US" w:bidi="ar-SA"/>
        </w:rPr>
        <w:t>has</w:t>
      </w:r>
      <w:r>
        <w:rPr>
          <w:rFonts w:ascii="arial" w:eastAsia="arial" w:hAnsi="arial" w:cs="arial"/>
          <w:color w:val="000000"/>
          <w:sz w:val="20"/>
          <w:lang w:val="en-US" w:eastAsia="en-US" w:bidi="ar-SA"/>
        </w:rPr>
        <w:t xml:space="preserve"> changed, however, is the repeal of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in favour of a new limitation regime that now expressly imposes a much shorter two-year limitation period (following "discovery") for claims for contribution and indemnity. The question now is whether the new legislation effectively prohibits third party proceedings for contribution or indemnity between concurrent tortfeasors if, whether through inadvertence or otherwise, they are not brought within the new two-year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now turn to that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WHAT IS THE EFFECT OF S. 22 OF THE NEW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new </w:t>
      </w:r>
      <w:r>
        <w:rPr>
          <w:rFonts w:ascii="arial" w:eastAsia="arial" w:hAnsi="arial" w:cs="arial"/>
          <w:b/>
          <w:i/>
          <w:color w:val="000000"/>
          <w:sz w:val="20"/>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Limitations law is wholly a creature of statute. If there is no statutory limitation period applicable to a cause of action, proceedings may be commenced at any time, subject to the doctrine of laches in the case of equitable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was enacted in 1975. It continued the conventional approach of assigning different limitation periods to specific categories of causes of action. The limitation period was triggered upon accrual. The Act provided for the extinguishment of a cause of action on the expiration of the assigned limitation period (s.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also introduced Canada's first attempt to statutorily codify a "discoverability" principle by way of a "postponement" mechanism,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the start time for a limitation period might be postponed until the material facts surrounding the cause of action became discoverable. The Act also introduced ultimate limitation periods beyond which no action could be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After 1975 there were several amendments to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but no comprehensive reform. That reform occurred on June 1, 2013 when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was repealed and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came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Under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starting date for a limitation period is the date on which the claim is "discovered" and not when the right to sue on a cause of action accrues at law. Unlike the old Act,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does not contain a provision that expressly extinguishes causes of action upon expiry of the relevant limitation period. Rather, the latter simply prohibits the commencement of a court proceeding in respect of a "claim" once the limitation period has expired. As well, for the first time,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expressly addresses "claims for contribution or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For present purposes, the relevant provisions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Definitions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In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claim</w:t>
      </w:r>
      <w:r>
        <w:rPr>
          <w:rFonts w:ascii="arial" w:eastAsia="arial" w:hAnsi="arial" w:cs="arial"/>
          <w:color w:val="000000"/>
          <w:sz w:val="20"/>
          <w:lang w:val="en-US" w:eastAsia="en-US" w:bidi="ar-SA"/>
        </w:rPr>
        <w:t>" means a claim to remedy an injury, loss or damage that occurred as a result of an act or omission;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limitation period</w:t>
      </w:r>
      <w:r>
        <w:rPr>
          <w:rFonts w:ascii="arial" w:eastAsia="arial" w:hAnsi="arial" w:cs="arial"/>
          <w:color w:val="000000"/>
          <w:sz w:val="20"/>
          <w:lang w:val="en-US" w:eastAsia="en-US" w:bidi="ar-SA"/>
        </w:rPr>
        <w:t>", in relation to a claim, means the period after which a court proceeding must not be brought with respect to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Basic limitation period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6(1) Subject to this Act, a court proceeding in respect of a claim must not be commenced more than 2 years after the day on which the claim is discovered.</w:t>
      </w:r>
    </w:p>
    <w:p>
      <w:pPr>
        <w:numPr>
          <w:numId w:val="7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 year limitation period established under subsection (1) of this section does not apply to a court proceeding referred to in section 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discovery rules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 Except for those special situations referred to in sections 9 to 11, a claim is discovered by a person on the first day on which the person knew or reasonably ought to have known all of the following:</w:t>
      </w:r>
    </w:p>
    <w:p>
      <w:pPr>
        <w:numPr>
          <w:numId w:val="7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injury, loss or damage had occurred;</w:t>
      </w:r>
    </w:p>
    <w:p>
      <w:pPr>
        <w:numPr>
          <w:numId w:val="7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injury, loss or damage was caused by or contributed to by an act or omission;</w:t>
      </w:r>
    </w:p>
    <w:p>
      <w:pPr>
        <w:numPr>
          <w:numId w:val="7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 or omission was that of the person against whom the claim is or may be made;</w:t>
      </w:r>
    </w:p>
    <w:p>
      <w:pPr>
        <w:numPr>
          <w:numId w:val="7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having regard to the nature of the injury, loss or damage, a court proceeding would be an appropriate means to seek to remedy the injury, loss or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Discovery rule for claims for contribution or indemnity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 A claim for contribution or indemnity is discovered on the later of the following:</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day on which the claimant for contribution or indemnity is served with a pleading in respect of a claim on which the claim for contribution or indemnity is based;</w:t>
      </w:r>
    </w:p>
    <w:p>
      <w:pPr>
        <w:numPr>
          <w:numId w:val="7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day on which the claimant knew or reasonably ought to have known that a claim for contribution or indemnity may be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Counterclaim or other claim or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22(1) If a court proceeding has been commenced in relation to a claim within the basic limitation period and ultimate limitation period applicable to the claim and there is another claim (the "related claim") relating to or connected with the first mentioned claim, the following may, in the court proceeding, be done with respect to the related claim even though a limitation period applicable to either or both of the claims has expired:</w:t>
      </w:r>
    </w:p>
    <w:p>
      <w:pPr>
        <w:numPr>
          <w:numId w:val="7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by counterclaim may be brought, including the addition of a new party as a defendant by counterclaim;</w:t>
      </w:r>
    </w:p>
    <w:p>
      <w:pPr>
        <w:numPr>
          <w:numId w:val="7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proceedings may be brought;</w:t>
      </w:r>
    </w:p>
    <w:p>
      <w:pPr>
        <w:numPr>
          <w:numId w:val="8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by way of set off may be advanced;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parties may be added or substituted as plaintiffs or defendants.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subsection (1) gives a person a right to commence a court proceeding under subsection (1) (a) or (b) in relation to a claim for contribution or indemnity after the expiry of a limitation period applicable to that claim.</w:t>
      </w:r>
    </w:p>
    <w:p>
      <w:pPr>
        <w:numPr>
          <w:numId w:val="8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enable a person to make a claim against another person if a claim by the other person</w:t>
      </w:r>
    </w:p>
    <w:p>
      <w:pPr>
        <w:numPr>
          <w:numId w:val="8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the first mentioned person, and</w:t>
      </w:r>
    </w:p>
    <w:p>
      <w:pPr>
        <w:numPr>
          <w:numId w:val="8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relating to or connected with 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or will be defeated by the first mentioned person pleading a provision of this Act as a defence.</w:t>
      </w:r>
    </w:p>
    <w:p>
      <w:pPr>
        <w:numPr>
          <w:numId w:val="8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interfere with any judicial discretion to refuse relief on grounds unrelated to the expiry of a limitation period.</w:t>
      </w:r>
    </w:p>
    <w:p>
      <w:pPr>
        <w:numPr>
          <w:numId w:val="8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court proceeding, the court may, on terms as to costs or otherwise that the court considers just, allow the amendment of a pleading to raise a new claim even though, at the time of the amendment, a court proceeding could not, under section 6, 7 or 21, be commenced with respect to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Pursuant to s. 6(1) and 16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limitation period for commencing a court proceeding in respect of a claim for contribution or indemnity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is two years following "discovery" of that claim. Such "discovery" occurs on the </w:t>
      </w:r>
      <w:r>
        <w:rPr>
          <w:rFonts w:ascii="arial" w:eastAsia="arial" w:hAnsi="arial" w:cs="arial"/>
          <w:color w:val="000000"/>
          <w:sz w:val="20"/>
          <w:u w:val="single"/>
          <w:lang w:val="en-US" w:eastAsia="en-US" w:bidi="ar-SA"/>
        </w:rPr>
        <w:t>later</w:t>
      </w:r>
      <w:r>
        <w:rPr>
          <w:rFonts w:ascii="arial" w:eastAsia="arial" w:hAnsi="arial" w:cs="arial"/>
          <w:color w:val="000000"/>
          <w:sz w:val="20"/>
          <w:lang w:val="en-US" w:eastAsia="en-US" w:bidi="ar-SA"/>
        </w:rPr>
        <w:t xml:space="preserve"> of the service of the underlying lawsuit or the first day the claimant knew or reasonably ought to have known that such a contribution claim could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most cases, the day on which service of a pleading is effected will be largely uncontroversial and easily determined. This may not be the case with respect to the date on which any particular claimant knew or reasonably ought to have known (a subjective/objective test) that a claim for contribution or indemnity may be made; this is particularly so with respect to delayed discovery that loss or damage had occurred, or delayed discovery of the identity of the person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that loss or damage. The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xml:space="preserve"> case referred to above, like many construction deficiency cases, is a good example of a situation where "discovery" of claims for contribution or indemnity may be delayed for a considerable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present case, the defendants have now admitted that the limitation period applicable to their contribution claims in their proposed Third Party Notices had expired before any application was filed for leave to issue those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Section 22(1)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permits the filing of a third party proceeding in an action even though a limitation period applicable to the third party claims has expired. Without more, the expiry of such limitation period would not prevent any court from granting leave pursuant to Rule 3-5(4)(a) for the filing of any such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Unlike the situation under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there is now more to the equation: s. 22(2)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qualifies the litigation rights granted in s. 22(1). In particular, that section provides that s. 22(1) does not give a person the right to "commence a court proceeding" in relation to a claim for contribution or indemnity after the limitation period applicable to that claim has expired. Hence the question that has given rise to this appeal: What exactly is the effect of s. 22(2)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upon a proposed third party proceeding for contribution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if the limitation period for such a contribution claim has otherwise expired?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competing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competing case law in British Columbia on whether s. 22(2) effectively prohibits third party proceedings for contribution or indemnity between concurrent tortfeasors if they are not issued within the new two-year limitation period applicable to such claims. The cases include, in chronological order:</w:t>
      </w:r>
      <w:r>
        <w:rPr>
          <w:rFonts w:ascii="arial" w:eastAsia="arial" w:hAnsi="arial" w:cs="arial"/>
          <w:sz w:val="20"/>
          <w:lang w:val="en-US" w:eastAsia="en-US" w:bidi="ar-SA"/>
        </w:rPr>
        <w:cr/>
      </w:r>
    </w:p>
    <w:p>
      <w:pPr>
        <w:numPr>
          <w:numId w:val="9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Hadland v. Reems</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2015 BCSC 115</w:t>
        </w:r>
      </w:hyperlink>
      <w:r>
        <w:rPr>
          <w:rFonts w:ascii="arial" w:eastAsia="arial" w:hAnsi="arial" w:cs="arial"/>
          <w:color w:val="000000"/>
          <w:sz w:val="20"/>
          <w:lang w:val="en-US" w:eastAsia="en-US" w:bidi="ar-SA"/>
        </w:rPr>
        <w:t xml:space="preserve"> (Master Caldwell): personal injury claim arising from a 2010 motor vehicle accident. Defendant's Third Party Notice leave application filed April 2014, 36 months after service of the Notice of Civil Claim. The court noted that under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right to bring a contribution claims arises upon judgment being granted against the defendant but that under the new Act, the limitation was established by determining when the defendant knew or ought to have known of the potential contribution claim. The court noted, "On a full review of the facts, it appears likely that no limitation period has expired" except the 42-day window for issuing Third Party Notice without leave. Leave was nonetheless denied because of unexplained delay;</w:t>
      </w:r>
    </w:p>
    <w:p>
      <w:pPr>
        <w:numPr>
          <w:numId w:val="9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Herman v. Accent Homes Realty Ltd.</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2017 BCSC 479</w:t>
        </w:r>
      </w:hyperlink>
      <w:r>
        <w:rPr>
          <w:rFonts w:ascii="arial" w:eastAsia="arial" w:hAnsi="arial" w:cs="arial"/>
          <w:color w:val="000000"/>
          <w:sz w:val="20"/>
          <w:lang w:val="en-US" w:eastAsia="en-US" w:bidi="ar-SA"/>
        </w:rPr>
        <w:t xml:space="preserve"> (Master McDiarmid): defendant sought leave to issue a contribution Third Party Notice against a non-party. The two-year limitation period under the new Act had expired before the application was brought. The court emphasized s. 22(2) of the new Act but also assessed the prejudice to the proposed third party given the passage of time. Leave was denied;</w:t>
      </w:r>
    </w:p>
    <w:p>
      <w:pPr>
        <w:numPr>
          <w:numId w:val="9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Marathon Capital LLC v. 973613 Alberta Ltd.</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2017 BCSC 2126</w:t>
        </w:r>
      </w:hyperlink>
      <w:r>
        <w:rPr>
          <w:rFonts w:ascii="arial" w:eastAsia="arial" w:hAnsi="arial" w:cs="arial"/>
          <w:color w:val="000000"/>
          <w:sz w:val="20"/>
          <w:lang w:val="en-US" w:eastAsia="en-US" w:bidi="ar-SA"/>
        </w:rPr>
        <w:t xml:space="preserve"> (Master Harper): application for leave to file a contribution Third Party Notice against a co-defendant. Notice of Civil Claim served August, 2014. The limitation period for the defendant to commence a separate action against the proposed third party was conceded to have expired. The delay was caused by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applied the discretionary factors for leave to file a Third Party Notice outside the 42-day window as summarized in </w:t>
      </w:r>
      <w:r>
        <w:rPr>
          <w:rFonts w:ascii="arial" w:eastAsia="arial" w:hAnsi="arial" w:cs="arial"/>
          <w:i/>
          <w:color w:val="000000"/>
          <w:sz w:val="20"/>
          <w:lang w:val="en-US" w:eastAsia="en-US" w:bidi="ar-SA"/>
        </w:rPr>
        <w:t>Hadland</w:t>
      </w:r>
      <w:r>
        <w:rPr>
          <w:rFonts w:ascii="arial" w:eastAsia="arial" w:hAnsi="arial" w:cs="arial"/>
          <w:color w:val="000000"/>
          <w:sz w:val="20"/>
          <w:lang w:val="en-US" w:eastAsia="en-US" w:bidi="ar-SA"/>
        </w:rPr>
        <w:t xml:space="preserve">. There is no discussion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Leave to file the Third Party Notice was granted;</w:t>
      </w:r>
    </w:p>
    <w:p>
      <w:pPr>
        <w:numPr>
          <w:numId w:val="9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Stephenson v. Bridges</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2018 BCSC 1155</w:t>
        </w:r>
      </w:hyperlink>
      <w:r>
        <w:rPr>
          <w:rFonts w:ascii="arial" w:eastAsia="arial" w:hAnsi="arial" w:cs="arial"/>
          <w:color w:val="000000"/>
          <w:sz w:val="20"/>
          <w:lang w:val="en-US" w:eastAsia="en-US" w:bidi="ar-SA"/>
        </w:rPr>
        <w:t xml:space="preserve"> (Forth J.): motor vehicle accident occurred December 2013, Notice of Civil Claim filed December 2015. Defendants' responses filed April/May 2016. Two years later, one defendant seeks leave to file contribution Third Party Notice against co-defendants (in respect of whom a Consent Dismissal Order was being proposed). Court refers to the discretionary test under Rule 3-5(4) for granting leave to file a Third Party Notice after the 42-day window (referring to the factors identified in </w:t>
      </w:r>
      <w:r>
        <w:rPr>
          <w:rFonts w:ascii="arial" w:eastAsia="arial" w:hAnsi="arial" w:cs="arial"/>
          <w:i/>
          <w:color w:val="000000"/>
          <w:sz w:val="20"/>
          <w:lang w:val="en-US" w:eastAsia="en-US" w:bidi="ar-SA"/>
        </w:rPr>
        <w:t>Hadland</w:t>
      </w:r>
      <w:r>
        <w:rPr>
          <w:rFonts w:ascii="arial" w:eastAsia="arial" w:hAnsi="arial" w:cs="arial"/>
          <w:color w:val="000000"/>
          <w:sz w:val="20"/>
          <w:lang w:val="en-US" w:eastAsia="en-US" w:bidi="ar-SA"/>
        </w:rPr>
        <w:t xml:space="preserve">, among other cases). The court notes that s. 22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permits contribution third party proceedings "outside of the two-year limitation period, but it is discretionary". The parties concede a "residual discretion to allow the filing of a late Third Party Notice" (referencing </w:t>
      </w:r>
      <w:r>
        <w:rPr>
          <w:rFonts w:ascii="arial" w:eastAsia="arial" w:hAnsi="arial" w:cs="arial"/>
          <w:i/>
          <w:color w:val="000000"/>
          <w:sz w:val="20"/>
          <w:lang w:val="en-US" w:eastAsia="en-US" w:bidi="ar-SA"/>
        </w:rPr>
        <w:t>Herman</w:t>
      </w:r>
      <w:r>
        <w:rPr>
          <w:rFonts w:ascii="arial" w:eastAsia="arial" w:hAnsi="arial" w:cs="arial"/>
          <w:color w:val="000000"/>
          <w:sz w:val="20"/>
          <w:lang w:val="en-US" w:eastAsia="en-US" w:bidi="ar-SA"/>
        </w:rPr>
        <w:t>). No reference is made to s. 22(2) of the Act. Court holds, "Factors against granting leave outweigh the factors supporting leave" and application dismissed;</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Jiang v. Oei</w:t>
      </w:r>
      <w:r>
        <w:rPr>
          <w:rFonts w:ascii="arial" w:eastAsia="arial" w:hAnsi="arial" w:cs="arial"/>
          <w:color w:val="000000"/>
          <w:sz w:val="20"/>
          <w:lang w:val="en-US" w:eastAsia="en-US" w:bidi="ar-SA"/>
        </w:rPr>
        <w:t xml:space="preserve">, Vancouver Registry S159351, December 13, 2018, (Horsman J.): application for leave to file a Third Party Notice outside the 42-day window. Court concludes the two-year limitation period for bringing a contribution claim had expired. Court then considers the </w:t>
      </w:r>
      <w:r>
        <w:rPr>
          <w:rFonts w:ascii="arial" w:eastAsia="arial" w:hAnsi="arial" w:cs="arial"/>
          <w:i/>
          <w:color w:val="000000"/>
          <w:sz w:val="20"/>
          <w:lang w:val="en-US" w:eastAsia="en-US" w:bidi="ar-SA"/>
        </w:rPr>
        <w:t>Hadland</w:t>
      </w:r>
      <w:r>
        <w:rPr>
          <w:rFonts w:ascii="arial" w:eastAsia="arial" w:hAnsi="arial" w:cs="arial"/>
          <w:color w:val="000000"/>
          <w:sz w:val="20"/>
          <w:lang w:val="en-US" w:eastAsia="en-US" w:bidi="ar-SA"/>
        </w:rPr>
        <w:t xml:space="preserve"> factors for leave, "If I am wrong about the expiry of the limitation period". Lengthy unexplained delay and prejudice also asserted. Court declines to grant leave. There is no discussion of s. 22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Owners, Strata Plan BCS 3156 v. KBK No. 11 Ventures Ltd.</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2019 BCSC 565</w:t>
        </w:r>
      </w:hyperlink>
      <w:r>
        <w:rPr>
          <w:rFonts w:ascii="arial" w:eastAsia="arial" w:hAnsi="arial" w:cs="arial"/>
          <w:color w:val="000000"/>
          <w:sz w:val="20"/>
          <w:lang w:val="en-US" w:eastAsia="en-US" w:bidi="ar-SA"/>
        </w:rPr>
        <w:t xml:space="preserve"> (Master Muir): construction deficiency action started in December 2015 and served on defendant architect in December 2016. Many other parties and also several third parties in the action. Defendant applies for leave to file Third Party Notice against a non-party consultant. Progress in the action is slow. No trial date set, however court finds two-year limitation period for a contribution claim has expired. Court refers to s. 22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Herman</w:t>
      </w:r>
      <w:r>
        <w:rPr>
          <w:rFonts w:ascii="arial" w:eastAsia="arial" w:hAnsi="arial" w:cs="arial"/>
          <w:color w:val="000000"/>
          <w:sz w:val="20"/>
          <w:lang w:val="en-US" w:eastAsia="en-US" w:bidi="ar-SA"/>
        </w:rPr>
        <w:t xml:space="preserve"> decision and concludes that the expiry of the limitation period is "determinative" and that the defendant was "barred from bringing a third party [contribution] claim". In the alternative ("even if I am wrong in that regard"), the application would have been dismissed because of inordinate and unexplained delay in seeking to add the third party to the proceedings;</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Ferenzc-Elder v. Klein</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2019 BCSC 735</w:t>
        </w:r>
      </w:hyperlink>
      <w:r>
        <w:rPr>
          <w:rFonts w:ascii="arial" w:eastAsia="arial" w:hAnsi="arial" w:cs="arial"/>
          <w:color w:val="000000"/>
          <w:sz w:val="20"/>
          <w:lang w:val="en-US" w:eastAsia="en-US" w:bidi="ar-SA"/>
        </w:rPr>
        <w:t xml:space="preserve"> (Master Cameron): personal injury claim arising out of an assault that occurred in August 2014. Notice of Civil Claim filed two years later. The defendant applied for leave to file a contribution Third Party Notice in March 2019. The court quotes extensively from </w:t>
      </w:r>
      <w:r>
        <w:rPr>
          <w:rFonts w:ascii="arial" w:eastAsia="arial" w:hAnsi="arial" w:cs="arial"/>
          <w:i/>
          <w:color w:val="000000"/>
          <w:sz w:val="20"/>
          <w:lang w:val="en-US" w:eastAsia="en-US" w:bidi="ar-SA"/>
        </w:rPr>
        <w:t>Stephenson</w:t>
      </w:r>
      <w:r>
        <w:rPr>
          <w:rFonts w:ascii="arial" w:eastAsia="arial" w:hAnsi="arial" w:cs="arial"/>
          <w:color w:val="000000"/>
          <w:sz w:val="20"/>
          <w:lang w:val="en-US" w:eastAsia="en-US" w:bidi="ar-SA"/>
        </w:rPr>
        <w:t xml:space="preserve"> including that case's reference to a discretion to permit third party contribution proceedings outside the two-year limitation period. The same discretionary leave factors are considered and leave was granted because "the third party will not be at any disadvantage in pursuing his defence". No reference is made or consideration given to s. 22(2)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Mahajan v. Abogado</w:t>
      </w:r>
      <w:r>
        <w:rPr>
          <w:rFonts w:ascii="arial" w:eastAsia="arial" w:hAnsi="arial" w:cs="arial"/>
          <w:color w:val="000000"/>
          <w:sz w:val="20"/>
          <w:lang w:val="en-US" w:eastAsia="en-US" w:bidi="ar-SA"/>
        </w:rPr>
        <w:t xml:space="preserve">, (Master Harper): application for leave to file contribution Third Party Notice against the co-defendant in an motor vehicle accident action. Court squarely addresses "whether s. 22(2)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bars the ability of the court to grant leave to file a Third Party Notice". The court concludes that s. 22(2) only bars "a right to commence a court proceeding", presumably determining that a third party contribution proceeding does not so qualify. "The analysis remains, as it always has been, and the factors set out in many decisions, including </w:t>
      </w:r>
      <w:r>
        <w:rPr>
          <w:rFonts w:ascii="arial" w:eastAsia="arial" w:hAnsi="arial" w:cs="arial"/>
          <w:i/>
          <w:color w:val="000000"/>
          <w:sz w:val="20"/>
          <w:lang w:val="en-US" w:eastAsia="en-US" w:bidi="ar-SA"/>
        </w:rPr>
        <w:t>Marathon Capital</w:t>
      </w:r>
      <w:r>
        <w:rPr>
          <w:rFonts w:ascii="arial" w:eastAsia="arial" w:hAnsi="arial" w:cs="arial"/>
          <w:color w:val="000000"/>
          <w:sz w:val="20"/>
          <w:lang w:val="en-US" w:eastAsia="en-US" w:bidi="ar-SA"/>
        </w:rPr>
        <w:t>, [apply]". "Expiry of the limitation period is a factor, but in my view not a significant one because of the knowledge that all of the parties had had about the merits of the claim from an early stage." Leave was granted for the Third Party Notice to be filed;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Klingele v. Lee</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2019 BCSC 1407</w:t>
        </w:r>
      </w:hyperlink>
      <w:r>
        <w:rPr>
          <w:rFonts w:ascii="arial" w:eastAsia="arial" w:hAnsi="arial" w:cs="arial"/>
          <w:color w:val="000000"/>
          <w:sz w:val="20"/>
          <w:lang w:val="en-US" w:eastAsia="en-US" w:bidi="ar-SA"/>
        </w:rPr>
        <w:t xml:space="preserve">, (Master Taylor): three different actions arising from three different motor vehicle accidents. Allegations of aggravation of previous injuries. ICBC seeks leave to issue a contribution Third Party Notice against the third parties because of joint liability for indivisible injury. The proposed third parties say "s. 22(2)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does not allow any judicial discretion to extend the two-year limitation period for claims for contribution and indemnity", relying on </w:t>
      </w:r>
      <w:r>
        <w:rPr>
          <w:rFonts w:ascii="arial" w:eastAsia="arial" w:hAnsi="arial" w:cs="arial"/>
          <w:i/>
          <w:color w:val="000000"/>
          <w:sz w:val="20"/>
          <w:lang w:val="en-US" w:eastAsia="en-US" w:bidi="ar-SA"/>
        </w:rPr>
        <w:t>KBK</w:t>
      </w:r>
      <w:r>
        <w:rPr>
          <w:rFonts w:ascii="arial" w:eastAsia="arial" w:hAnsi="arial" w:cs="arial"/>
          <w:color w:val="000000"/>
          <w:sz w:val="20"/>
          <w:lang w:val="en-US" w:eastAsia="en-US" w:bidi="ar-SA"/>
        </w:rPr>
        <w:t xml:space="preserve">. The court declines to follow </w:t>
      </w:r>
      <w:r>
        <w:rPr>
          <w:rFonts w:ascii="arial" w:eastAsia="arial" w:hAnsi="arial" w:cs="arial"/>
          <w:i/>
          <w:color w:val="000000"/>
          <w:sz w:val="20"/>
          <w:lang w:val="en-US" w:eastAsia="en-US" w:bidi="ar-SA"/>
        </w:rPr>
        <w:t>KBK</w:t>
      </w:r>
      <w:r>
        <w:rPr>
          <w:rFonts w:ascii="arial" w:eastAsia="arial" w:hAnsi="arial" w:cs="arial"/>
          <w:color w:val="000000"/>
          <w:sz w:val="20"/>
          <w:lang w:val="en-US" w:eastAsia="en-US" w:bidi="ar-SA"/>
        </w:rPr>
        <w:t>. "In my view, the term 'court proceeding' in subsection (2) means a new court proceeding and not one where an action has already been commenced." Section 22(2) therefore does not apply and the relevant discretionary leave factors militate in favour of leave being granted;</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Dhanda v. Gill</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2019 BCSC 1500</w:t>
        </w:r>
      </w:hyperlink>
      <w:r>
        <w:rPr>
          <w:rFonts w:ascii="arial" w:eastAsia="arial" w:hAnsi="arial" w:cs="arial"/>
          <w:color w:val="000000"/>
          <w:sz w:val="20"/>
          <w:lang w:val="en-US" w:eastAsia="en-US" w:bidi="ar-SA"/>
        </w:rPr>
        <w:t xml:space="preserve"> (Master Elwood): action arises out of a motor vehicle accident in April 2015 resulting in three separate personal injury actions. The defendant issued third party contribution notices in two of the actions but failed to issue such a notice in the third action through inadvertence. The defendant acknowledged the basic limitation period for a claim of contribution or indemnity under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had expired. The court undertakes an exhaustive and thorough analysis respecting interpretation of s. 22(2)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concludes: "With respect to my colleagues who hold the contrary view, I have concluded that s. 22(2) bars a Third Party Notice claiming contribution or indemnity after the limitation period for that claim has expired." Leave to file the Third Party Notice was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Klingele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Dhanda</w:t>
      </w:r>
      <w:r>
        <w:rPr>
          <w:rFonts w:ascii="arial" w:eastAsia="arial" w:hAnsi="arial" w:cs="arial"/>
          <w:color w:val="000000"/>
          <w:sz w:val="20"/>
          <w:lang w:val="en-US" w:eastAsia="en-US" w:bidi="ar-SA"/>
        </w:rPr>
        <w:t xml:space="preserve"> decisions were issued after the original application in this case had been heard. The Court referred both cases to the parties and sought submissions. Not surprisingly, Mr. Lezama endorses the </w:t>
      </w:r>
      <w:r>
        <w:rPr>
          <w:rFonts w:ascii="arial" w:eastAsia="arial" w:hAnsi="arial" w:cs="arial"/>
          <w:i/>
          <w:color w:val="000000"/>
          <w:sz w:val="20"/>
          <w:lang w:val="en-US" w:eastAsia="en-US" w:bidi="ar-SA"/>
        </w:rPr>
        <w:t>Klingele</w:t>
      </w:r>
      <w:r>
        <w:rPr>
          <w:rFonts w:ascii="arial" w:eastAsia="arial" w:hAnsi="arial" w:cs="arial"/>
          <w:color w:val="000000"/>
          <w:sz w:val="20"/>
          <w:lang w:val="en-US" w:eastAsia="en-US" w:bidi="ar-SA"/>
        </w:rPr>
        <w:t xml:space="preserve"> analysis and PFM/LHP submits that </w:t>
      </w:r>
      <w:r>
        <w:rPr>
          <w:rFonts w:ascii="arial" w:eastAsia="arial" w:hAnsi="arial" w:cs="arial"/>
          <w:i/>
          <w:color w:val="000000"/>
          <w:sz w:val="20"/>
          <w:lang w:val="en-US" w:eastAsia="en-US" w:bidi="ar-SA"/>
        </w:rPr>
        <w:t>Dhanda</w:t>
      </w:r>
      <w:r>
        <w:rPr>
          <w:rFonts w:ascii="arial" w:eastAsia="arial" w:hAnsi="arial" w:cs="arial"/>
          <w:color w:val="000000"/>
          <w:sz w:val="20"/>
          <w:lang w:val="en-US" w:eastAsia="en-US" w:bidi="ar-SA"/>
        </w:rPr>
        <w:t xml:space="preserve"> represents the correct interpretation and application of s. 22(2)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and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completely agree with and adopt the analysis of Master Elwood in </w:t>
      </w:r>
      <w:r>
        <w:rPr>
          <w:rFonts w:ascii="arial" w:eastAsia="arial" w:hAnsi="arial" w:cs="arial"/>
          <w:i/>
          <w:color w:val="000000"/>
          <w:sz w:val="20"/>
          <w:lang w:val="en-US" w:eastAsia="en-US" w:bidi="ar-SA"/>
        </w:rPr>
        <w:t>Dhanda</w:t>
      </w:r>
      <w:r>
        <w:rPr>
          <w:rFonts w:ascii="arial" w:eastAsia="arial" w:hAnsi="arial" w:cs="arial"/>
          <w:color w:val="000000"/>
          <w:sz w:val="20"/>
          <w:lang w:val="en-US" w:eastAsia="en-US" w:bidi="ar-SA"/>
        </w:rPr>
        <w:t xml:space="preserve"> insofar as interpretation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in general and s. 22 of that Act in particular is concerned. In my opinion:</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legislature intended to radically change the law and procedure regarding contribution and indemnity claims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properly interpreted,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provides that a two-year limitation period (following "discovery") applies to contribution or indemnity claims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whether brought as a plaintiff by way of a separate action or as a defendant by way of a third party proceeding in an action already underway;</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expiry of the two-year limitation period is a substantive and complete defence to any such contribution/indemnity claim and one which, except in rare circumstances such as waiver or estoppel, will usually result in dismissal of the claim;</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unlike s. 4(1) of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ss. 22(1) and (2)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do not remove an accrued limitation defence as a bar to third party proceeding for contribution or indemnity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to the contrary, where such a defence has accrued and applies, the court should enforce same;</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 3-5(4) bestows a discretion upon the court to permit the filing of Third Party Notices; while that procedural discretion must be exercised judicially and with reference to the factors discussed in the case law, the rule does not permit the court to extinguish a substantive legal defence to a proposed contribution claim based on an expired limitation period; and</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merits of any such limitation defence are in question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date of discovery, waiver or estoppel,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 the court should direct that the issue be determined in the proposed third party proceeding or, if considered more appropriate, by way of a separate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his Reasons for Judgment Master Elwood refers to the "White Paper on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Reform: Finding the Balance" (September 2010), issued by the Ministry of Justice as well as another ministry publication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Explained" (June 2013). He observes: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The White Paper includes a draft provision in substantially the same language as s. 22 of the current Limitation Act. The comment below the draft provision reads, at p. 70: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section provides that there is no limitation period for a secondary claim (i.e., a counterclaim, a third party proceeding, or a claim by way of set-off) so long as this secondary claim is related to the primary claim (or original lawsuit), and the primary claim was commenced in time. Judges will still have discretion to refuse relief on grounds unrelated to the expiry of a limitation period.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This section carries forward the principles from section 4 of the current Act but removes the application of this section to claims for contribution. Contribution claims will be governed by limitation periods in the new Act</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The New Act Explained provides the following explanation of s. 22, at p. 41: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Subsection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provision has been carried forward from the former Act. It has been revised to fit within the language of the new Act. Subsection (1) provides that there is no limitation period for a person to commence a related claim (i.e. a counterclaim, a third party proceeding, a claim by way of set off, or the addition or substitution of a new party as plaintiff or defendant), as long as this related claim is related to or connected with the original claim, and the original claim was commenced within the limitation period under the new Act. This means that a judge retains the discretion to allow or not allow a related claim to proceed.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Subsection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Section 22 does not apply to claims for contribution or indemnity. Contribution or indemnity claims are governed by the basic and ultimate limitation periods in the new Act</w:t>
      </w:r>
      <w:r>
        <w:rPr>
          <w:rFonts w:ascii="arial" w:eastAsia="arial" w:hAnsi="arial" w:cs="arial"/>
          <w:color w:val="000000"/>
          <w:sz w:val="20"/>
          <w:lang w:val="en-US" w:eastAsia="en-US" w:bidi="ar-SA"/>
        </w:rPr>
        <w:t>. Section 16 sets out that the basic limitation period runs from the later of: the date a person claiming contribution or indemnity is served with the paperwork starting the original claim (on which the contribution or indemnity claim is based), or the date that a person first knew or reasonably ought to have known that he or she could make a claim for contribution or indemnity against a third party.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latter document also contained an explanation of s. 16, which further emphasized that the new limitation provisions were designed to remove judicial discretion to refuse to strike [or to grant leave to issue] a third party contribution notice in the absence of meaningful delay or prejudice: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former Act there was potential for lengthy delays between the running of time in the original lawsuit and the date a third party received notice of a claim against him or her for contribution or indemnity.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former Act it was open to the court to consider delay and prejudice in determining whether to strike a third party notice for contribution or indemnity.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new Act provides that a claim for contribution or indemnity cannot be brought against a third party more than two years from the time when the original claim (i.e. the one from which the claim for contribution or indemnity would arise) was served ... (p.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These materials were also before the Court on this appeal along with extracts from Hansard evidencing discussion of the proposed new Act in the legislature: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Hon. S. Bond: What we see in [s. 22] is actually a carry-forward of the principles from s. 4 of the current Act, so there is no new law. </w:t>
      </w:r>
      <w:r>
        <w:rPr>
          <w:rFonts w:ascii="arial" w:eastAsia="arial" w:hAnsi="arial" w:cs="arial"/>
          <w:color w:val="000000"/>
          <w:sz w:val="20"/>
          <w:u w:val="single"/>
          <w:lang w:val="en-US" w:eastAsia="en-US" w:bidi="ar-SA"/>
        </w:rPr>
        <w:t>What it does do, though, is remove the section to claims for contribution or indemnity ... basically, it's a carry-forward and the removal of contribution or indemnity, which is covered off in s. 16</w:t>
      </w:r>
      <w:r>
        <w:rPr>
          <w:rFonts w:ascii="arial" w:eastAsia="arial" w:hAnsi="arial" w:cs="arial"/>
          <w:color w:val="000000"/>
          <w:sz w:val="20"/>
          <w:lang w:val="en-US" w:eastAsia="en-US" w:bidi="ar-SA"/>
        </w:rPr>
        <w:t>. [Emphasis added.]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Hansard, 2011 Legislative Session: 4th Session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39th Parliament, Thursday, April 26, 2012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(Vol. 3, No. 6) at page 11169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It is perhaps noteworthy that Canada's leading commentator on the law of limitations agrees that s. 22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does not permit proceedings for contribution or indemnity once the relevant limitation period has expired: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British Columbia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which came into force 1st June 2013, provides in s. 22(1) that if a court proceeding has been brought in a timely way, and there is another claim relating to or connected with the first claim, a proceeding by way of counterclaim and third party claim may be brought, and claims by way of set off may be advanced, even though the limitation period applicable to either or both of the claims has expired. However, </w:t>
      </w:r>
      <w:r>
        <w:rPr>
          <w:rFonts w:ascii="arial" w:eastAsia="arial" w:hAnsi="arial" w:cs="arial"/>
          <w:color w:val="000000"/>
          <w:sz w:val="20"/>
          <w:u w:val="single"/>
          <w:lang w:val="en-US" w:eastAsia="en-US" w:bidi="ar-SA"/>
        </w:rPr>
        <w:t>this provision does not give a person the right to commence a proceeding for contribution and indemnity once the limitation period for that relief has expired</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s. 22(2)]. Claims for contribution and indemnity are governed by s. 16 of the Act ...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Mew, The Law of Limitations (3d edit., LexisNexis, Toronto, 2016) at p. 179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defendants argue that the word "court proceeding" in s. 22(2) of the new Act refers only to a claim for contribution brought by way of a separate court action as opposed to a third party proceeding. They now rely on the </w:t>
      </w:r>
      <w:r>
        <w:rPr>
          <w:rFonts w:ascii="arial" w:eastAsia="arial" w:hAnsi="arial" w:cs="arial"/>
          <w:i/>
          <w:color w:val="000000"/>
          <w:sz w:val="20"/>
          <w:lang w:val="en-US" w:eastAsia="en-US" w:bidi="ar-SA"/>
        </w:rPr>
        <w:t>Klingele</w:t>
      </w:r>
      <w:r>
        <w:rPr>
          <w:rFonts w:ascii="arial" w:eastAsia="arial" w:hAnsi="arial" w:cs="arial"/>
          <w:color w:val="000000"/>
          <w:sz w:val="20"/>
          <w:lang w:val="en-US" w:eastAsia="en-US" w:bidi="ar-SA"/>
        </w:rPr>
        <w:t xml:space="preserve"> decision of Master Taylor in support of that proposition. They also rely in that regard upon the decision of Grauer J. in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2015 BCSC 1193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xml:space="preserve"> considered the transition provisions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the meaning of the phrase "no court proceeding has been commenced" within the definition of a "pre-existing claim" defined in s. 30(1) of the new Act. In particular, the court was called upon to determine whether an application to amend a Consolidated Notice of Civil Claim constituted the "commencement of a court proceeding within the meaning of the new Act?" (para. 22).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phrase "court proceeding" first appears in section 2 which describes "court proceedings" to which the Act does not apply. They are all of the nature of originating proceedings. Section 6 then provides that a "court proceeding in respect of a claim must not be commenced more than two years after the day on which the claim is discovered". Section 22 distinguishes between "proceedings" and "court proceedings". Thus subsection 22(1) refers to those "proceedings", including "proceedings by counterclaim", which may be taken in a "court proceeding" even though the limitation relating to claims raised in the counterclaim has expired. Finally, subsection 22(4) permits the making of amendments "in any court proceeding" even though a "court proceeding" could not be commenced with respect to the claim raised by the amendment.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these circumstances, I am unable to construe "court proceeding" as including proceedings such as the filing of a counterclaim, or an application to amend. </w:t>
      </w:r>
      <w:r>
        <w:rPr>
          <w:rFonts w:ascii="arial" w:eastAsia="arial" w:hAnsi="arial" w:cs="arial"/>
          <w:color w:val="000000"/>
          <w:sz w:val="20"/>
          <w:u w:val="single"/>
          <w:lang w:val="en-US" w:eastAsia="en-US" w:bidi="ar-SA"/>
        </w:rPr>
        <w:t>The contradistinction between "court proceeding" and "proceeding" in the new Act, together with the linking of the term "court proceeding" with the action of "commencement" persuade me that the term "court proceeding" is intended to encompass originating processes, such as the issue of a notice of civil claim or other originating application</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term "court proceeding" is not defined in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Grauer J. in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xml:space="preserve"> states that the term is intended to encompass "originating processes". In </w:t>
      </w:r>
      <w:r>
        <w:rPr>
          <w:rFonts w:ascii="arial" w:eastAsia="arial" w:hAnsi="arial" w:cs="arial"/>
          <w:i/>
          <w:color w:val="000000"/>
          <w:sz w:val="20"/>
          <w:lang w:val="en-US" w:eastAsia="en-US" w:bidi="ar-SA"/>
        </w:rPr>
        <w:t>Klingele</w:t>
      </w:r>
      <w:r>
        <w:rPr>
          <w:rFonts w:ascii="arial" w:eastAsia="arial" w:hAnsi="arial" w:cs="arial"/>
          <w:color w:val="000000"/>
          <w:sz w:val="20"/>
          <w:lang w:val="en-US" w:eastAsia="en-US" w:bidi="ar-SA"/>
        </w:rPr>
        <w:t xml:space="preserve">, Master Taylor says the term refers to "first instance proceedings and not a proceeding already in existence" (para. 22). Hence the defendants argue that in the context of s. 22(2)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term refers only to an "originating proceeding" for contribution,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a new and separate lawsuit in respect of the contribution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With all due respect, it simply makes no sense for s. 22(2) of the new Act to be limited to separate lawsuits for contribution and not to include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First the subsection itself refers to "a court proceeding under subsection (1)(a) or (b)"; that in turn refers only to "proceedings by counterclaim" and "third party proceedings", neither of which is a separate lawsuit. In other words, s. 22(2) says "nothing in subsection (1) gives a person a right to commence a [proceeding by counterclaim] or a [third party proceeding] in relation to a claim for contribution or indemnity after expiry of a limitation period applicable to that claim." The meaning of the prohibition is 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Second, I would point out that a Third Party Notice (and indeed also a Counterclaim) actually is a form of "originating process". Rule 1-1 contains the following definition: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originating pleading</w:t>
      </w:r>
      <w:r>
        <w:rPr>
          <w:rFonts w:ascii="arial" w:eastAsia="arial" w:hAnsi="arial" w:cs="arial"/>
          <w:color w:val="000000"/>
          <w:sz w:val="20"/>
          <w:lang w:val="en-US" w:eastAsia="en-US" w:bidi="ar-SA"/>
        </w:rPr>
        <w:t>" means a notice of civil claim, counterclaim, third party notice or any document, other than a petition, that starts a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Third Party Notice is the pleading by which the proposed contribution claim is, quite literally, being originated.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Third, as noted above, claims for contribution or indemnity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have traditionally and invariably been brought by way of third party proceedings. Separate lawsuits in that regard simply did not (and do not) occur as a matter of practice. In such circumstances, it makes no practical sense to impose a radically different limitation period for an essentially non-existent lawsuit and yet remove that limitation for the mechanism almost universally employed in practice to pursue such contribution claims. That could not possibly have been the legislature's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provide an "example of absurdity" to illustrate what they consider to be an irrational (and unfair) application of Rule 22-2 if the latter is considered to apply to contribution third party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could commence proceedings against a first defendant and then add new defendants after the limitation period has expired. However, although those new defendants would then be able to third party each other and the first defendant as of right, the first defendant would not be able to third party the new defendants. This could not have been the intention of the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disagree with the characterization of this example as an absurdity. Whether or not the first defendant would be able to third party the new defendants (or for that matter institute a separate contribution action against those new defendants) would be determined by the concept of "discovery". If the first defendant was aware that the new defendants had caused or contributed to the plaintiff's loss or injury, then he could have and should have issued his contribution proceedings within the applicable two-year limitation period. If he failed to do so, he has only himself (or his lawyer) to blame. If, on the other hand, he was unaware that the new defendants had caused or contributed to the plaintiff's loss or injury, then he would have two years to sue for contribution starting from the date he knew or should have known of that fact. As Master Elwood rightly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Section 22(2) represents a legislative choice to time limit claims for contribution or indemnity. Whether it strikes the right balance between fairness to potential claimants and certainty for potential third parties is not for me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There remains the question whether, notwithstanding s. 22(2)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Rule 3-5(4) somehow bestows a discretion upon the court to permit the filing of Third Party Notices for contribution or indemnity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even though the two-year limitation period for such a claim has expired. In this regard, the Court of Appeal's decision in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xml:space="preserve"> is instructive;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are delegated legislation, created by regulation to govern the "conduct of proceedings" under s. 1 of the </w:t>
      </w:r>
      <w:r>
        <w:rPr>
          <w:rFonts w:ascii="arial" w:eastAsia="arial" w:hAnsi="arial" w:cs="arial"/>
          <w:i/>
          <w:color w:val="000000"/>
          <w:sz w:val="20"/>
          <w:lang w:val="en-US" w:eastAsia="en-US" w:bidi="ar-SA"/>
        </w:rPr>
        <w:t>Court Rules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80</w:t>
      </w:r>
      <w:r>
        <w:rPr>
          <w:rFonts w:ascii="arial" w:eastAsia="arial" w:hAnsi="arial" w:cs="arial"/>
          <w:color w:val="000000"/>
          <w:sz w:val="20"/>
          <w:lang w:val="en-US" w:eastAsia="en-US" w:bidi="ar-SA"/>
        </w:rPr>
        <w:t xml:space="preserve">. As such, the Rules are subordinate to statutes (such as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Further, procedural rules cannot extinguish a substantive cause of action: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paras. 80-81.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Rule 3-5(4) is a procedural rule. It is subordinate to the provisions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That Act creates a limitation period for the enforcement of claims for contribution or indemnity, the expiry of which creates a substantive legal defence to the claim. That defence cannot be extinguished by a procedural rule but, rather, must be determined on the merits 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follows that the discretion bestowed upon the court by Rule 3-5(4) does not permit the court to in effect extinguish a proposed third party's substantive legal defence to a contribution claim based on an expired limitation period. Rather, the court should approach the matters as follows:</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clear the limitation period has expired, the application under Rule 3-5(4) to issue a Third Party Notice beyond the 42-day time limit must be dismissed;</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is clear the limitation period has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expired, the court may exercise its discretion under Rule 3-5(4) taking into to account the well-established factors for the exercise of that discretion; and</w:t>
      </w:r>
    </w:p>
    <w:p>
      <w:pPr>
        <w:numPr>
          <w:numId w:val="10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parties disagree as to whether the limitation period has expired, and the court is unable to determine this issue on the leave application, the court should consider the factors for the exercise of its discretion under Rule 3-5(4), and if it is otherwise inclined to grant leave, direct that the merits of the limitation defence be decided in the third party proceedings on a more fulsome evidentiary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DO THE TRANSITION PROVISIONS OF THE NEW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SAVE" THE DEFENDANTS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Preliminary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On this appeal the defendants raise an argument, which was not pursued before Master Dick at first instance. In particular, they argue that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governs the contribution and indemnity proceedings in this case, that the "old" limitation period applicable to such claims has not expired, and that, as per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there is simply no basis for refusing leave to issue the Third Party Notices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defendants refer to case law setting out the test for raising a new issue on appeal: </w:t>
      </w:r>
      <w:r>
        <w:rPr>
          <w:rFonts w:ascii="arial" w:eastAsia="arial" w:hAnsi="arial" w:cs="arial"/>
          <w:i/>
          <w:color w:val="000000"/>
          <w:sz w:val="20"/>
          <w:lang w:val="en-US" w:eastAsia="en-US" w:bidi="ar-SA"/>
        </w:rPr>
        <w:t>Canadian Pacific Railway v. Kerr</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(1913) 49 S.C.R. 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51-52; and </w:t>
      </w:r>
      <w:r>
        <w:rPr>
          <w:rFonts w:ascii="arial" w:eastAsia="arial" w:hAnsi="arial" w:cs="arial"/>
          <w:i/>
          <w:color w:val="000000"/>
          <w:sz w:val="20"/>
          <w:lang w:val="en-US" w:eastAsia="en-US" w:bidi="ar-SA"/>
        </w:rPr>
        <w:t>Suen v. Suen</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2013 BCCA 313</w:t>
        </w:r>
      </w:hyperlink>
      <w:r>
        <w:rPr>
          <w:rFonts w:ascii="arial" w:eastAsia="arial" w:hAnsi="arial" w:cs="arial"/>
          <w:color w:val="000000"/>
          <w:sz w:val="20"/>
          <w:lang w:val="en-US" w:eastAsia="en-US" w:bidi="ar-SA"/>
        </w:rPr>
        <w:t xml:space="preserve"> at para. 67. New arguments on appeal will be entertained if:</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relevant evidence is already part of the record; and</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does not suffer prejudice by the failure to raise the new argument at the proceedings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defendants say, "There was no position taken on this issue (re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at chambers and the hearing proceeded on the assumption that it was the New Act that applied. The issue was not considered. It is not a situation where the issue was conceded or not argued for tactical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do not agree with this characterization. It does not accord with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defendant Lezama filed his Notice of Application (for leave to issue the Third Party Notice) on February 23, 2018. No reference was made to any specific limitation period, however </w:t>
      </w:r>
      <w:r>
        <w:rPr>
          <w:rFonts w:ascii="arial" w:eastAsia="arial" w:hAnsi="arial" w:cs="arial"/>
          <w:i/>
          <w:color w:val="000000"/>
          <w:sz w:val="20"/>
          <w:lang w:val="en-US" w:eastAsia="en-US" w:bidi="ar-SA"/>
        </w:rPr>
        <w:t>Lui No. 2</w:t>
      </w:r>
      <w:r>
        <w:rPr>
          <w:rFonts w:ascii="arial" w:eastAsia="arial" w:hAnsi="arial" w:cs="arial"/>
          <w:color w:val="000000"/>
          <w:sz w:val="20"/>
          <w:lang w:val="en-US" w:eastAsia="en-US" w:bidi="ar-SA"/>
        </w:rPr>
        <w:t xml:space="preserve"> was cited as authority for permitting "all subordinate proceedings which are dependent on the main proceeding to go ahead with them, so long as the main proceeding was brought within the applicable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their Response filed May 7, 2018, the respondents specifically raised not only s. 22(2)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the related (new) two-year limitation period, but also the transition provisions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noting that the proposed third party claim was a "pre-existing claim as defined by s. 30(1)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hence triggering the new legislation in respect of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defendant Enterprise issued its Notice of Application (for leave to file a Third Party Notice) on May 7, 2018. By that time, of course, the defendants had become aware of the respondents' position respecting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indeed, the merit of that position was conceded. Paragraph 11 of Part 3 of their Notice of Application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party claim as against PFM is governed by the </w:t>
      </w:r>
      <w:r>
        <w:rPr>
          <w:rFonts w:ascii="arial" w:eastAsia="arial" w:hAnsi="arial" w:cs="arial"/>
          <w:i/>
          <w:color w:val="000000"/>
          <w:sz w:val="20"/>
          <w:lang w:val="en-US" w:eastAsia="en-US" w:bidi="ar-SA"/>
        </w:rPr>
        <w:t>Limitations</w:t>
      </w:r>
      <w:r>
        <w:rPr>
          <w:rFonts w:ascii="arial" w:eastAsia="arial" w:hAnsi="arial" w:cs="arial"/>
          <w:color w:val="000000"/>
          <w:sz w:val="20"/>
          <w:lang w:val="en-US" w:eastAsia="en-US" w:bidi="ar-SA"/>
        </w:rPr>
        <w:t xml:space="preserve"> [sic]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third party claim is a pre-existing claim as defined by section 30(1)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Enterprise went on to argue that the two-year limitation period under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had not expired and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Moreover,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does allow the Court discretion to grant a party leave to make a third party proceeding even if a limitation period has expired...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respondents filed their Application Response on March 28, 2018. Instead of repeating their arguments regarding the transition provisions of the new legislation and the status of the proposed third party proceeding as a "pre-existing claim" under s. 30 of the new Act, they simply pointed out "it is common ground that this is a transitional claim and the new Act applies" (Part 3, para. 5). Their response was then focused on s. 22(2)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the argument that the two-year limitation period under that Act had expired and was fatal to the proposed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this appeal, the appellants submit that the defendants are "not only raising a new argument about a different provision of the New Act, but also are resiling from a position deliberately undertaken regarding that provision. No injustice will be done if the respondents are held to a position deliberately undertaken and uncontroversial in the proceedings below." I am inclined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Nevertheless, the new argument respecting the transition provisions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a pure question of law and one that is completely informed by the evidentiary record before the master. Both parties agree that this appeal is a re-hearing on the merits based on the record before the master. Hence, it is arguable that this new question of law should be considered and I propose to deal with it in any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transitional provisions of the new </w:t>
      </w:r>
      <w:r>
        <w:rPr>
          <w:rFonts w:ascii="arial" w:eastAsia="arial" w:hAnsi="arial" w:cs="arial"/>
          <w:b/>
          <w:i/>
          <w:color w:val="000000"/>
          <w:sz w:val="20"/>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Section 30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Transition</w:t>
      </w:r>
    </w:p>
    <w:p>
      <w:pPr>
        <w:numPr>
          <w:numId w:val="1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effective date</w:t>
      </w:r>
      <w:r>
        <w:rPr>
          <w:rFonts w:ascii="arial" w:eastAsia="arial" w:hAnsi="arial" w:cs="arial"/>
          <w:color w:val="000000"/>
          <w:sz w:val="20"/>
          <w:lang w:val="en-US" w:eastAsia="en-US" w:bidi="ar-SA"/>
        </w:rPr>
        <w:t>" means the day on which this section comes into force;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former Act</w:t>
      </w:r>
      <w:r>
        <w:rPr>
          <w:rFonts w:ascii="arial" w:eastAsia="arial" w:hAnsi="arial" w:cs="arial"/>
          <w:color w:val="000000"/>
          <w:sz w:val="20"/>
          <w:lang w:val="en-US" w:eastAsia="en-US" w:bidi="ar-SA"/>
        </w:rPr>
        <w:t xml:space="preserve">" means the Limitation Act, </w:t>
      </w:r>
      <w:hyperlink r:id="rId261"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as that Act read immediately before the effective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former limitation period</w:t>
      </w:r>
      <w:r>
        <w:rPr>
          <w:rFonts w:ascii="arial" w:eastAsia="arial" w:hAnsi="arial" w:cs="arial"/>
          <w:color w:val="000000"/>
          <w:sz w:val="20"/>
          <w:lang w:val="en-US" w:eastAsia="en-US" w:bidi="ar-SA"/>
        </w:rPr>
        <w:t>" means, with respect to a pre-existing claim, a limitation period that applied to the pre-existing claim before the effective date;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pre-existing claim</w:t>
      </w:r>
      <w:r>
        <w:rPr>
          <w:rFonts w:ascii="arial" w:eastAsia="arial" w:hAnsi="arial" w:cs="arial"/>
          <w:color w:val="000000"/>
          <w:sz w:val="20"/>
          <w:lang w:val="en-US" w:eastAsia="en-US" w:bidi="ar-SA"/>
        </w:rPr>
        <w:t>" means a claim</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based on an act or omission that took place before the effective date, and</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which no court proceeding has been commenced before the effective date.</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proceeding must not be commenced with respect to a pre-existing claim if</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former limitation period applied to that claim before the effective date, and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former limitation period expired before the effective date.</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if a pre-existing claim was discovered before the effective date, the former Act applies to the pre-existing claim as if the right to bring an action occurred at the time of the discovery of the pre-existing claim.</w:t>
      </w:r>
    </w:p>
    <w:p>
      <w:pPr>
        <w:numPr>
          <w:numId w:val="1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if a pre-existing claim was not discovered before the effective date,</w:t>
      </w:r>
    </w:p>
    <w:p>
      <w:pPr>
        <w:numPr>
          <w:numId w:val="1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pre-existing claim referred to in section 3 of this Act, that section applies to the pre-existing claim,</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paragraph (a) of this subsection, in the case of a pre-existing claim referred to in section 8 (1) (a) or (b) of the former Act, Part 2 of this Act and section 8 of the former Act apply to the pre-existing claim, or</w:t>
      </w:r>
    </w:p>
    <w:p>
      <w:pPr>
        <w:numPr>
          <w:numId w:val="12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any other pre-existing claim,</w:t>
      </w:r>
    </w:p>
    <w:p>
      <w:pPr>
        <w:numPr>
          <w:numId w:val="12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subparagraph (ii) of this paragraph, this Act applies to the pre-existing claim, and</w:t>
      </w:r>
    </w:p>
    <w:p>
      <w:pPr>
        <w:numPr>
          <w:numId w:val="1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Part 3 of this Act applies to the pre-existing claim as if the act or omission on which the pre-existing claim is based occurred on the later of</w:t>
      </w:r>
    </w:p>
    <w:p>
      <w:pPr>
        <w:numPr>
          <w:numId w:val="12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effective date, and</w:t>
      </w:r>
    </w:p>
    <w:p>
      <w:pPr>
        <w:numPr>
          <w:numId w:val="1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day the act or omission takes place under section 21 (2) of this Act.</w:t>
      </w:r>
    </w:p>
    <w:p>
      <w:pPr>
        <w:numPr>
          <w:numId w:val="1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restricts the right of a person to bring a court proceeding at any time in relation to a claim referred to in section 3 (1) (i), (j) or (k) of this Act, whether or not the claimant's right to bring the court proceeding was at any time governed by 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As noted above, "claim" is defined in s. 1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to mean "a claim to remedy an injury, loss or damage that occurred as a result of an act or omission".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and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accident occurred on October 27, 2012.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came into force on June 1, 2013 (the "effective date"). The plaintiff filed the Notice of Civil Claim on October 27, 2014. An Amended Notice of Civil Claim was filed on July 27, 2015. It was served on the defendants in August and September of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 referred earlier (para. [59]) in these reasons to a Ministry of Justice publication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Explained" issued in June 2013. Part of that publication included a very helpful flow chart illustrating the transition rules under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A copy of that flow chart is attached to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have already found that the proposed Third Party Notices in this case "commence a court proceeding ... in relation to a claim for contribution or indemnity" within the meaning of s. 22(2)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Those proceedings will constitute a "pre-existing claim" within the meaning of s. 30(1) of the Act if they can be said to be "based on an act or omission that took place before [June 1, 2013]". I am satisfied such is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 claim for contribution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is premised on the plaintiff's "damage or loss" being caused by the fault of two or more persons. The limitation period for a plaintiff to sue on account of that damage or loss is two years from the date of "discovery". Such discovery occurs when the plaintiff knew or reasonably ought to have known "that the injury, loss or damage was caused by or contributed to by an act or omission" on the part of a person against whom a claim might be made (s. 8). Declaratory claims for contribution or indemnity are thus "based on an act or omission" that caused or contributed to the plaintiff's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this particular case, the acts, omissions, and resulting loss/damage all occurred on the date of the motor vehicle accident, namely, October 27, 2012. Hence, the proposed third party proceeding meets the first part of the definition of a "pre-existing claim" under s. 30(1) of the new </w:t>
      </w:r>
      <w:r>
        <w:rPr>
          <w:rFonts w:ascii="arial" w:eastAsia="arial" w:hAnsi="arial" w:cs="arial"/>
          <w:i/>
          <w:color w:val="000000"/>
          <w:sz w:val="20"/>
          <w:lang w:val="en-US" w:eastAsia="en-US" w:bidi="ar-SA"/>
        </w:rPr>
        <w:t>Limitation Act, i.e</w:t>
      </w:r>
      <w:r>
        <w:rPr>
          <w:rFonts w:ascii="arial" w:eastAsia="arial" w:hAnsi="arial" w:cs="arial"/>
          <w:color w:val="000000"/>
          <w:sz w:val="20"/>
          <w:lang w:val="en-US" w:eastAsia="en-US" w:bidi="ar-SA"/>
        </w:rPr>
        <w:t>. an act or omission occurring before June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It is also clear from the chronology set out above that no court proceeding, whether a personal injury claim by the plaintiff or a third party proceeding for contribution or indemnity, was commenced before June 1, 2013. Hence the second condition is met and the proposed third party proceeding thus qualifies as a "pre-existing claim" within the meaning of s. 30(1)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Whether or not this pre-existing claim is governed by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or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dependent on the date of its "discovery". If such discovery occurred before June 1, 2013,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 (s. 30(3)). If the discovery occurred after June 1, 2013,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 (s. 30(4)(c)(i)).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Section 16 of the new Act specifies the date on which a claim for contribution or indemnity is "discovered". At the very earliest, that date would be the date on which the defendants were served with the plaintiff's Notice of Civil Claim,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August/September 2015, fully two years after the new legislation came into force. The result is that the proposed third party proceeding in this case is a "pre-existing claim" governed by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the two-year limitation period specified in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Hendrix v. Handa Travel Student Trip</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2016 BCSC 620</w:t>
        </w:r>
      </w:hyperlink>
      <w:r>
        <w:rPr>
          <w:rFonts w:ascii="arial" w:eastAsia="arial" w:hAnsi="arial" w:cs="arial"/>
          <w:color w:val="000000"/>
          <w:sz w:val="20"/>
          <w:lang w:val="en-US" w:eastAsia="en-US" w:bidi="ar-SA"/>
        </w:rPr>
        <w:t xml:space="preserve"> (Master), is an example of a pre-existing claim for claim for contribution or indemnity, which is governed by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There the injury accident occurred in March 2011 and the defendants proposing to issue a third party proceeding contribution notice were served with the Notice of Civil Claim two years later in March 2013. Master Muir concluded that date of service was the date the claim for contribution and indemnity was "discovered" within the meaning of s. 16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in the particular circumstances of that case. Hence s. 30(3) of the new Act applied and the former legislation governed the relevant limitation period for the contribution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present case is very similar except for one crucial point, namely, that the contribution claim was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discovered until after the new legislation came into force and hence s. 30(4) of the Act provides that the new legislation governs the relevant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It follows from all of the above that the transition provisions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do not "save" the defendants from the limitation expiry obstacle they otherwise confront.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On an appeal by way of a re-hearing on the merits, the defendants Lezama and Enterprise seek leave to file Third Party Notices against PFM/LHP who are deemed by s. 86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to be Mr. Lezama's employer at the time of the accident. In doing so, Mr. Lezama and Enterprise are seeking to claim contribution or indemnity based on vicarious liability of PFM/LHP arising from that deemed employment relationship and also alleged direct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claims are subject to a two-year limitation period under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expiry of which provides PFM/LHP with a complete defence to the proposed proceedings. Section 6(1)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stipulates that the proposed claims for contribution or indemnity "must not be commenced". Accordingly, the application under Rule 3-5(4) for leave to for leave to file the Third Party Notices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Master Dick's order of May 30, 2018 is therefore set aside. If the Third Party Notices have already been filed pursuant to the leave granted by Master Dick, they are hereby struck out. Costs of both the application before Master Dick and this appeal are awarded to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before="120"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432.06pt;height:344.3pt">
            <v:imagedata r:id="rId284" o:title=""/>
          </v:shape>
        </w:pict>
      </w:r>
      <w:r>
        <w:rPr>
          <w:rFonts w:ascii="arial" w:eastAsia="arial" w:hAnsi="arial" w:cs="arial"/>
          <w:sz w:val="20"/>
          <w:lang w:val="en-US" w:eastAsia="en-US" w:bidi="ar-SA"/>
        </w:rPr>
        <w:t xml:space="preserv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6" style="position:absolute;z-index:251765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Bedwell v. McGill, [2003] B.C.J. No. 685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 and March 13,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M013797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685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451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187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Janice Marie Bedwell, plaintiff, and Thomas W. McGill, defendant, and Maureen P. Currie,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jc w:val="both"/>
        <w:rPr>
          <w:rFonts w:ascii="arial" w:eastAsia="arial" w:hAnsi="arial" w:cs="arial"/>
          <w:sz w:val="20"/>
          <w:lang w:val="en-US" w:eastAsia="en-US" w:bidi="ar-SA"/>
        </w:rPr>
      </w:pPr>
      <w:bookmarkStart w:id="25" w:name="Counsel_5"/>
      <w:bookmarkEnd w:id="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 Hayman, for the plaintiff. H.S. Grewal, for the defendant. R.J. Merlo,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5"/>
      <w:bookmarkEnd w:id="26"/>
      <w:r>
        <w:pict>
          <v:line id="_x0000_s1048" style="position:absolute;z-index:251715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MELVIN J."/>
            <w:bookmarkEnd w:id="27"/>
            <w:r>
              <w:rPr>
                <w:rFonts w:ascii="arial" w:eastAsia="arial" w:hAnsi="arial" w:cs="arial"/>
                <w:b/>
                <w:color w:val="000000"/>
                <w:sz w:val="30"/>
                <w:lang w:val="en-US" w:eastAsia="en-US" w:bidi="ar-SA"/>
              </w:rPr>
              <w:t>MELVIN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Pursuant to Rule 18A, the parties seek a determination of the issue as defined in the amended notice of motion filed by the plaintiff as follows:</w:t>
      </w:r>
      <w:r>
        <w:rPr>
          <w:rFonts w:ascii="arial" w:eastAsia="arial" w:hAnsi="arial" w:cs="arial"/>
          <w:sz w:val="20"/>
          <w:lang w:val="en-US" w:eastAsia="en-US" w:bidi="ar-SA"/>
        </w:rPr>
        <w:cr/>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injuries sustained by the Plaintiff in a motor vehicle accident involving the Plaintiff and the Defendant McGill, which occurred on April 12, 2001 ("the Accident") caused or materially contributed to a fall which the Plaintiff experienced on April 13, 2001 ("the Fall");</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determination of liability with respect to the Fall. The Plaintiff seeks a declaration that the Plaintiff is entitled to judgment against the Defendants or either of them with respect to all damages flowing from the Fall and a determination that the Plaintiff was not contributorily negligent with respect to the Fall;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discrete issue on this application is limited to the causal connection, if any, of injuries the plaintiff sustained in a motor vehicle accident on April 12, 2001 to the injuries the plaintiff sustained in the fall on the premises of the defendant Currie on April 13, 2001. This procedure, pursuant to Rule 18A, was not the subject of objection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April 12, 2001, the plaintiff was operating her motor vehicle when it was struck on the rear passenger side by a vehicle driven by the defendant McGill. Impact pushed the plaintiff's vehicle to the left and caused it to spin 180 degrees. Immediately after the motor vehicle accident the plaintiff experienced a very bad headache and her left ear became painful. She described herself in her affidavit as being "very shaky and dizzy and had neck, shoulder, and back pain". The motor vehicle accident occurred the day before Good Friday. The plaintiff did not attend the hospital after the accident because of a nurses' strike and did not see her doctor the following day as his office was closed on the holiday. The next day, on April 13, 2001, she felt unwell with sporadic dizziness and light-headedness. In her affidavit she described experiencing neck and back pain, pain in her shoulders, headache and pain in her left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early evening of April 13, 2001, the plaintiff went to the Currie residence, a friend of some duration. Several mutual friends were there. Despite an invitation to remain, the plaintiff left because she was not feeling well. She walked across the veranda of the Curries' home, approaching the stairs leading to the driveway. Then, according to paragraph 14 of her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fell while leaving their home. I was walking across the veranda of the Currie home, approaching the stairs which lead down to their driveway. I must have lost consciousness because I do not recall falling. I only remember walking out the door towards the stairs, and then I found myself at the bottom of the stairs which were at the end of the veranda. As a result of this fall, I broke my left ankle and sprained by right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obvious from the plaintiff's affidavit and the Currie affidavit that the plaintiff was very familiar with the Currie residence and the stairway in question. She had had no difficulties with this stairway in the past. According to the Currie affidavit, the stairway was in good repair and the area was well lit. Suffice it to say, on any view of the evidence, the Currie premises were reasonably safe within the meaning of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were no witnesses to the plaintiff's fall and the plaintiff cannot explain the occurrence. The submission on her behalf is that the periodic dizziness that she experienced after the motor vehicle accident of April 12, 2001 caused or contributed to the fall and consequent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POST APRIL 13,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April 18, 2001, the plaintiff gave a statement to ICBC concerning the motor vehicle accident of April 12, 2001 and the fall of April 13, 2001. In that statement, she described her injuries. She did not mention being dizzy but did report feeling shaky after the motor vehicle accident. She reported the fall and the consequent angle in injury, but did not mention dizziness prior to or at the time of the fall. However, she did state that she "never had dizziness or equilibrium problems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April (date indecipherable), 2001, the plaintiff reported falling on the steps to her family physician. In that report, according to his clinical notes, there is no reference to vertigo or dizziness. She next attended her physician on April 17, 2001, at which time the doctor's clinical notes record the plaintiff "having vertigo". After the fall, according to the report of April 13 or 14, 2001 (date indecipherable), the plaintiff attended Eagle Ridge Hospital due to the injuries to her ankles. There is no mention of dizziness, headaches, etc. in the medical record filed from the hospital. It should be noted, however, that the plaintiff was at the hospital not as a result of the motor vehicle accident, but as a result of a broken ankle. In a subsequent report of April 23, 2001 to ICBC, the plaintiff reported vertigo.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his report of November 12, 2002, Dr. Sclater described the plaintiff as being in good health prior to the motor vehicle accident. In his opinion, the plaintiff was experiencing vertigo as a result of the accident. The vertigo in his opinion was "caused by a 'whiplash' effect to the vestibular (balance) system of the inner ear". This condition resulted in the plaintiff "being at risk for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Subsequently, the plaintiff was referred to Dr. Longridge, a specialist in otolaryngology (hearing, tinnitus, and dizziness). As a result of testing, he noted "a disturbance involving the balance system". The test he administered (posturography) is an objective test and in his language, "therefore strongly supportive of a disturbance of the balance system". Both Dr. Sclater and Longridge were cross-examined by defence counsel. Although Dr. Sclater's records as to the vertigo complaint of the plaintiff were based on the plaintiff's subjective complaints to him as he took a history from her, in my opinion, her subjective complaints are confirmed by the objective findings of Dr. Longridge.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Accepting the plaintiff's evidence of vertigo post motor vehicle accident, and prior to the fall, coupled with the objective testing of Dr. Longridge and the previously good health of the plaintiff, I am satisfied that the vertigo complained of by the plaintiff was caused by the motor vehicle accident. The lack of an immediate report of vertigo to her physician or ICBC does not detract from her sworn evidence, in my opinion. I am satisfied that due to the motor vehicle accident the plaintiff was susceptible to incidents of vertigo. As Dr. Sclater puts it, the plaintiff was "at risk for falling".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VERTIGO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issue as previously stated revolves around the causal link, if any, of the vertigo to the fall. Defence counsel strongly submits, there was no report of dizziness or vertigo by the plaintiff prior to the fall which might lead to the link required. On previous occasions as noted, the plaintiff was able to identify sporadic incidents of vertigo, was able to negotiate stairs, walk and drive an automobile without apparent difficulty. In my opinion, the above described activity is not inconsistent with sporadic vertigo. The plaintiff apparently was able to compensate for the occasions when she was subjected to incidents of vertigo.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difficulty in the case at bar is the lack of evidence surrounding the fall. The plaintiff has no recollection of the circumstances leading to the fall, nor the fall itself, and there were no witnesses. Her evidence is that she only remembers "walking out the door towards the stairs, and then I found myself at the bottom of the stairs". At her examination for discovery, the plaintiff testified to the same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 walked across the porch, and I don't know what happened. The next thing I knew I was at the bottom of the stairs with my legs -- my left leg out this way and my right leg out the other way on exposed aggregate.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537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want you to describe to the best of your recollection what actually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what happened. I walked across the porch and the next thing I knew I was at the bottom of the stairs.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What else? Anything else?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wanted to go home. I had had that pain in my ear, and I wanted to go home and rest. That's all I remember thinking is I want to go home and rest.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569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you feeling any dizziness?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After I fell?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570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just before.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I fell? I don't know. I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know what brought on the fall?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no idea.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Consequently, accepting the state of good repair of the stairs, there is an unexplained fall resulting in injury, unless the evidence establishes the required link to vertigo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Supreme Court of Canada in Athey v. Leonati,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analyzed the principles applicable to causation. From that decision, the following principles are taken:</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contributed to the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test for causation is the "but for" test; that is, the injury would not have occurred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"but for" test is not applicable,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A contributing factor is material if it falls outside the de minimus range;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causation test is not to be applied too rigidly. Causation need not be determined by scientific precision;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long as a defendant is part of the cause of an injury, he is liable even though his act alone was not enough to create the injury. The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between tortious and non-tortious causes is contrary to the principles of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Applying the foregoing, I am satisfied that:</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sporadic vertigo as a result of the motor vehicle accident;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Currie's premises were safe within the meaning of the Occupiers Liability Act; they were properly constructed and in a state of good repair, and the area was well lit;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appropriately dressed with proper footwear and was very familiar with the stairway at the Currie residence;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 good health prior to the motor vehicle accident;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rather than the plaintiff's fall being unexplained, there is a rational basis upon which to conclude that her balance disability (objectively established) was the cause of her fall within the meaning of that expression in Athey v. Leonati, supra. The plaintiff's inability to report vertigo immediately before her fall or to describe precautions that she may have taken on recognizing vertigo are explained by her lack of memory of the event after her fall;</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all the circumstances, there is no evidence to indicate that the plaintiff was contributorily negligent in walking across the veranda towards the staircase, or that her conduct in any way contributed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conclusion, I am satisfied that the plaintiff's vertigo caused by the motor vehicle accident caused or materially contributed to the subsequent fall and injury. I am also satisfied that there is no causal link between the plaintiff's fall and injury and the condition of the Currie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Because of the nature of this application, costs will be in the cause unless counsel wish to make submissions to the contrary. If so, would they please contact the trial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MELVIN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766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Bradaric v. Dr. B.B.K. Pirani Inc., 2007 CHFL para. 15,452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Gill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June 30, 2006.</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S13679</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2006</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2007 CHFL para. 15,452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2006 BCSC 1026</w:t>
        </w:r>
      </w:hyperlink>
    </w:p>
    <w:p>
      <w:pPr>
        <w:spacing w:before="120" w:line="260" w:lineRule="atLeast"/>
        <w:rPr>
          <w:lang w:val="en-US" w:eastAsia="en-US" w:bidi="ar-SA"/>
        </w:rPr>
      </w:pPr>
      <w:r>
        <w:rPr>
          <w:rFonts w:ascii="arial" w:eastAsia="arial" w:hAnsi="arial" w:cs="arial"/>
          <w:color w:val="000000"/>
          <w:sz w:val="20"/>
          <w:lang w:val="en-US" w:eastAsia="en-US" w:bidi="ar-SA"/>
        </w:rPr>
        <w:t>Bradaric v. Dr. B.B.K. Pirani Inc.</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50" style="position:absolute;z-index:25166540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8" w:name="Keywords_1"/>
      <w:bookmarkEnd w:id="28"/>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Consent to treatment — Patient awarded $20,000 in damages for battery for loss of fertility after physician performed hysterectomy contrary to her expressed wishes — Patient consented to procedure on basis it would be done only if necessary to remove fibroid — Physician should not have proceeded with surgery after he discovered patient had endometriosis, not a fibroid.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9" w:name="Case Summary_1"/>
            <w:bookmarkEnd w:id="29"/>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36-year-old Bradaric was referred to Dr. Pirani, an obstetrician and gynaecologist, by her family physician because of pain in her left lower abdomen. Bradaric was seen by Dr. Pirani in May 2001, who diagnosed a uterine fibroid. His consultation report to Bradaric's family physician noted that Bradaric was not interested in a myomectomy or hysterectomy, as she wished to have children in the future. He recommended a uterine fibroid embolization procedure as an alternative. Bradaric was again seen by Dr. Pirani in August 2001. His consultation report to Bradaric's family physician noted that Bradaric wished to have a hysterectomy as she was not planning to have children. He arranged for Bradaric to have a total hysterectomy. Surgery was performed in September 2001. During the surgery it was discovered that Bradaric did not have a fibroid but had endometriosis. Dr. Pirani continued with the hysterectomy. Bradaric commenced an action against Dr. Pirani. She sought damages for loss of fertility. She asserted that she did not want a hysterectomy as she had hoped to become pregnant. She claimed that she had consented to the procedure on the basis that it would be done only if necessary (i.e., to remove a fibroid). </w:t>
            </w:r>
            <w:r>
              <w:rPr>
                <w:lang w:val="en-US" w:eastAsia="en-US" w:bidi="ar-SA"/>
              </w:rPr>
              <w:cr/>
            </w:r>
          </w:p>
          <w:p>
            <w:pPr>
              <w:spacing w:before="120" w:line="260" w:lineRule="atLeast"/>
              <w:ind w:left="240"/>
              <w:jc w:val="both"/>
              <w:rPr>
                <w:lang w:val="en-US" w:eastAsia="en-US" w:bidi="ar-SA"/>
              </w:rPr>
            </w:pPr>
            <w:bookmarkStart w:id="30" w:name="Holdings of Court_1"/>
            <w:bookmarkEnd w:id="30"/>
            <w:r>
              <w:rPr>
                <w:rFonts w:ascii="arial" w:eastAsia="arial" w:hAnsi="arial" w:cs="arial"/>
                <w:color w:val="000000"/>
                <w:sz w:val="20"/>
                <w:lang w:val="en-US" w:eastAsia="en-US" w:bidi="ar-SA"/>
              </w:rPr>
              <w:t>HELD: Bradaric was awarded $20,000 in damages for battery for the loss of her fertility.</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Bradaric had consented to the treatment. The medical evidence unquestionably led to the conclusion that a hysterectomy was the appropriate and optimal treatment. However, Bradaric did not tell Dr. Pirani that she was not planning to have children. Given the concession that if there was doubt about whether or not Bradaric wished to preserve fertility, Dr. Pirani should not have proceeded with the surgery, and Bradaric was entitled to succeed. Given Bradaric's age and the unlikelihood of her conceiving due to the endometriosis, she was awarded $20,000 in damages. </w:t>
            </w:r>
            <w:r>
              <w:rPr>
                <w:lang w:val="en-US" w:eastAsia="en-US" w:bidi="ar-SA"/>
              </w:rPr>
              <w:cr/>
            </w:r>
          </w:p>
          <w:p>
            <w:pPr>
              <w:rPr>
                <w:lang w:val="en-US" w:eastAsia="en-US" w:bidi="ar-SA"/>
              </w:rPr>
            </w:pPr>
          </w:p>
        </w:tc>
      </w:tr>
    </w:tbl>
    <w:p>
      <w:pPr>
        <w:jc w:val="both"/>
        <w:rPr>
          <w:lang w:val="en-US" w:eastAsia="en-US" w:bidi="ar-SA"/>
        </w:rPr>
      </w:pPr>
      <w:bookmarkStart w:id="31" w:name="Counsel_6"/>
      <w:bookmarkEnd w:id="3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51" style="position:absolute;z-index:25171660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 appeared on her own behalf; B.J. Norell for the defendant.</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67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Carlsen v. Southerland, 2005 CHFL para. 15,404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Bouck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January 19, 2005.</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01/0349</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2005</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2005 CHFL para. 15,404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2005 BCSC 74</w:t>
        </w:r>
      </w:hyperlink>
    </w:p>
    <w:p>
      <w:pPr>
        <w:spacing w:before="120" w:line="260" w:lineRule="atLeast"/>
        <w:rPr>
          <w:lang w:val="en-US" w:eastAsia="en-US" w:bidi="ar-SA"/>
        </w:rPr>
      </w:pPr>
      <w:r>
        <w:rPr>
          <w:rFonts w:ascii="arial" w:eastAsia="arial" w:hAnsi="arial" w:cs="arial"/>
          <w:color w:val="000000"/>
          <w:sz w:val="20"/>
          <w:lang w:val="en-US" w:eastAsia="en-US" w:bidi="ar-SA"/>
        </w:rPr>
        <w:t>Carlsen v. Southerland</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53" style="position:absolute;z-index:2516664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2" w:name="Keywords_2"/>
      <w:bookmarkEnd w:id="32"/>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Orthopaedic surgeon found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the plaintiff's injuries after a vein and an artery were inadvertently severed during a spinal disc operation — Surgeon did not meet requisite standard of care.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3" w:name="Case Summary_2"/>
            <w:bookmarkEnd w:id="33"/>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Carlsen, had a spinal disc operation performed on her by the defendant, Dr. Southerland, an experienced orthopaedic surgeon. During parts of the procedure, Dr. Southerland had to rely on his sense of feel and touch because he could not see the area where he placed his instrument. While cleaning out the disc, he went too far forward with his instruments and cut Carlsen's iliac artery and common iliac vein. He immediately noticed blood in the disc space, but he did not know that he had cut the vein and artery because the bleeding soon stopped. He closed the wound and Carlsen was sent to the post-anesthetic recovery room. Shortly thereafter, Carlsen's heart rate rose. She complained of left leg pain and she was tender in the abdomen. The medical staff decided there was a cut in the left anterior iliac artery. The cut had allowed blood to flow freely into the abdominal cavity. A vascular surgeon began urgent vascular exploration and repair. He found cuts to the iliac artery and common iliac vein. During and after the repair, Carlsen received 13 units of blood. As a result of the surgery, Carlsen was permanently disabled. She sued Dr. Southerland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trial, only liability was in issue, as the parties had agreed to the amount of damages. Dr. Southerland argued that he had met the appropriate standard of care when he performed disc surgery on Carlsen. </w:t>
            </w:r>
            <w:r>
              <w:rPr>
                <w:lang w:val="en-US" w:eastAsia="en-US" w:bidi="ar-SA"/>
              </w:rPr>
              <w:cr/>
            </w:r>
          </w:p>
          <w:p>
            <w:pPr>
              <w:spacing w:before="120" w:line="260" w:lineRule="atLeast"/>
              <w:ind w:left="240"/>
              <w:jc w:val="both"/>
              <w:rPr>
                <w:lang w:val="en-US" w:eastAsia="en-US" w:bidi="ar-SA"/>
              </w:rPr>
            </w:pPr>
            <w:bookmarkStart w:id="34" w:name="Holdings of Court_2"/>
            <w:bookmarkEnd w:id="34"/>
            <w:r>
              <w:rPr>
                <w:rFonts w:ascii="arial" w:eastAsia="arial" w:hAnsi="arial" w:cs="arial"/>
                <w:color w:val="000000"/>
                <w:sz w:val="20"/>
                <w:lang w:val="en-US" w:eastAsia="en-US" w:bidi="ar-SA"/>
              </w:rPr>
              <w:t>HELD: Judgment was in favour of Carlsen.</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As an orthopaedic surgeon, Dr. Southerland's standard of care was "to have and exercise the degree of skill of an average specialist in his field" (see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5 D.L.R. (2d) 113</w:t>
              </w:r>
            </w:hyperlink>
            <w:r>
              <w:rPr>
                <w:rFonts w:ascii="arial" w:eastAsia="arial" w:hAnsi="arial" w:cs="arial"/>
                <w:color w:val="000000"/>
                <w:sz w:val="20"/>
                <w:lang w:val="en-US" w:eastAsia="en-US" w:bidi="ar-SA"/>
              </w:rPr>
              <w:t xml:space="preserve"> at 124 (S.C.C.)). Carlsen had to prove that Dr. Southerland owed her a duty of care; that he breached that duty of care by failing to meet the relevant standard of care; and that she suffered damages as a direct result of Dr. Southerland's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only issue for the British Columbia Supreme Court was whether Dr. Southerland had met the relevant standard of surgical care when he performed the spinal disc operation. The Court found that Dr. Southerland had the necessary skill, experience, and qualifications to perform the surgery. He was aware of the potential danger of cutting the artery and vein if he allowed his instruments to protrude past the front of the disc. The Court concluded that Carlsen had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Southerland. There was no evidence that Carlsen had agreed to surgery that could involve the cutting of her vein and artery; nor had Dr. Southerland intended to do so when he was cleaning out the disc. He did so inadvertently or carelessly. While other experienced spinal surgeons may on occasion cut the artery and/or vein when performing a spinal disc operation, this did not mean that Dr. Southerland's standard of care complied with the recognized and respectable practice of spinal surgeons.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17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Forster v. Popper, [2020] B.C.J. No. 254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D.C. MacDonald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3-6, 12-13,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19,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M177219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2020 BCSC 220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Linda Forster, Plaintiff, and Nicole Deborah Popper, John Watt Kidd and City of Vancouver,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(225 paras.)</w:t>
      </w:r>
    </w:p>
    <w:p>
      <w:pPr>
        <w:jc w:val="both"/>
        <w:rPr>
          <w:rFonts w:ascii="arial" w:eastAsia="arial" w:hAnsi="arial" w:cs="arial"/>
          <w:sz w:val="20"/>
          <w:lang w:val="en-US" w:eastAsia="en-US" w:bidi="ar-SA"/>
        </w:rPr>
      </w:pPr>
      <w:bookmarkStart w:id="35" w:name="Counsel_7"/>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Grunder.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 Hibbert, M. Fadaeian.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6"/>
      <w:bookmarkEnd w:id="36"/>
      <w:r>
        <w:pict>
          <v:line id="_x0000_s1056" style="position:absolute;z-index:251718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LAY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Linda Forster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Pre-Accident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Injuries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Post-Accident Physical and Mental Abilities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Ability to Return to 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Advice from Medical Professionals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Gary Forster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 Opinion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Michael Negraeff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Joseph Wong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Andrew Hosking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Kevin Turnball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Sherry Wang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Michael Berger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Sheila Branscombe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Mitigation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 w:name="D.C. MacDONALD J."/>
            <w:bookmarkEnd w:id="37"/>
            <w:r>
              <w:rPr>
                <w:rFonts w:ascii="arial" w:eastAsia="arial" w:hAnsi="arial" w:cs="arial"/>
                <w:b/>
                <w:color w:val="000000"/>
                <w:sz w:val="30"/>
                <w:lang w:val="en-US" w:eastAsia="en-US" w:bidi="ar-SA"/>
              </w:rPr>
              <w:t>D.C. MacDONALD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Linda Forster, seeks damages for injuries from a motor vehicle collision that occurred on April 30, 2016 at approximately 3:30 p.m.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on Main Street in Vancouver, BC. Ms. Forster was a front seat passenger in an unmarked police vehicle driven by Constable Ian Kaptein. As their vehicle proceeded northbound, the defendant, Nicole Popper, turned left across their path and the two vehicles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Shortly after the Accident, Ms. Forster complained of tenderness in her neck and the sensation of pins and needles extending up her neck and into her face. She was transported by ambulance to Vancouver General Hospital ("VGH"). At the hospital she also complained of a burning sensation in both her hands and forearms.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Over the first six months following the Accident, the pain in Ms. Forster's hands, forearms, and face improved. However, today, she alleges she continues to have symptoms in her mouth and hands. Ms. Forster also testified she experiences some anxiety as a result of the Accident and suffers from mood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admit liability for the Accident, but challenge the nature, extent, and duration of Ms. Forster's injuries and the amount of damages that flow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Court must decide the following:</w:t>
      </w:r>
      <w:r>
        <w:rPr>
          <w:rFonts w:ascii="arial" w:eastAsia="arial" w:hAnsi="arial" w:cs="arial"/>
          <w:sz w:val="20"/>
          <w:lang w:val="en-US" w:eastAsia="en-US" w:bidi="ar-SA"/>
        </w:rPr>
        <w:cr/>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were caused by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are Ms. Forster entitled to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following is a summary of the evidence of each lay witness who testified at trial. I set out their evidence in a general way, but leave certain details for discussion under the issues I address. Although I do not detail all aspects of the evidence, I have considered the totality of the evidence in reaching my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Linda Forster</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Forster testified she was born in 1962 and was 56 years old at the time of trial. She lives in Coquitlam, BC with her husband. They have been married for 26 years and have no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Forster is a registered nurse with Vancouver Coastal Health. She studied psychiatric nursing at Douglas College in 1987. She obtained a general nursing diploma in 1988. She started working in psychiatry at the UBC Hospital in 1988, where she cared for people with acute mental illnesses. She worked there for 14 or 15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2004, Ms. Forster began working in the "Car 87 program". There were two components to the Car 87 program. One component was the crisis line. She worked in an office and took calls from the community regarding individuals with mental health concerns. When an individual in crisis was identified, she reviewed their computer files and determined what kind of care was required, including whether the person should be referred to the Car 87 program. She also reviewed files of individuals who had contact with the police overnight to determine if there was a mental health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second component of the Car 87 program was the car component. This is where a psychiatric nurse and a police officer would go into the community and make contact with individuals with mental health issues. She testified the learning curve was very steep. She had to learn how to assist and restrain people, and how to use handcuffs and police radios. She also had to learn about the mechanisms in police vehicles, such as the intricacies of lights and sirens.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terms of referrals, she and the police officer would meet people at the request of mental heath teams, doctors, clients, and families. Some of those individuals were not happy to see them and could get quite agitated, become medically compromised, and act in very unpredictable ways. They could be combative. She and the officer would determine whether to apprehend the individual and take them to the hospital to have a doctor assess them, or whether the individual could stay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Forster agreed in cross-examination that restraining a client was primarily the police officer's duty. She qualified this by stating the nurses would call for backup, but in the meantime there was certainly an expectation the nurse would assist. That was part of the expectation of a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Forster testified that there could be a physical encounter on any call they went out to. She could not say how often violence actually happened. She testified that it could be infrequent but if there was a history of violence, they would call for cover before going out to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Forster testified she liked the job. There was a lot of responsibility and autonomy. She liked working with the police, seeing people in their own homes, and getting a better viewpoint of their lives. She really liked the idea of helping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Forster testified that just prior to the Accident, the job was changed by Vancouver Coastal Health. The administration laid off everyone who worked there and rehired people to work just in the car portion of the program. Ms. Forster was rehired, but her four day-time shifts were changed to two day shifts and two evening shifts. The evening shift was from 1:00 p.m. to midnight.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Forster testified the new changes simplified the job as she is now only working in the car portion of the program. She no longer had office duties, although she continued to go into the office to write reports at the end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Forster testified that at the time of the Accident, she was registered in a deferred salary leave program. She started this in 2014. Her employer reduced her pay by 20%, which allowed her to take six months off every third year with pay. On her last leave, she went to Bangladesh to teach a psychiatric nursing component in a general nursing program. She was there for almost four months and then did some travelling in the region. This was an unpaid volunteer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time of the Accident, Ms. Forster had plans to work as a psychiatric nurse in Nunavut during a paid leave. It was a paid position. She had been hired for the position prior to the Accident and it was expected to commence in the summer of 2016. Unfortunately, due to the Accident, Ms. Forster has never taken the position in Nunavut.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Forster testified regarding her physical activities prior to the Accident. She liked to run, surf, paddle board, read, hike, backpack, knit, and travel. She took up surfing in the 1990s and originally surfed once or twice a year. Then she and her husband bought a place in Ucluelet, B.C. and they started surfing a lot. She also surfed with her girlfriends, sometimes twice per day. They would surf for two to three hours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Forster has run about 15 road marathons. More recently she started trail running because it is more scenic and more endurable. She switched to predominantly trail running in about 2010. The last road marathon she did was in 2014 at Huntington Beach.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Forster testified she ran a couple races per year prior to the Accident. For example, she ran in the Diez Vista 50 km Trail Run and the Chuckanut 50km Run, one in the spring and one in the fall. She had entered a 50 km run in Utah at the beginning of April 2016. It was a trail run that she did not finish due to adverse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agreed in cross-examination her recreational activities are high-intensity.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Forster testified regarding the Accident. She was travelling northbound on Main Street, crossing 51st Avenue, in an unmarked police vehicle with Constable Kaptein. They were transporting a client to VGH. Ms. Forster was in the front passenger seat wearing a lap and shoulder belt. The vehicle had a headrest which was adjusted for her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day was sunny and dry. Ms. Forster had no warning of the Accident because she was on the phone with the emergency department at VGH regarding the client they were bringing in. Suddenly there was a large bump, and the vehicle was pushed sideways and on to the curb. She was pushed forward and sideways into the door of the vehicle. After she got her bearings, she first worried about the client in the back seat. She phoned the hospital and her workplace to let them know there had been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police and ambulance arrived. She initially thought she was okay. However, within a few minutes, she noticed a pain in her neck and a sensation of pins and needles into her scalp, mouth, and arms. The ambulance attendants suggested she go to the hospital. They put a collar on her neck, put her on a spinal board, and took her to the emergency room at VGH.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staff attended to her very quickly. She was overwhelmed and a bit stiff, although her primary concern was the tingling in her hands and mouth. She was assessed by Dr. Kim. Dr. Kim diagnosed her with soft tissue damage and said she could go home. She was told to take ibuprofen if needed. She went back to work to finish her report and then another Car 87 program nurse drove her home in her car.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Forster testified she had neck pain, headaches, vertigo, tinnitus, pain in her collarbone, and bruising in her hip area. She also had pins and needles and a burning sensation on her cheeks and mouth following the Accident. Ms. Forster testified her headaches, bruising, pain in her collarbone, and tinnitus all resolved within a month or two. Her shoulder pain resolved in about six weeks. Her neck is sometimes tender but this is now intermittent.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Forster testified she continues to have the sensation in her mouth. There is some fluctuation but usually the left side of her tongue has the sensation. It is about the size of a nickel or quarter. It feels like she has Listerine in her mouth or Novocain freezing from a dentist as it starts to wear off. At times this feeling goes to the back of her throat and sometimes into her lip and left cheek. At times she feels like she has been stung by bees. Drinking fizzy drinks and eating popsicles helps to alleviate the sensation.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Forster testified the back of her hands feel like they are badly sunburned. Her palms have an almost electrical kind of pain that fluctuates. Sometimes it feels like a burning poker whereas, at other times, it feels like a frozen hand heating up. It goes from her little fingers to her wrists. She feels the sensation in her hands and it goes into her forearms.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Forster's most marked improvement was in the first six months after the Accident. She improved a bit more over the next six months but, since then, there has been very little change. She has fewer flare ups than in the first six months and fewer sensations in her forearms. Her main concern today is the burning and tingling sensation in her hands, as well as some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Using her hands at desk level or higher increases Ms. Forster's symptoms. Activities such as driving and chopping food, or where weight resistance is involved, also increase her symptoms. Ms. Forster found she was sensitive to touch after the Accident. She stopped wearing her wedding ring and other rings.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Post-Accident Physical and Mental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the Accident, Ms. Forster testified the largest change is the constant sensation in her hands and face. This limits her spontaneity; she has to plan everything and must consider the potential outcomes. She limits her activities because often the consequence will not be worth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Forster testified regarding some of the modifications she made after the Accident. She buys pre-packaged vegetables and salads and simplifies her cooking. She cooks big batches and freezes the remainder for bad days. Before the Accident, her meals were more intricate; she enjoyed baking and making desserts. Today, she can no longer roll pastry because it is too labour intensive.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terms of cleaning, Ms. Forster tends to pace herself and Mr. Forster does the vacuuming and washes the floors. Ms. Forster divides up her cleaning tasks rather than doing them all at once. They hired a person to clean their recreational property in Ucluelet. If they do not need to clean, the extra time allows her to enjoy the activities that she likes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Forster still surfs but it aggravates her symptoms and she cannot go into the water for as long as she used to. She goes in for about an hour and must be selective regarding the wave conditions. She cannot carry her surf board and she knows that she will pay for surfing afterwards. She can sometimes surf two days in a row and then needs a break. After surfing, she may spend a day on the couch or in bed with an ice pack and an audio 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Forster continues to run more times per week but less distance than before the Accident. Her treatment team initially said she should not do high impact activities; once she got the okay she began running again. She testified she cannot do long trail runs anymore as they are too technical.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Forster testified she has not done any backpacking since the Accident. She has done some day hiking but she cannot use hiking poles due to her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Forster still travels, but her travel consists of staying in hotels and going to places that are less remote. Her travel is more comfortable but less adventurous than before the Accident. Ms. Forster testified she went to the Gal pagos Islands with a friend and surfed a couple of times but found it difficult because the conditions were rough. She admitted in cross-examination they had to carry their surfboards for a long time so she determined that it was not worth it for her to surf. As a result she mostly hiked and snorkelled.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Forster testified she does not knit anymore because it aggravates her symptoms. She cannot knit for long enough to get anything accomplished. Reading is also hard because she can only hold a book for approximately 30 minutes. She does have an e-reader and she listens to audio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terms of her mood, Ms. Forster testified her sleep was not great before the Accident, but now it is even harder to get back to sleep. She used sleep medication prior to the Accident. Ms. Forster testified her post-Accident mood is lower overall, and she is more irritable. She agreed in cross-examination her passenger anxiety is not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Forster testified she has lost her sense of humour about things. She does not enjoy things the way she did in the past. She is coming to terms with her new reality. She is not hopeful that her situation will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Forster agreed in cross-examination that she had seen Dr. Kim, a chiropractor, a number of times pre-Accident. She stated that she often had stiffness or straining due to training and saw Dr. Kim to ensure that she was moving as smoothly as possible.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Ability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Forster testified that prior to the Accident she planned to work until 2021, at which point she was eligible for an unreduced pension. She planned to retire at that time but to continue working part-time in a contract position such as in Nunavut. Ms. Forster agreed in cross-examination that Nunavut was an experiment and there was a possibility it would not have worked out. She agreed her retirement benefits are sufficient without the necessity of a part-time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Forster used her banked sick time for the first four months she was off work. Then she transitioned to long-term disability, which she remains on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After the Accident, Ms. Forster met with her union and a workability worker. She testified they concluded she could not return to work and her job would be posted. They turned their minds to other types of work but no position was available within Vancouver Coastal Health in terms of what she could do. Ms. Forster testified she has not considered other work that would be available outside of Vancouver Coastal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Andrew Hosking undertook a function capacity evaluation of Ms. Forster. When the section of his report indicating she could work was put to her, she denied she could do the jobs he suggested. She denied she could work for an insurance company because they must drive from place to place, do physical examinations, and write reports. In terms of outpatient hospital facilities, she understood the job would entail assessments and a lot of report writing. In terms of a consultant in a home care company, she testified the further you get away from patient care, the more documentation you are doing. She is not sure she could do that. Ms. Forster agreed in cross-examination she has not thought about what else she might be able to do, nor has she made any effort to figure out what kind of work she could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Forster has not returned to work in the Car 87 program and remains on long-term disability. She testified she has been unable to return to the duties that she did before the Accident. Ms. Forster admitted in cross-examination she has continued with most of her usual lifestyle activities with some modifications and pacing. She also admitted in cross-examination that she is aware of ergonomic programs that can address many things, including programs that can prevent or reduce the amount of typing. She agreed she has not spoken to a workability worker in a couple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Forster admitted in cross-examination that she was unhappy with the administrative actions that changed the job description of the Car 87 program. She was concerned about doing shift work, although her concern was short-lived because the shift turned out to be 1:00 p.m. to midnight so it was not as problematic as hospital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cross-examination, Ms. Forster was taken to the clinical notes of her general practitioner, Dr. Peggy Brown. She told Dr. Brown she was still having problems with the transition to shift work on April 27, 2016, three days before the Accident. Ms. Forster did not remember making the statement but agreed that the record was true. However, she testified she was not thinking of leaving her job.</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Advice from Medical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Forster saw Dr. Brown a few days after the Accident. Dr. Brown has been her doctor for approximately 25 years. Dr. Brown made recommendations to seek treatment from other healthcare professionals. She saw a chiropractor, a massage therapist, and physiotherapists. She participated in an active rehabilitation program through the Eagle Ridge Aquatic Centre Physiotherapy Clinic ("Eagle Ridge"). The physiotherapist had her do a number of strengthening exercises. However, the exercises aggravated her symptoms. She continued seeing them for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Forster also attended Treloar Physiotherapy Clinic in Vancouver. She saw Curtis Wong and Carol Kennedy because she was not getting better at Eagle Ridge. This was purely for an assessment to provide recommendations for Eagle Ridge. She saw a new physiotherapist at Eagle Ridge who tried cranial sacral manipulation. The physiotherapist tried to realign her face but this only made her symptoms worse. Ms. Kennedy suggested that Ms. Forster take a break from physiotherapy. Ms. Forster returned to massage therapy which made her symptoms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Forster also saw Dr. Nagraeff. He conducted a head-to-toe examination with a fork to determine sensation of cold. He placed the fork on various parts of her body while her eyes were closed. He also tested using pinpricks and vibrations, and tested her reflexes. Dr. Nagraeff suggested intra-muscular stimulation.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Brown suggested Ms. Forster see Connie Keene, a physiotherapist, who did various assessments and conducted intramuscular stimulation three or four times. Ms. Forster found this painful and not helpful. She stopped these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Forster saw Dr. Sherry Wang, a physiatrist. Ms. Forster agreed in cross-examination that Dr. Wang could not find anything to substantiate her claims.</w:t>
      </w:r>
      <w:bookmarkStart w:id="38"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38"/>
      <w:r>
        <w:rPr>
          <w:rFonts w:ascii="arial" w:eastAsia="arial" w:hAnsi="arial" w:cs="arial"/>
          <w:color w:val="000000"/>
          <w:sz w:val="20"/>
          <w:lang w:val="en-US" w:eastAsia="en-US" w:bidi="ar-SA"/>
        </w:rPr>
        <w:t xml:space="preserve"> She suggested the medication Lyrica. When Ms. Forster took this prescription, she became sedated, lethargic, and disinterested. She could have laid in bed all day. Since the prescription did not help her symptoms, she stopped taking it after about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Forster saw Dr. Johal, a neurologist, who conducted a nerve study. He advised her the study was normal. He could not account for the symptoms she was having.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Forster saw Dr. Nagraeff a second time. He suggested she try Cymbalta, which is used to treat nerve pain. When she tried it she became lethargic and nauseous. She took it for about one month and then discontinued it. She had no positive effects from the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Negraeff also suggested she have a brain MRI, which she did. He also suggested a topical cream for her hands. It contained a number of different medications in a compound. When Ms. Forster used it on her hands, it reduced the sensation on the back of her hands, but her skin began peeling. She stopped using the cream. She stated in cross-examination that the cream was of minimal efficacy, which she agreed was better than nothing. Dr. Negraeff suggested that she try cannabinoids, which she is not interested in trying due to her work in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Forster was referred to Dr. Berger, a neurologist at VGH. He did a nerve conduction study. He put electrodes on different parts of her body. This caused stimulation and he tested how fast she reacted. He also did a physical examination of Ms. Forster. He prescribed nortriptyline, a sleep medication. She took it for about two weeks but it had the opposite effect so she stopped taking this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Forster also saw Dr. Wazeem at the request of Great-West Life Assurance Company to re-evaluate her long-term disability claim. Dr. Wazeem suggested wrist splints, thinking she had carpal tunnel syndrome. Ms. Forster purchased the splints but found them quite uncomfortable.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Forster testified that she saw Dr. Joseph Wong, a defence expert in the area of anesthesiology, for approximately 25 minutes on May 13, 2019. She testified he was running late. He did a short physical examination that, according to Ms. Forster, lasted approximately five minutes. Dr. Wong testified the examination took longer. In cross-examination, Ms. Forster agreed Dr. Wong did not find anything to substantiate 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Forster was referred to an occupational therapist who discussed meditation and mindfulness with her. The occupational therapist also discussed strategies like having her groceries delivered and getting a robotic vacuum cleaner. She also discussed the requirements of Ms. Forster's job. According to Ms. Forster, the occupational therapist believed she would not be able to return to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end Ms. Forster had three MRIs.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Gary Forster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Gary Forster, Ms. Forster's husband, testified at trial. He testified Ms. Forster is very outdoorsy and she got him involved with running, hiking, cycling, and other outdoor activities. They have travelled to Chile, Africa, Austria, the Canadian Rockies, and Vancouver Island together. They have done backpacking, hiking, and marathons on these trips. Before the Accident, she was easy-going--nothing bothered her too much--and she was very physically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Since the Accident, Ms. Forster has difficulties with anything that involves her hands. Surfing is tough because one needs to paddle hard to catch a wave. Paddle boarding is also tough. If she does these activities, she pays for it in the evening. She used to surf every day, but now when she surfs she cannot go out for very long and will not be able to do it again for several days. Sometimes she does not go out due to the wave conditions. In cross-examination, Mr. Forster stated Ms. Forster usually has to take one day off after surfing. Running is not as problematic because she does not need to use her hands. She runs three or four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and Ms. Forster have travelled since the Accident but it is a typically visiting family rather than strenuous backpacking trips. They recently visited Haida Gwaii.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terms of household duties, Ms. Forster still likes to cook and bake but it will affect her the next day. She still does the majority of the cooking. Vacuuming and taking out the garbage affect her hands. They have hired somebody to clean their property in Ucluelet. Even reading a book bothers her. Today she can only play the piano for about 15 or 20 minutes and then she has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Forster has noticed Ms. Forster gets frustrated and annoyed more frequently since the Accident. She is anxious as a passenger in a vehicle. She was fine as a passenger prior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Joanne Salamon testified for the plaintiff. She is a friend of Ms. Forster's and has known her for approximately 15 years. Their husbands are also friends. They have done backpacking trips together and Ms. Forster introduced her to trail running and surfing. They have also skied, gone out for tea, attended craft fairs, canned, and baked together. Before the Accident, they regularly ran together and entered 50 km trail runs. Ms. Salamon completed three; Ms. Forster completed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Since the Accident, the two of them continue to run together and also walk Ms. Salamon's dog. The running is not as intense but Ms. Forster tries to keep her fitness up. They now paddle board in calm lakes. Ms. Forster does not paddle board on the ocean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Salamon testified that one day, approximately two years after the Accident, Ms. Forster and Ms. Salamon went to do a craft class together. The craft was painting a paddle. Ms. Forster was unable to finish her paddle and the instructor had to finish it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Salamon noticed Ms. Forster is more emotional and more vulnerable since the Accident. She is struggling with the fact that she cannot do things at the level she used to. She is struggling with how to redefine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Michelle Sevigny testified for the plaintiff. They first met in 2002 when Ms. Sevigny was a constable with the Vancouver Police Department. They were partners in the Car 87 program. Ms. Sevigny left the Car 87 program in 2006. She went on an educational leave to study canine behaviour and then left the Vancouver Police Department in 2008. She and Ms. Forster have remained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Sevigny testified about the Car 87 program. As partners, Ms. Sevigny and Ms. Forster attended calls in the community related to mental health. They worked together for approximately four years. Ms. Forster did the individual's assessment and then they would determine the best course of action together. If the person could be left in the community, they would do so. They might ask for a physician to do a further assessment, or they might apprehend the individual and transport them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Sevigny testified that because she was working with someone who is not a police officer, safety was paramount. The situation could go from calm to serious extremely quickly. Both she and the nurse wore Kevlar vests. Ms. Sevigny testified it was her job to ensure that the nurse and the individuals in the community were safe. In cross-examination, Ms. Sevigny agreed she would never rely on a nurse to assist her when restraining a person as that is not their role. She might call for cover. Ms. Sevigny testified that the physical interaction with the patient is the police officer's role, but there is an expectation that the nurse is physically and mentally capable and ready to do their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Sevigny qualified her testimony, stating she could not always determine the risk ahead of time. If she was unable to help the nurse, the nurse would be on their own and would have to keep themselves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Sevigny and Ms. Forster trained for their past five ultramarathons (marathons that are longer than 42 km) together. It was seven and a half to nine hours of trail running. Ms. Forster was unable to complete the third run due to an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Sevigny moved in 2014 and now she only sees Ms. Forster occasionally; however, they Skype or talk on the phone every couple of weeks. They still run together occasionally. Ms. Sevigny testified that Ms. Forster used to inspire her, however, since the Accident, Ms. Forster is unable to train for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Although there was initial frustration due to her physical changes, after three years, they do not talk much about the Accident. Ms. Sevigny testified that Ms. Forster is not as spontaneous, enthusiastic, or fun as she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Don Getz testified for the plaintiff. He is a registered nurse who has known Ms. Forster for 18 years. He trained her in the Car 87 program. Mr. Getz testified it is a complicated position and the interactions in the community could be unpredictable. He testified he has seen knives, chains, and hand fights. It could get very physical and on one occasion, they needed paramedics to assist. On another occasion, a client was killed.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Getz testified they all loved working in the Car 87 program, including Ms. Forster. However, they all commiserated about the reorganization of the program by Vancouver Coastal Health. They thought it would affect patient care delivery. They also lost eight staff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Getz testified he remains friends with Ms. Forster and they run long distances together. He goes to her house for dinners, "which are amazing". After the Accident, Ms. Forster did not do as much, but she has started hiking, surfing, and running again in the last year. He has hiked with her but at most for 30 minutes since the Accident. Prior to the Accident, they did multi-day backpacking 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Getz testified that Ms. Forster was upbeat, positive, and happy-go-lucky before the Accident. Ms. Forster's mood change dramatically after the Accident. She had a flat affect and looked depressed. She told him she was depressed and that she would see her doctor. He does not know if she followed through with seeing her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Patti Van Ham testified for the plaintiff. She has been a friend of Ms. Forster's since they worked together as relatively new psychiatry nurses at the UBC Hospital. This was approximately 22 years ago. They worked together until Ms. Forster went to the Car 87 program. She testified Ms. Forster was reliable, conscientious, and a good team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Prior to the Accident, they did some running together but Ms. Van Ham was not as much of a runner as Ms. Forster. They also camped and surfed together. They have gone on trips together, and Ms. Van Ham has been to the Forster's place in Ucluelet.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Van Ham testified that Ms. Forster could paddle past the break and catch the bigger waves prior to the Accident. They could surf a couple of sessions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After the Accident, Ms. Forster did not surf at all. She has started to surf again more recently. However, she stays on the inside of the break. If the surf is big, she will not go in at all. She usually surfs for about an hour, depending on the conditions. Ms. Forster is also running again since the Accident, but not long runs like she used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Van Ham and Ms. Forster went to the Gal pagos Islands together. Ms. Van Ham did a lot of surfing but Ms. Forster did more sightseeing and snorkelling as the surf was too big for her. She surfed one day but had to stay in bed the next day. They did some hiking together. She testified that Ms. Forster is more subdued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cross-examination, Ms. Van Ham testified that Mr. Forster helps with meal preparation. Ms. Van Ham also helps when she is there. Ms. Van Ham denied ever hearing Ms. Forster considered leaving her job prior to the Accident due to the changes imposed by the administration. In terms of past mental health issues, she testified Ms. Forster was emotional when her father passed away, but nothing out of the ordinary. Ms. Van Ham denied that Ms. Forster was decreasing her training prior to the Accident due to age and menopause. She did not notice any difference in Ms. Forster the year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Twyla Will testified for the plaintiff. She is a colleague and friend of Ms. Forster's. Ms. Will met Ms. Forster in 2007 through the Car 87 program. Ms. Will went back to emergency nursing in 2014. Ms. Will gave a similar testimony as the other lay witnesses regarding the role of the nurse in the Car 87 program. Ms. Will testified it is Vancouver Coastal Health policy that nurses do not get physically involved with the clients. However, she also testified the nurse would not stand by and watch their partner get hurt. She testified that, on one occasion, things did not go well and she ended up rolling around on the floor with the client for three or four minutes until cover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Will testified Ms. Forster was very fit prior to the Accident. They started running together and did a bit of hiking prior to the Accident. She testified Ms. Forster is a very caring and competent nurse. She is thorough and very good at her job. She was good to learn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Since the Accident, they try to see each other approximately once per month. Ms. Will testified Ms. Forster is quieter and more withdrawn since the Accident. She remains physically active even though it causes her pain because that is who she is; being physically active is part of her identity. Ms. Will testified Ms. Forster is now somewhat bitter, which makes Ms. Will sad. She testified that many nurses can be cynical but Ms. Forster never had that edge to her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cross-examination regarding the administrative changes to the Car 87 program, Ms. Will testified there was a lot of generalized talk amongst staff, everyone was worried, there was a lot of turmoil, and it was stressful. Ms. Will testified Ms. Forster was frustrated with the administrative changes but she never expressed a desire to work anywhere else. She explained Ms. Forster worked full-time hours but made a part-time salary so that she can take time off. She was planning to go to Nunavut which Ms. Will understood was a one-off thing. Ms. Forster saw it as an adventure.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terms of job options, Ms. Will agreed that there are a number of internal postings in Vancouver Coastal Health but stated Ms. Forster would need to stay in psychiatry unless she had further upgrading or training. She testified her own move from emergency to psychiatric nursing was very hard. It would be similarly difficult to go from psychiatric nursing to a medical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Maria Bishop testified for the plaintiff. She is a registered psychiatric nurse who has known Ms. Forster since 1982. They met in nursing school and Ms. Forster introduced Ms. Bishop to her husband. They have remained very good friends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Bishop testified she is currently the faculty and program coordinator at Douglas College in psychiatric nursing. She also works intake at Lions Gate Hospital and sits on the Board of Directors of the College of Nurse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Bishop echoed many of the comments of other lay witnesses. She worked with Ms. Forster in the Car 87 program. They also started running together about 24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Bishop testified about her wedding in Desolation Sound in August 2016. She found Ms. Forster to be negative and sad despite trying hard to enjoy the weekend. In the past, she would have been in her element. However, she was distressed and her mood was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Bishop acknowledged Ms. Forster has improved a bit. She has started running again. However, she has resigned herself to not getting better. Ms. Bishop testified that over the course of three years, it has been similar to a terrible grieving process for Ms. Forster. She has now come to a place of acceptance that her life is different. Ms. Bishop finds this very 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Bishop agreed in cross-examination that if there was an escalation with a client in the Car 87 program, it was the nurse's choice whether to get involved. However, Ms. Bishop testified the nurse needs to be prepared to deal with the unpredictable. She agreed that there are ways to switch positions within the Vancouver Coastal Health system. She denied that Ms. Forster would be able to teach at Douglas College because she does not have a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Opinion Evidence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Michael Negraeff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Michael Negraeff was qualified as an expert in anesthesiology and pain. There was a dispute regarding whether Dr. Negraeff needed a Canadian certificate in pain management before expressing opinions on the diagnosis, treatment, and prognosis of spinal cord trauma causing neuropathic pain. His certificate in pain management is from Australia and New Zealand. I will address the issue regarding his qualifications under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Forster had an MRI on October 19, 2016. The report from the MRI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tiny 1 mm transverse and AP diameter hyperintense focus at C5/C6 level measuring 8 mm in craniocaudal dimension affecting the posterior spinal cord may represent a tiny syrinx.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Negraeff described this MRI in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evidence on her MRI of a T2 hyperintensity signal in her spinal cord at the C4-6 level which is consistent with syrinx or myelomalacia (atrophy of the spinal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According to Dr. Negraeff, a syrinx is a fluid-filled cavity within the spinal cord. If there has been some trauma, a cavity forms where the neurons have died or atrophied. The cavity gets filled up with fluid, causing the appearance of a syrinx. Dr. Negraeff reviewed the actual MRI and determined a syrinx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Negraeff testified that after he observed the syrinx in Ms. Forster's neck on the first MRI he reviewed the literature regarding mild spinal cord injuries in the cervical spine area. By "mild", he meant not enough injury to cause motor or sensory impairment. This literature indicated such injuries could cause neuropathic pain in the hands and fingers. Dr. Negraeff testified that neuropathic pain is the most common type of pain you have where there is an injury to the spinal cord in the neck that is not enough to cause full-blown paralysis.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Negraeff diagnosed Ms. Forster with neuropathic pain. He described this as unpleasant and abnormal. He testified that the burning, stinging, and the sensation of pins and needles she reported to him were similar to symptoms he had heard many times from hundreds of other patients with spinal cord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was put to Dr. Negraeff in cross-examination that Dr. Nikolakis, a neurosurgeon, reviewed the first MRI and concluded there was no sign of cord compression, nerve root compression, or mechanical instability at any level. He did not recommend surgery for Ms. Forster as a result. Dr. Negraeff responded that a spinal cord compression is not the same as a tissue spinal cord injury (which is what he diagnosed Ms. Forster with). A nerve root compression is not in the spinal cord--the nerve root comes off the spinal cord and goes out to the arms or legs lower down. Dr. Negraeff agreed that Ms. Forster does not have an injury significant enough to cause instability of the spine or compression of the spinal cord and spinal nerve roots. He opined that Dr. Nikolakis was not commenting upon a tissue injury inside the spinal cord because he would not offer surgery for a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Negraeff testified he would defer to a functional capacity evaluator regarding whether Ms. Forster can return to work.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Joseph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Joseph Wong was qualified as an expert in physical medicine and rehabilitation. He saw Ms. Forster for an independent medical examination on May 13, 2019. He reported: "Ms. Forster says she had no pain at all but has a constant tingling and numbness sensation involving her hands, bilaterally and the left side of her tongue." He also reported she had "a constant numbness sensation and a pins and needles sensation diffusely in her hands in the ring, dorsal and palmar aspects. The pain sometimes radiates to the wrist area. She says that she has no pain, but a constant abnormal sensation".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When questioned, Dr. Wong testified he remembered Ms. Forster stating she was not in pain when he queried why she was not taking any pain medication. Although not painful, he understood she has abnormal burning, tingling, and numbness sensations. Dr. Wong also reported Ms. Forster had insomnia problems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issue of the syrinx was put to Dr. Wong in cross-examination. He stated he is not a neurologist but he examined the MRI and found no syrinx problem. He did not believe it explained Ms. Forster's numbness. He later explained the first MRI showed a tiny amount of fluid (the syrinx) but it was not present on the later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Wong's medical examination was normal with respect to muscles, bones, and neurological deficits in Ms. Forster's arms. The alignment of her cervical spine was normal, as was the sensory testing. There were no objective findings of anything abnormal. Dr. Wong did not observe any accident-related impairments on his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cross-examination, Dr. Wong agreed he did not refer to Ms. Forster's burning sensation in his report. Plaintiff's counsel suggested he was minimizing Ms. Forster's symptoms. Dr. Wong agreed that he did not test for sensitivity to heat or cold, he did not conduct a pinprick test, and he did not undertake a vibration test. Dr. Negraeff conducted pinpricking and light touch examinations which were normal. Ms. Forster did respond to Dr. Negraeff's cold sensory testing but this testing was not repeated on her second visit to Dr. Negraeff.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Wong concluded Ms. Forster can perform her psychiatric nursing job from a musculoskeletal point of view. In his opinion, her prognosis is good. However, Dr. Wong ultimately agreed Ms. Forster has neuropathic pain, which is why he opined that she should be seen by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Wong testified Ms. Forster engaged in numerous physical activities post-Accident such as surfing, paddle boarding, and running. Given her ability to participate in these activities, he did not understand why Ms. Forster could not return to work. Dr. Wong's concerns were echoed by Ms. Winni Chou, an occupational therapist who assessed Ms. Forster on October 24, 2017.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Andrew Hosking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Andrew Hosking of Health First Health Care Solutions was qualified as an expert in physiotherapy and is certified as a work capacity evaluator. He conducted a functional capacity evaluation of Ms. Forster and wrote a report dated February 24, 2019. Mr. Hosking noted that Ms. Forster is fortunate to be in a profession with a wide scope of possible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Hosking found Ms. Forster did not demonstrate the capacity to meet the physical demands of her job as a registered nurse. Mr. Hosking did not believe Ms. Forster had sufficient agility, speed, or coordination of her upper body to work safely in a situation where she was required to protect herself from an uncooperative client. He noted she had a mild limitation for repeated and prolonged postures of neck flexion while reading, writing, and sitting. She also had some limitations when looking down while using her hands at a flat surface and when standing. However her accuracy and coordination--her fine and medium dexterity--did not appear to change or deteriorate with repetition or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Hosking reported that Ms. Forster should do exercises to strengthen the antagonistic muscles in her overactive interior neck and pectoral muscles to improve postural control. He recommended a further eight to ten sessions with a physiotherapist. He opined that Ms. Forster's focus should be on acquisition of control of the spinal postural muscles (her core). The long-term outcome of an exercise regime is for some improvement in durability for physical activity in occupational, domestic, and recreational activities. However, based on Ms. Forster's prognosis, exercise is not anticipated to be curative measure.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At the end of his conclusions, Mr. Hosking stated Ms. Forster provided variable physical effort during his evaluation. While Ms. Forster showed clear competitive effort in some tests, she exhibited variability, suggestive of less than full effort, in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Hosking opined that Ms. Forster can do work other than in her mental health position for Vancouver Coast Health. She would need to pace herself.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Kevin Turnball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Kevin Turnball was qualified as an expert in economics. He accepted the assumptions provided to him by counsel for the plaintiff, one of which was that Ms. Forster cannot work in the future. He assumed she would have worked in Nunavut in 2016 but for the Accident. He also assumed Ms. Forster would have continued to work four months per year, post retirement, until the age of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Turnball agreed in cross-examination that if Ms. Forster is capable of working, his calculations of her loss of income would be reduced.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 Evidence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Sherry 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Sherry Wang saw Ms. Forster on July 20, 2017. She stated that apart from possibly having carpal tunnel syndrome, she does not "have a good explanation for her presenting symptoms as her neurological examination is normal and her [musculoskeletal] examination is unremarkable. There is no objective focal finding to concern the tiny possible syrinx in her cervical spine that showed on her MRI." This testimony borders on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Negraeff disagreed with Dr. Wang because he did not think she did a thorough sensory examination. He did not believe she looked for cold sensation which is the only finding that he found abnormal, apart from brisk reflexes, on his physical examination of Ms. Forster.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Michael Berger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Michael Berger is a physical medicine and rehabilitation specialist. He did not testify at trial. In his report dated March 6, 2019, he found no evidence of carpal tunnel syndrome. The only abnormality on his examination of Ms. Forster were some brisk reflexes which he felt could be physiologic but could also be related to the small syrinx seen on her 2016 MRI. He therefore reordered the MRI to make sure the syrinx had not expanded. The MRI dated May 23, 2019 found no evidence of the syrinx. The 2019 MRI did not show an expansion of the cord. It did show degenerative changes of the cervical spine.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Sheila Branscombe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Sheila Branscombe, an occupational therapist with a degree in rehabilitation medicine, wrote a responsive report to Mr. Hosking's report. She was not required for cross-examination so she did not testify at the hearing. In her report, Ms. Branscombe noted the focus of nursing care in the Car 87 program is primarily nonviolent crisis intervention. Force is used judiciously and infrequently. She also emphasized that although Mr. Hosking's report discussed upper extremity function testing in functional tasks such as writing and typing, no concerns were noted in his report with respect to those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Branscombe highlighted the contradiction that, while Ms. Forster reported being able to run and walk for one and a half hours at a time, her speed on the 50 feet walk for Mr. Hosking was slower than average and deteriorated over the course of the day. Conversely, her speed with repeat standing from sitting improved, as did her ability to hold a plank position, over the course of the day. Ms. Branscombe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Page 27 [of Mr. Hosking's report] notes that Ms. Forster can only sit for 40 minutes when the reports [sic] states that she sat for 2 hours consecutively and for 4 hours and 35 minutes cumulatively. There is no indication as to why Ms. Forster is restricted in her ability to tolerate a seated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Branscombe concluded that there were no indications that Ms. Forster's mouth, hand, or neck pain are functionally limiting.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argue Ms. Forster suffers from burning, numbness, and tingling in her hands, as well as mental health issues, but there is little to no objective evidence to support her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Forster's injuries involve nerve damage that is not discernible through medical imaging. She also has mental health complaints. Ms. Forster's credibility is an important consideration when evaluating the nature of her injuries because the medical experts relied largely, although not exclusively, on her subjective reports. The plaintiff does not disagree that I must carefully consider the credibility of all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leading authority on credibility is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70"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Justice Dillon summarized the key elements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[1952] 2 D.L.R. 152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320"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 I have found this approach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Sandhu v. Braich</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(1991), 61 B.C.L.R. (2d) 273</w:t>
        </w:r>
      </w:hyperlink>
      <w:r>
        <w:rPr>
          <w:rFonts w:ascii="arial" w:eastAsia="arial" w:hAnsi="arial" w:cs="arial"/>
          <w:color w:val="000000"/>
          <w:sz w:val="20"/>
          <w:lang w:val="en-US" w:eastAsia="en-US" w:bidi="ar-SA"/>
        </w:rPr>
        <w:t xml:space="preserve"> (C.A.), adopted more recently in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addressed the principles to apply when medical experts rely on the subjective complaints of a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 It is trite law - although I note that what is trite law is frequently brushed aside - that in order for an expert to give an opinion the facts upon which he gives that opinion must be proven by the person who has personal knowledge of them: see </w:t>
      </w:r>
      <w:r>
        <w:rPr>
          <w:rFonts w:ascii="arial" w:eastAsia="arial" w:hAnsi="arial" w:cs="arial"/>
          <w:i/>
          <w:color w:val="000000"/>
          <w:sz w:val="20"/>
          <w:lang w:val="en-US" w:eastAsia="en-US" w:bidi="ar-SA"/>
        </w:rPr>
        <w:t>Enge v. Trerise</w:t>
      </w:r>
      <w:r>
        <w:rPr>
          <w:rFonts w:ascii="arial" w:eastAsia="arial" w:hAnsi="arial" w:cs="arial"/>
          <w:color w:val="000000"/>
          <w:sz w:val="20"/>
          <w:lang w:val="en-US" w:eastAsia="en-US" w:bidi="ar-SA"/>
        </w:rPr>
        <w:t xml:space="preserve">, (1960), 33 W.W.R. 577, </w:t>
      </w:r>
      <w:hyperlink r:id="rId322" w:history="1">
        <w:r>
          <w:rPr>
            <w:rFonts w:ascii="arial" w:eastAsia="arial" w:hAnsi="arial" w:cs="arial"/>
            <w:i/>
            <w:color w:val="0077CC"/>
            <w:sz w:val="20"/>
            <w:u w:val="single"/>
            <w:shd w:val="clear" w:color="auto" w:fill="FFFFFF"/>
            <w:lang w:val="en-US" w:eastAsia="en-US" w:bidi="ar-SA"/>
          </w:rPr>
          <w:t>26 D.L.R. (2d) 529</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Lenoard v. British Columbia Hydro &amp; Power Authority</w:t>
      </w:r>
      <w:r>
        <w:rPr>
          <w:rFonts w:ascii="arial" w:eastAsia="arial" w:hAnsi="arial" w:cs="arial"/>
          <w:color w:val="000000"/>
          <w:sz w:val="20"/>
          <w:lang w:val="en-US" w:eastAsia="en-US" w:bidi="ar-SA"/>
        </w:rPr>
        <w:t xml:space="preserve"> (1964), 50 W.W.R. 546, </w:t>
      </w:r>
      <w:hyperlink r:id="rId323" w:history="1">
        <w:r>
          <w:rPr>
            <w:rFonts w:ascii="arial" w:eastAsia="arial" w:hAnsi="arial" w:cs="arial"/>
            <w:i/>
            <w:color w:val="0077CC"/>
            <w:sz w:val="20"/>
            <w:u w:val="single"/>
            <w:shd w:val="clear" w:color="auto" w:fill="FFFFFF"/>
            <w:lang w:val="en-US" w:eastAsia="en-US" w:bidi="ar-SA"/>
          </w:rPr>
          <w:t>49 D.L.R. (2d) 422</w:t>
        </w:r>
      </w:hyperlink>
      <w:r>
        <w:rPr>
          <w:rFonts w:ascii="arial" w:eastAsia="arial" w:hAnsi="arial" w:cs="arial"/>
          <w:color w:val="000000"/>
          <w:sz w:val="20"/>
          <w:lang w:val="en-US" w:eastAsia="en-US" w:bidi="ar-SA"/>
        </w:rPr>
        <w:t xml:space="preserve"> (Wilson, C.J.S.C.), in which that most distinguished judge said (at p. 548 [W.W.R.]):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now enter into an area in which I must consider subjective as well as objective evidence because both were placed before me without objection by counsel. All physicians must I think, rely to some extent on what their patients tell them. If, for instance, a patient had a pain in his neck and went to a doctor, mum, challenging him to find what, if anything, was the matter with him, then I think that doctor would be in almost as difficult a position as a lawyer would be if all his client told him was that he wanted to sue Tom Jones, and condescended to no further detail. When the doctor relates in court what his patient told him, he may be stating hearsay, but common sense in the courts has long ago rejected the idea that this evidence may not be heard and has accepted the idea that it should be listened to, not because it proves by itself the truth of the thing stated by the patient to the doctor, but because it defines to an extent his area of exploration and, if confirmed by the doctor's objective observations and by the patient's evidence given at the trial, may be convincing. I see no other approach to medical evidence. It is closely allied to the hypothetical question often put to other expert witnesses where the witness is asked: "Well, granting the existence of such and such facts, what is your opinion?" The doctor says he accepted some statements made by his patient as facts and formed an opinion thereon. Such an opinion, I think, is subject to criticism if the patient does not appear as a witness and corroborate the existence at the time of the symptoms alleged to have been described to the doctor. Such an opinion, in so far as it relies on the credibility of the patient, is subject to ejection by a judge or jury who, having heard the patient, do not find him credible. I do not think they are bound by the doctor's opinion as to credibility but they must pay a considerable regard to it, particularly if it is related to associated objective evidence, such, for instance, as evidence of spasm. But I do not see any reason why a judge or jury, having heard the expert and the patient, should not, in a proper case, reject the evidence of the expert on the ground that the patient is not a credible witness and that, therefore, the hypothesis on which the expert gave his opinion is not established, having, of course, the fullest regard to the expertise of the doctor and to any objective evidence he has propounded. If this were not so then judges and juries would be completely bound by the opinions of experts as to credibility, and this cannot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Andrusko v. Alexander</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2013 BCSC 985</w:t>
        </w:r>
      </w:hyperlink>
      <w:r>
        <w:rPr>
          <w:rFonts w:ascii="arial" w:eastAsia="arial" w:hAnsi="arial" w:cs="arial"/>
          <w:color w:val="000000"/>
          <w:sz w:val="20"/>
          <w:lang w:val="en-US" w:eastAsia="en-US" w:bidi="ar-SA"/>
        </w:rPr>
        <w:t>, Justice Fitzpatrick made a similar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If the plaintiff's account of his or her change in physical, mental, 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am applying the principles expounded in these authorities when assessing the expert opinion evidence tendered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Forster was a good historian. Her credibility was not seriously challenged during a lengthy cross-examination. She presented in a straightforward manner. Ms. Forster's testimony was consistent and in accordance with the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Forster's husband and friends think highly of Ms. Forster and want to support her. They were consistent in their testimony and made admissions where appropriate. They testified regarding Ms. Forster's diminished health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take these factors into account when assessing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defendants ask that I draw an adverse inference because Ms. Forster did not call Dr. Peggy Brown, her general practitioner, or Jasdeep Shergill, an employee records and benefits associate with the Provincial Health Authority. The defendants rely on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paras. 30 and 35, and </w:t>
      </w:r>
      <w:r>
        <w:rPr>
          <w:rFonts w:ascii="arial" w:eastAsia="arial" w:hAnsi="arial" w:cs="arial"/>
          <w:i/>
          <w:color w:val="000000"/>
          <w:sz w:val="20"/>
          <w:lang w:val="en-US" w:eastAsia="en-US" w:bidi="ar-SA"/>
        </w:rPr>
        <w:t>Mohamud v. Yu</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2016 BCSC 1138</w:t>
        </w:r>
      </w:hyperlink>
      <w:r>
        <w:rPr>
          <w:rFonts w:ascii="arial" w:eastAsia="arial" w:hAnsi="arial" w:cs="arial"/>
          <w:color w:val="000000"/>
          <w:sz w:val="20"/>
          <w:lang w:val="en-US" w:eastAsia="en-US" w:bidi="ar-SA"/>
        </w:rPr>
        <w:t xml:space="preserve"> at paras. 35, 40, and 42, to establish that a party should present their best evidence. This typically includes the plaintiff's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plaintiff argues that there is a discretion by the trial judge regarding whether to draw an adverse inference. I agree. As set out in </w:t>
      </w:r>
      <w:r>
        <w:rPr>
          <w:rFonts w:ascii="arial" w:eastAsia="arial" w:hAnsi="arial" w:cs="arial"/>
          <w:i/>
          <w:color w:val="000000"/>
          <w:sz w:val="20"/>
          <w:lang w:val="en-US" w:eastAsia="en-US" w:bidi="ar-SA"/>
        </w:rPr>
        <w:t>Singh</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Reddy</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2019 BCCA 79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principle is described by authors S.N. Lederman, A.W. Bryant and M.K. Fuerst in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(2018, 5th ed.) as follows: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6.471 In civil cases, an unfavorable inference can be drawn when, in the absence of an explanation, a party litigant does not testify, or fails to provide affidavit evidence on an application, or fails to call a witness who would have knowledge of the facts and </w:t>
      </w:r>
      <w:r>
        <w:rPr>
          <w:rFonts w:ascii="arial" w:eastAsia="arial" w:hAnsi="arial" w:cs="arial"/>
          <w:color w:val="000000"/>
          <w:sz w:val="20"/>
          <w:u w:val="single"/>
          <w:lang w:val="en-US" w:eastAsia="en-US" w:bidi="ar-SA"/>
        </w:rPr>
        <w:t>would be assumed to be willing to assist that party</w:t>
      </w:r>
      <w:r>
        <w:rPr>
          <w:rFonts w:ascii="arial" w:eastAsia="arial" w:hAnsi="arial" w:cs="arial"/>
          <w:color w:val="000000"/>
          <w:sz w:val="20"/>
          <w:lang w:val="en-US" w:eastAsia="en-US" w:bidi="ar-SA"/>
        </w:rPr>
        <w:t xml:space="preserve">. In the same vein, an adverse inference may be drawn against a party who does not call a material witness </w:t>
      </w:r>
      <w:r>
        <w:rPr>
          <w:rFonts w:ascii="arial" w:eastAsia="arial" w:hAnsi="arial" w:cs="arial"/>
          <w:color w:val="000000"/>
          <w:sz w:val="20"/>
          <w:u w:val="single"/>
          <w:lang w:val="en-US" w:eastAsia="en-US" w:bidi="ar-SA"/>
        </w:rPr>
        <w:t>over whom he or she has exclusive control and does not explain it away</w:t>
      </w:r>
      <w:r>
        <w:rPr>
          <w:rFonts w:ascii="arial" w:eastAsia="arial" w:hAnsi="arial" w:cs="arial"/>
          <w:color w:val="000000"/>
          <w:sz w:val="20"/>
          <w:lang w:val="en-US" w:eastAsia="en-US" w:bidi="ar-SA"/>
        </w:rPr>
        <w:t>. The inference should only be drawn in circumstances where the evidence of the person who was not called would have been superior to other similar evidence. The failure to call a material witness amounts to an implied admission that the evidence of the absent witness would be contrary to the party's case, or at least would not support it.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Thomasson v. Moeller</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2016 BCCA 14</w:t>
        </w:r>
      </w:hyperlink>
      <w:r>
        <w:rPr>
          <w:rFonts w:ascii="arial" w:eastAsia="arial" w:hAnsi="arial" w:cs="arial"/>
          <w:color w:val="000000"/>
          <w:sz w:val="20"/>
          <w:lang w:val="en-US" w:eastAsia="en-US" w:bidi="ar-SA"/>
        </w:rPr>
        <w:t>, this court summarized the principle in similar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adverse inference may be drawn against a party, if without sufficient explanation, that party fails to call a witness </w:t>
      </w:r>
      <w:r>
        <w:rPr>
          <w:rFonts w:ascii="arial" w:eastAsia="arial" w:hAnsi="arial" w:cs="arial"/>
          <w:color w:val="000000"/>
          <w:sz w:val="20"/>
          <w:u w:val="single"/>
          <w:lang w:val="en-US" w:eastAsia="en-US" w:bidi="ar-SA"/>
        </w:rPr>
        <w:t>who might be expected to provide important supporting evidence</w:t>
      </w:r>
      <w:r>
        <w:rPr>
          <w:rFonts w:ascii="arial" w:eastAsia="arial" w:hAnsi="arial" w:cs="arial"/>
          <w:color w:val="000000"/>
          <w:sz w:val="20"/>
          <w:lang w:val="en-US" w:eastAsia="en-US" w:bidi="ar-SA"/>
        </w:rPr>
        <w:t xml:space="preserve"> if their case was sound: </w:t>
      </w:r>
      <w:r>
        <w:rPr>
          <w:rFonts w:ascii="arial" w:eastAsia="arial" w:hAnsi="arial" w:cs="arial"/>
          <w:i/>
          <w:color w:val="000000"/>
          <w:sz w:val="20"/>
          <w:lang w:val="en-US" w:eastAsia="en-US" w:bidi="ar-SA"/>
        </w:rPr>
        <w:t>Jones v. Trudel</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2000 BCCA 298</w:t>
        </w:r>
      </w:hyperlink>
      <w:r>
        <w:rPr>
          <w:rFonts w:ascii="arial" w:eastAsia="arial" w:hAnsi="arial" w:cs="arial"/>
          <w:color w:val="000000"/>
          <w:sz w:val="20"/>
          <w:lang w:val="en-US" w:eastAsia="en-US" w:bidi="ar-SA"/>
        </w:rPr>
        <w:t xml:space="preserve"> at para. 32. The inference is not to be drawn if the witness is equally available to both parties and unless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is established: </w:t>
      </w:r>
      <w:r>
        <w:rPr>
          <w:rFonts w:ascii="arial" w:eastAsia="arial" w:hAnsi="arial" w:cs="arial"/>
          <w:i/>
          <w:color w:val="000000"/>
          <w:sz w:val="20"/>
          <w:lang w:val="en-US" w:eastAsia="en-US" w:bidi="ar-SA"/>
        </w:rPr>
        <w:t>Cranewood Financial v. Norisawa</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2001 BCSC 1126</w:t>
        </w:r>
      </w:hyperlink>
      <w:r>
        <w:rPr>
          <w:rFonts w:ascii="arial" w:eastAsia="arial" w:hAnsi="arial" w:cs="arial"/>
          <w:color w:val="000000"/>
          <w:sz w:val="20"/>
          <w:lang w:val="en-US" w:eastAsia="en-US" w:bidi="ar-SA"/>
        </w:rPr>
        <w:t xml:space="preserve"> at para. 127</w:t>
      </w:r>
      <w:r>
        <w:rPr>
          <w:rFonts w:ascii="arial" w:eastAsia="arial" w:hAnsi="arial" w:cs="arial"/>
          <w:i/>
          <w:color w:val="000000"/>
          <w:sz w:val="20"/>
          <w:lang w:val="en-US" w:eastAsia="en-US" w:bidi="ar-SA"/>
        </w:rPr>
        <w:t>; Lambert v. Quinn</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(1994) 110 D.L.R. (4th) 284</w:t>
        </w:r>
      </w:hyperlink>
      <w:r>
        <w:rPr>
          <w:rFonts w:ascii="arial" w:eastAsia="arial" w:hAnsi="arial" w:cs="arial"/>
          <w:color w:val="000000"/>
          <w:sz w:val="20"/>
          <w:lang w:val="en-US" w:eastAsia="en-US" w:bidi="ar-SA"/>
        </w:rPr>
        <w:t xml:space="preserve"> (Ont. C.A.) at 287.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 Essentially, the decision to draw an adverse inference is discretionary and premised on the likelihood that the witness would have given harmful testimony to the party who failed to call him or her. In a case before a jury, where there are circumstances that support the drawing of such an inference, the trial judge should charge the jury that it is "appropriate for a jury to infer, although [jurors] are not obliged to do so, that the failure to call material evidence which was particularly and uniquely available to [a party] was an indication that such evidence would not have been favourable to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Based on the best evidence rule and the authorities cited above, Ms. Jasdeep should have been called at trial. I am prepared to draw an adverse inference from Ms. Forster's failure to call Ms. Shergill because, in addition to not calling this witness, the plaintiff did not provide any records from the workability department. There was no ability for the defendants to assess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 did provide Dr. Brown's clinical records. Since the defendants had a chance to review those records, and could have called Dr. Brown themselves, I am not prepared to draw an adverse inference against the plaintiff for not calling Dr. Brown. However, by not calling Dr. Brown there is a lack of medical evidence regarding any mental health issues Ms. Forster suffered as a result of the Accident. I make further comments regarding this under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Before assessing damages, the "plaintiff must establish a causal connection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plaintiff's] pain":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accepted test for causation is the "but for" test: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21-22. Causation is a factual determination. The plaintiff bears the onus of proving on a balance of probabilities that but for the defendant's negligent act or omission, the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Causation is found if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In the seminal decision of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324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the Supreme Court of Canada set out the test for causation, the hallmark of which is "a robust and pragmatic approach to the facts to enable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drawn even though medical or scientific expertise cannot arrive at a definitive conclusion." The causation test does not demand scientific precision and should not be applied too rigidly. While proof of causation will often require expert evidence, common sense applies: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There is a difference between medical and legal causation. In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at 330, the Court articulated this point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therefore essential that the medical experts provide a firm opinion supporting the plaintiff's theory of causation. Medical experts ordinarily determine causation in terms of certainties whereas a lesser standard is demanded by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plaintiff must establish a substantial connection between the tortious conduct and the injury: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 xml:space="preserve"> at para. 11. However, a robust and pragmatic approach to the "but for" test allows for there to be more than one cause of an injury. Where there is more than one cause of an injury, resulting in an indivisible injury, the plaintiff need only show that the accident contributed to the injury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Farrant</w:t>
      </w:r>
      <w:r>
        <w:rPr>
          <w:rFonts w:ascii="arial" w:eastAsia="arial" w:hAnsi="arial" w:cs="arial"/>
          <w:color w:val="000000"/>
          <w:sz w:val="20"/>
          <w:lang w:val="en-US" w:eastAsia="en-US" w:bidi="ar-SA"/>
        </w:rPr>
        <w:t xml:space="preserve"> at paras. 9, 50-51.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There were a number of medical and other expert opinions before me. Dr. Negraeff opined that Ms. Forster likely suffers from a minor cervical spinal cord injury resulting in a syrinx, which in turn caused Ms. Forster's neurological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defendants challenged this finding, which arose from Dr. Negraeff's literature review, as being unique, inconclusive, and without the benefit of the later MRI which showed no evidence of a syrinx. The first MRI showed an objective sign of injury--a syrinx--but the later MRI did not. Dr. Negraeff did not believe the later MRI invalidated the first MRI. In his opinion, the fact that the syrinx did not expand did not mean that the syrinx is not explaining Ms. Forster's current pathology. He conceded in cross-examination that the syrinx seen on the first MRI could be incidental and could have been present prior to the Accident. Despite this concession, Dr. Negraeff maintained his opinion that the Accident "is more likely than not the cause of her persistent burning pain in the hands and left tongue."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Negraeff testified that Ms. Forster's injury is permanent because nerve cells do not recover. He opined that Ms. Forster has likely made a maximal recovery and will continue to have ongoing flare-ups and exacerbations associated with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Wong accepted that Ms. Forster has her reported symptoms but could not explain why. He opined that from a musculoskeletal point of view, Ms. Forster is fine. He suggested that she see a neurologist, which Ms. Forster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Wong found it striking that Ms. Forster reported no pain because she also reported that she was unable to work. He contrasted this with the number of recreational activities that Ms. Forster still participates in, albeit at a reduced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Hosking's report was put to Ms. Forster in cross-examination.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Comment on reliability of reports of pain and disability</w:t>
      </w:r>
      <w:r>
        <w:rPr>
          <w:rFonts w:ascii="arial" w:eastAsia="arial" w:hAnsi="arial" w:cs="arial"/>
          <w:color w:val="000000"/>
          <w:sz w:val="20"/>
          <w:lang w:val="en-US" w:eastAsia="en-US" w:bidi="ar-SA"/>
        </w:rPr>
        <w:t>: Ms. Forster demonstrates a tendency to overstate her level of pain and disability in response to some written questionnaires. She demonstrates intermittent kinesiophobic behaviours. Associated with this, her verbal reports of capacity only intermittently match her actual observed abilities. More frequently than not, she appears to have greater capacity than she estimates. Overall, her reports of pain and disability are considered only marginally reliable. Accordingly, conclusions in this report are based primarily on observed abilities, with little weight given to subjective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Forster simply stated this was Mr. Hosking's opinion. She offered no explanation regarding the inconsistencies between her reported pain levels and her observed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Hosking noted that Ms. Forster is suited to working with patients who are not physically dependent. I agree with the defendants that Mr. Hosking went beyond the scope of his qualifications when he opined on the type of positions Ms. Forster is suited for. Mr. Hosking was qualified as an expert in functional capacity evaluation. He assesses physical functionality; he was not qualified as a vocational consultant. I disregard his opinion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accept the medical evidence establishes Ms. Forster sustained cervical spinal cord trauma which likely caused neuropathic pain. I also accept, given the timing of her tingling, burning, and numbness, Ms. Forster's symptoms are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also accept Ms. Forster has had some anxiety and mood issues since the Accident. I have determined they are minor based on the lack of medical evidence as well as her ability to socialize, engage in many physical activities, and travel post-Accident. She did not provide evidence she has serious mental health issues and did not call her family doctor to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terms of the dispute regarding a need for Dr. Negraeff to have a certificate to express opinions on the diagnosis, treatment, and prognosis of spinal cord trauma causing neuropathic pain, I find it makes little difference. Even if Ms. Forster does not suffer from the type of neuropathic pain Dr. Negraeff diagnosed, I accept Ms. Forster's symptoms are real and caused by some type of neuropathic pain. Dr. Wong, the defendant's expert, agreed in cross-examination that Ms. Forster has neuropathic pain. He testified that is why he suggested she should see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Based on the totality of the evidence, I find Ms. Forster tends to overstate her pain and her limitations. Given her physical abilities and the functional capacity testing which found no limitations regarding Ms. Forster's ability to write, type, or sit for prolonged periods of time, there is a disconnect between Ms. Forster's reporting of her pain and limitations and her actual post-Accident abilities and lifestyle. As stated by Ms. Winni Chou, Ms. Forster "perceives a high degree of disability that is out of proportion to her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Despite attempting a number of medical treatments, Ms. Forster's symptom recovery plateaued and she has now reached maximal spontaneous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A fundamental principle of tort law is that, to the extent a monetary award can accomplish it, a plaintiff should be placed in the same position they would have been in had the accident not occurred. The plaintiff should not be placed in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defendants argue Ms. Forster failed to mitigate her damages because she refused to take, or continue to take, medications prescribed to her that likely would have reduced her symptoms and increased her function: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The defendants also argue Ms. Forster made no attempt to try any type of work post-Accident--even part-time work with accommodations. They argue her overall award should be reduced by 20% for her failure and, if I decide to award her damages for loss of future earning capacity, the award should be reduced by 40% for her projected ability to work approximately 50% of her pre-accident hours.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A plaintiff must take reasonable steps to mitigate their loss: </w:t>
      </w:r>
      <w:r>
        <w:rPr>
          <w:rFonts w:ascii="arial" w:eastAsia="arial" w:hAnsi="arial" w:cs="arial"/>
          <w:i/>
          <w:color w:val="000000"/>
          <w:sz w:val="20"/>
          <w:lang w:val="en-US" w:eastAsia="en-US" w:bidi="ar-SA"/>
        </w:rPr>
        <w:t>British Columbia v. Canadian Forest Products Ltd.</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2004 SCC 38</w:t>
        </w:r>
      </w:hyperlink>
      <w:r>
        <w:rPr>
          <w:rFonts w:ascii="arial" w:eastAsia="arial" w:hAnsi="arial" w:cs="arial"/>
          <w:color w:val="000000"/>
          <w:sz w:val="20"/>
          <w:lang w:val="en-US" w:eastAsia="en-US" w:bidi="ar-SA"/>
        </w:rPr>
        <w:t xml:space="preserve"> at para. 106. This includes undergoing treatment to reduce their damages: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at para. 234. The defendant bears the onus of demonstrating the plaintiff failed to mitigate. The onus on the defendant is heavy: </w:t>
      </w:r>
      <w:r>
        <w:rPr>
          <w:rFonts w:ascii="arial" w:eastAsia="arial" w:hAnsi="arial" w:cs="arial"/>
          <w:i/>
          <w:color w:val="000000"/>
          <w:sz w:val="20"/>
          <w:lang w:val="en-US" w:eastAsia="en-US" w:bidi="ar-SA"/>
        </w:rPr>
        <w:t>Preston v. Kontzamanis</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2015 BCSC 2219</w:t>
        </w:r>
      </w:hyperlink>
      <w:r>
        <w:rPr>
          <w:rFonts w:ascii="arial" w:eastAsia="arial" w:hAnsi="arial" w:cs="arial"/>
          <w:color w:val="000000"/>
          <w:sz w:val="20"/>
          <w:lang w:val="en-US" w:eastAsia="en-US" w:bidi="ar-SA"/>
        </w:rPr>
        <w:t xml:space="preserve"> at para.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Based on the jurisprudence, there is a two-part test. As stated by Justice Low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Thus, the defendants must demonstrate Ms. Forster acted unreasonably in failing to follow medical advice and, had she followed the advice, she would have fully or partially recovered.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xml:space="preserve"> remains a guiding authority on the issue of mitigation.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agree with plaintiff counsel that Ms. Forster followed the medical advice provided to her. She tried all the medications prescribed, apart from cannabis for which she had a reasonable explanation. She also tried numerous other modalities of treatment. However, Ms. Forster did not continue with these treatments and did not consult with her physicians before stopping many of the prescribed medications. That said, the defendants have not established the extent, if any, that Ms. Forster's damages would have been reduced had she continued her treatments. The defendants have not met their onus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My concern in terms of a failure to mitigate is Ms. Forster's ability to participate in cooking, running (including trail running), hiking, surfing, paddle boarding, and traveling following the Accident. Notwithstanding this level of activity, she claims she cannot work, even part-time. I agree with a number of the experts that this seems improbable, especially if she were provided some accommodations and a reduced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There was credible evidence Ms. Forster can no longer work in the acute mental health Car 87 program. I understand none of the lay witnesses could say how often there was a physical confrontation between a client and the police officer and nurse in the Car 87 program. However, all the witnesses testified they could go a month or more without any problems, but then have a number of incidents arise within a short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accept Ms. Forster cannot work in the Car 87 program given the unpredictable nature of the work and the risk of physical encounters with the individuals whom she would be treating. It is a fast-paced job requiring quick decisions and physical strength. Given the evidence, Ms. Forster is compromised in her ability to respond to physical confrontations.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also accept Ms. Forster cannot go back to physical nursing given her limitations. Yet, there was no compelling evidence before me that Ms. Forster is unable to work in less physical aspects of nursing with some accommodations, or outside of nursing, on a part-time basis. There was no objective evidence before me that Ms. Forster cannot write or type. Moreover, it is unclear why she cannot sit or stand for extended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Forster agreed in cross-examination that the occupational therapist, Ms. Winni Chou, stated in her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[A]ccording to the DASH and COPM self-reports, client perceives high degree of disability that is out of proportion to her presentation. This is specifically related to her work as she reported extremely low capability and satisfaction in her ability to perform her nursing duties where she scored a max 100/100 level of disability in job-related tasks. Additionally, she reports little hope of returning to her pre-MVI levels of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Client further presents as being uncomfortable with the use of adaptive aids. Upon brief discussion, client was hesitant to utilize adaptive aids to decrease her symptoms during reading and declined a reading stand, which may imply low readiness for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Forster disagreed that this was a sign that she simply did not want to return to work. No further explanation was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Hosking concluded Ms. Forster would "likely have the capacity for part-time work of an accommodative nature. She would be suited to work which requires intermittent use of her hands, and for variation a body position between sitting and standing". He stated that her shifts would likely be limited to four to six hours on two consecutive days. For example, she could work a four-day week, with one day off between her two sets of consecutive day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There is no explanation as to why Ms. Forster cannot sit for extended lengths of time. She sat through her testimony without any obvious limitations. Ms. Forster is willing to try participating in her leisure activities, but not any work, post-Accident. I appreciate Ms. Forster has not been required to return to work by her employer and is in receipt of long-term disability benefits. However, to the extent that Ms. Forster can work, the defendants are only to compensate her for the decrease in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While Ms. Forster worked with an occupational therapist with the view of returning to work, she was reluctant to try different accommodations and was unwilling to wear splints because she found them to be uncomfortable. She did not consider new dictation systems which can substantially minimize typing and she was unwilling to consider other forms of accommodation. She did not make a serious attempt to go back to work of any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am not persuaded Ms. Forster cannot do any work following the Accident. She has managed to continue to pursue leisure activities such as surfing, paddle boarding, and running. I note one witness testified that one has to paddle hard to catch waves. Paddling requires the use of one's hands. Ms. Forster is also able to travel. There was evidence that Ms. Forster continues to play the piano. She also cooks, which also uses her hands. While all of these activities are on a more limited basis than in the past, the point is she continues to do them. Had Ms. Forster returned to work part-time, she would have reduced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While I accept that Ms. Forster was totally disabled in the first year following the Accident, since that time, I believe she is capable of working approximately four days per week of four-hour shifts. This would likely require some physical accommodations.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By not attempting to return to work, Ms. Forster failed to mitigate her damages. I find that she likely can work approximately 40% of her pre-Accident hours based on Mr. Hosking's opinion that she can work four, four-hour shifts per week with a break after two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accept that Ms. Forster will need a part-time position with accommodations, which may not be easy to find so I account for this in the award. As a result of her failure to mitigate, damages for loss of earning capacity, after the first year post-Accident, will be reduced by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336"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Non-pecuniary damages must be fair to all parties; fairness is measured against awards made in comparable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common factors that influence an award of non-pecuniary damages include: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Lindal</w:t>
      </w:r>
      <w:r>
        <w:rPr>
          <w:rFonts w:ascii="arial" w:eastAsia="arial" w:hAnsi="arial" w:cs="arial"/>
          <w:color w:val="000000"/>
          <w:sz w:val="20"/>
          <w:lang w:val="en-US" w:eastAsia="en-US" w:bidi="ar-SA"/>
        </w:rPr>
        <w:t>], Justice Dickson (as he then was) stated that an award for non-pecuniary damages does not depend only on the seriousness of the injury, it also depends on the seriousness of the individual's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An award will vary in each case "to meet the specific circumstances of the individual case"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A fundamental principle of tort law is, to the extent a monetary award can accomplish it, a plaintiff should be placed in the same position they would have been in had the accident not occurred. The plaintiff should not be placed in a better position: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Lindal</w:t>
      </w:r>
      <w:r>
        <w:rPr>
          <w:rFonts w:ascii="arial" w:eastAsia="arial" w:hAnsi="arial" w:cs="arial"/>
          <w:color w:val="000000"/>
          <w:sz w:val="20"/>
          <w:lang w:val="en-US" w:eastAsia="en-US" w:bidi="ar-SA"/>
        </w:rPr>
        <w:t xml:space="preserve"> at 639-640, Dickson J. held that because non-pecuniary damages do not fulfill the function of compensation, the award under this head of damages should be moderate: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making the award is to substitute other amenities for those that have been lost, not to compensate for the loss of something with a money value. Since the primary function of the law of damages is compensation, it is reasonable that awards for non-pecuniary loss, which do not fulfill this function, should be moderate.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parties took me to a number of cases regarding quantum of non-pecuniary damages. I have reviewed the cases and paid particular attention to: </w:t>
      </w:r>
      <w:r>
        <w:rPr>
          <w:rFonts w:ascii="arial" w:eastAsia="arial" w:hAnsi="arial" w:cs="arial"/>
          <w:i/>
          <w:color w:val="000000"/>
          <w:sz w:val="20"/>
          <w:lang w:val="en-US" w:eastAsia="en-US" w:bidi="ar-SA"/>
        </w:rPr>
        <w:t>Schulze v. Tull</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2017 BCSC 781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Kwong v. Leonard</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2012 BCSC 1818</w:t>
        </w:r>
      </w:hyperlink>
      <w:r>
        <w:rPr>
          <w:rFonts w:ascii="arial" w:eastAsia="arial" w:hAnsi="arial" w:cs="arial"/>
          <w:color w:val="000000"/>
          <w:sz w:val="20"/>
          <w:lang w:val="en-US" w:eastAsia="en-US" w:bidi="ar-SA"/>
        </w:rPr>
        <w:t xml:space="preserve">. The cases to which the parties referred provide helpful guidance, but each case turns on its own particular circumstances: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at paras. 188-189.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Ms. Forster was in excellent health prior to the Accident. She was fit and active. She competed in marathons and trail running. Her mood, apart from some anxiety, was good. Despite a suggestion by defence counsel, there was no evidence Ms. Forster's activity levels were reduced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Ms. Forster presented consistent evidence regarding her ongoing injuries. She initially had acute soft tissue injuries and headaches that resolved within a month of the Accident. Her shoulder pain resolved in about six weeks. She continues to have some tenderness in her neck but this is intermittent. It is the persistent tingling, numbness, and burning sensation in her hands and mouth that most bothers her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the first year post-Accident, Ms. Forster could not do much in the way of physical activities. Once she was given the go-ahead from her physician, she began to participate in her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As stated above, Ms. Forster's main concern today is her constant numbness and tingling in her hands with occasional flare-ups. Ms. Forster's mood has also been mildly affected. She suffers from some anxiety although she had some anxiety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Ms. Forster has been off-work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Ms. Forster continues with most of her domestic, recreational, and leisure activities but she is restricted in the duration and frequency of these activities. She limits her activities because the consequences "will not be worth it". Ms. Forster continues to do her household chores, except vacuuming which her husband now does. They have hired a cleaner for their place in Ucluelet but testimony established this was to free up more leisure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Forster is able to do most of her previous recreational activities. She is able to run about one-and-a-half hours on the trails and continues to surf and paddle board. However, she can no longer paddle board on the ocean and her surfing is limited to the inner waves on calmer days. She continues to travel but it is not as adventurous as it was in the past. She manages her daily living activities with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find that Ms. Forster's life has been affected by the Accident but not to the extent claimed. I award her $85,000. This amount is not to be reduced for Ms. Forster's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legal principles with respect to loss of income were helpfully explained by Justice Goepel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2017 BCCA 158</w:t>
        </w:r>
      </w:hyperlink>
      <w:bookmarkStart w:id="39"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39"/>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governing authority in this Court is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this Court, after an extensive review of the authorities, rejected the proposition that a claim for past loss of opportunity had to be established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Rowles J.A. then went on to discuss the assessment of damages. She noted that the same test applies regardless of whether you are assessing past or future loss of earning capacity. In both situations the judge is considering hypothetical events. She reasoned: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 ...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aff'd </w:t>
      </w:r>
      <w:hyperlink r:id="rId129"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Justice Saunders provided a useful discussion of the fundamental principles to take into account when assessing loss of past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full assessment of damages for such losses may involve, at least to some extent, consideration of hypothetical situations and contingencies - what might have happened, or what might yet happen, had the accident not occurred, as distinct from what actually has happened. However, particularly where the claimed losses are derived from something other than a measurable, conventional income stream, the determination of a plaintiff's prospective post-accident, pre-trial losses can involve considering many of the same contingencies as govern the assessment of a loss of future earning capacity: "The only difference is that knowledge of events occurring before trial takes the place of prediction" - Prof. Waddams, The Law of Damages, Looseleaf Ed. (2008) para. 3.360. When considering hypotheticals and contingencies in the context of a pre-trial loss, the same general principles which govern the assessment of lost future earning capacity may be equally applicable -- Waddams,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xml:space="preserve">.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These are the principles that I apply to both past and future loss of earning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At the time of the Accident, Ms. Forster was working as a registered nurse in mental health emergency services. She was part of the team in the Car 87 program at Vancouver Coastal Health. She had been in her position for approximately 16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Prior to the Accident, Ms. Forster was registered in a wage deferral program which enabled her to participate in leaves from work while continuing to receive income. She took one deferred leave when she volunteered to teach psychiatric nursing in Bangladesh.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At the time of the Accident, Ms. Forster's hourly wage was $42.45.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Ms. Forster did not return to work after the Accident. In the first four months following the Accident, she received income from her sick leave bank. After that she received, and continues to receive, long-term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At the time of the Accident, Ms. Forster had arranged to take a leave from the Car 87 program to work as a nurse in Nunavut for four months starting in the summer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find that, but for the Accident, Ms. Forster would have worked for four months in Nunavut and so she is entitled to four months'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annual rate for the work in Nunavut range from $95,882 to $108,810. Taking the average of that salary range yields $102,346. That figure divided by three yields approximately $34,000. Adding this to eight months' gross income between May and December 2016 of approximately $56,000, results in a gross loss of $90,000 for 2016.</w:t>
      </w:r>
      <w:bookmarkStart w:id="40"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40"/>
      <w:r>
        <w:rPr>
          <w:rFonts w:ascii="arial" w:eastAsia="arial" w:hAnsi="arial" w:cs="arial"/>
          <w:color w:val="000000"/>
          <w:sz w:val="20"/>
          <w:lang w:val="en-US" w:eastAsia="en-US" w:bidi="ar-SA"/>
        </w:rPr>
        <w:t xml:space="preserve"> Ms. Forster is also entitled to compensation between 2017 and the date of trial of $230,000. Therefore, the total for past loss of earning capacity is $320,000.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leave it to the parties to make the appropriate adjustments regarding a reduction for mitigation of 25% beginning on May 1, 2017 to reach the net figure.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In determining a claim for future loss of earning capacity, the court must consider two questions. First, has the plaintiff's earning capacity been impaired by their injuries? To answer this question in the affirmative, there must be sufficient evidence that there is a real and substantial possibility of future income loss. If so, the second question will be, what compensation should be awarded for the resulting financial harm that will accrue over time?: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at para. 153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xml:space="preserve">]. To summarize, "[t]he plaintiff is required to prove a real and substantial possibility of a future event resulting in a loss in order to recover damages for loss of future earning capacity": </w:t>
      </w:r>
      <w:r>
        <w:rPr>
          <w:rFonts w:ascii="arial" w:eastAsia="arial" w:hAnsi="arial" w:cs="arial"/>
          <w:i/>
          <w:color w:val="000000"/>
          <w:sz w:val="20"/>
          <w:lang w:val="en-US" w:eastAsia="en-US" w:bidi="ar-SA"/>
        </w:rPr>
        <w:t>J.J. v. Barton</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2017 BCSC 1196</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the Court of Appeal explained there are two possible approaches to assess loss of future earning capacity: the "earnings approach", as applied in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and the "capital asset approach", as applied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Both approaches are correct. The earnings approach is more useful when the loss is more easily measurable. The capital asset approach is more useful when the loss is not as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The assessment must be based on the totality of the evidence and take into account both positive and negative contingencies: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33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at 15 (Ont. C.A.)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xml:space="preserve">, cited with approval in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Justice Doherty, for the Ontario Court of Appeal, stated at 14-15: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cases, and those which have applied them, tell me that contingencies can be placed into two categories: general contingencies which as a matter of human experience are likely to be the common future of all of us,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promotions or sickness; and "specific" contingencies, which are peculiar to a particular plaintiff,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a particularly marketable skill or a poor work record. The former type of contingency is not readily susceptible to evidentiary proof and may be considered in the absence of such evidence. However, where a trial judge directs his or her mind to the existence of these general contingencies, the trial judge must remember that everyone's life has "ups" as well as "downs". A trial judge may, not must, adjust an award for future pecuniary loss to give effect to general contingencies but where the adjustment is premised only on general contingencies, it should be modest.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plaintiff or defendant relies on a specific contingency, positive or negative, that party must be able to point to evidence which supports an allowance for that contingency. The evidence will not prove that the potential contingency will happen or that it would have happened had the tortious event not occurred, but the evidence must be capable of supporting the conclusion that the occurrence of the contingency is a realistic as opposed to a speculative possibility: </w:t>
      </w:r>
      <w:r>
        <w:rPr>
          <w:rFonts w:ascii="arial" w:eastAsia="arial" w:hAnsi="arial" w:cs="arial"/>
          <w:i/>
          <w:color w:val="000000"/>
          <w:sz w:val="20"/>
          <w:lang w:val="en-US" w:eastAsia="en-US" w:bidi="ar-SA"/>
        </w:rPr>
        <w:t>Schrump v. Koot, supra</w:t>
      </w:r>
      <w:r>
        <w:rPr>
          <w:rFonts w:ascii="arial" w:eastAsia="arial" w:hAnsi="arial" w:cs="arial"/>
          <w:color w:val="000000"/>
          <w:sz w:val="20"/>
          <w:lang w:val="en-US" w:eastAsia="en-US" w:bidi="ar-SA"/>
        </w:rPr>
        <w:t>, at p. 559.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When the court assesses damages for loss of future earning capacity, it is "a matter of judgment, not calculation":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xml:space="preserve"> at para. 154.</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The most contentious issue at trial was the extent to which Ms. Forster's future earning capacity was impacted by her injuries. Ms. Forster must establish there is a real and substantial possibility of a future event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It involves a comparison between Ms. Forster's likely future had the Accident not happened and her future after the Accident has happened: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Ms. Forster seeks $343,781 for her future loss of earning capacity. The defendants argue no compensation is appropriate under this head of damages based on the report of Dr. Wong. In the alternative, according to Mr. Hosking, she can work in the nursing profession for four to six hours per day, four days per week. Based on this view, the sum calculated by Mr. Turnball was $124,627. He also projected Ms. Forster would make $219,155 for part-time work post-retirement. I assume there is a 50% chance Ms. Forster would work part-time post-retirement if she had not been injured. As a result I award $109,578 as an estimate of her future part-time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defendants submit the amount awarded for future loss of earning capacity should be reduced by 40% based on her ability to work approximately 50% of her previous work hours. I already determined that Ms. Forster can continue to work 40% of her pre-Accident hours. In other words, Ms. Forster's future earning capacity has been compromised by approximately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Applying the earnings approach, I award $235,000 for future loss of earning capacity. This amount should be reduced by 25% for Ms. Forster's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the Court of Appeal addressed the loss of housekeeping capacity. The court discussed the difference between a pecuniary award for loss of housekeeping capacity and the inclusion of damages as part of general award for non-pecuniary damages. The court's conclusion is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Ms. Forster can do most housekeeping chores, albeit with some pain. Based on the above principles, I conclude that Ms. Forster's loss of housekeeping capacity is in keeping with a loss of amenities. I have, therefore, included her loss of housekeeping capacity in the award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A plaintiff is entitled to compensation for costs of future care for the harm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Here, Ms. Forster is not making a claim for costs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The fundamental principle governing special damages is that of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The plaintiff is to be restored to the position they would have been in had the accident not occurred: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MacIntosh v. Davison</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2013 BCSC 2264</w:t>
        </w:r>
      </w:hyperlink>
      <w:r>
        <w:rPr>
          <w:rFonts w:ascii="arial" w:eastAsia="arial" w:hAnsi="arial" w:cs="arial"/>
          <w:color w:val="000000"/>
          <w:sz w:val="20"/>
          <w:lang w:val="en-US" w:eastAsia="en-US" w:bidi="ar-SA"/>
        </w:rPr>
        <w:t>, Justice Davies held the following applies to the analysis of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[127] Having reviewed all of the authorities to which I was referred, I have concluded that Saunders J.'s decision in </w:t>
      </w:r>
      <w:r>
        <w:rPr>
          <w:rFonts w:ascii="arial" w:eastAsia="arial" w:hAnsi="arial" w:cs="arial"/>
          <w:i/>
          <w:color w:val="000000"/>
          <w:sz w:val="20"/>
          <w:lang w:val="en-US" w:eastAsia="en-US" w:bidi="ar-SA"/>
        </w:rPr>
        <w:t>Redl</w:t>
      </w:r>
      <w:r>
        <w:rPr>
          <w:rFonts w:ascii="arial" w:eastAsia="arial" w:hAnsi="arial" w:cs="arial"/>
          <w:color w:val="000000"/>
          <w:sz w:val="20"/>
          <w:lang w:val="en-US" w:eastAsia="en-US" w:bidi="ar-SA"/>
        </w:rPr>
        <w:t xml:space="preserve"> encapsulates the considerations which should bear upon the assessment of Mr. MacIntosh's special damages claims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In summary, I am satisfied that when assessing special damages the standard is the reasonableness of the expense claimed in the context of the injuries suffered. Medical justification for any expense is a factor to be considered, but not the only one. Subjective factors can also be considered including whether the plaintiff believed the treatments were reasonably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Ms. Forster must establish the costs of treatments and expenses she has incurred, and now seeks compensation for, are justified. She must establish that the money she spent was expended on reasonable treatments linked to the injuries that arose as a result of the Accident. She must also establish the price of treatments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After reviewing the evidence, I am satisfied that the following expenses were justified:</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57" type="#_x0000_t75" style="width:409.5pt;height:282pt">
            <v:imagedata r:id="rId346"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Ms. Forster also claimed the cost of two private MRIs. However, when questioned in cross-examination, she offered no explanation for why these two MRIs were done privately. Ms. Forster bears the onus of establishing expenses are justified. Ms. Forster has not done so with regard to the two private MRIs.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total for special damages is $10,523. I am not reducing these expenses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Ms. Forster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809"/>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$320,000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$10,523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$650,523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Both the past and future loss of earning capacity are to be reduced by 25% for Ms. Forster's failure to mitigate. I leave it to the parties to make any appropriate adjustments and to calculate pre-judgment interest on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Subject to relevant offers to settle, the plaintiff is entitled to costs. If the parties are unable to agree, within 45 days of this judgment either party is at liberty to file an application to determine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D.C. MacDONALD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58" style="position:absolute;z-index:25176883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41"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41"/>
      <w:r>
        <w:rPr>
          <w:rFonts w:ascii="arial" w:eastAsia="arial" w:hAnsi="arial" w:cs="arial"/>
          <w:sz w:val="20"/>
          <w:lang w:val="en-US" w:eastAsia="en-US" w:bidi="ar-SA"/>
        </w:rPr>
        <w:tab/>
      </w:r>
      <w:r>
        <w:rPr>
          <w:rFonts w:ascii="arial" w:eastAsia="arial" w:hAnsi="arial" w:cs="arial"/>
          <w:color w:val="6D6E71"/>
          <w:sz w:val="18"/>
          <w:lang w:val="en-US" w:eastAsia="en-US" w:bidi="ar-SA"/>
        </w:rPr>
        <w:t>Dr. Wang states that apart from possibly having carpal tunnel syndrome, "I do not have a good explanation for her presenting symptoms as her neurological examination is normal and her MSK examination is unremarkable. There is no objective focal finding to concern the tiny possible syrinx in her cervical spine that showed on her MRI." Dr. Michael Berger found no evidence of carpal tunnel syndrome during his assessment on March 6, 2019 and based on the electrode diagnostic evidence.</w:t>
      </w:r>
    </w:p>
    <w:p>
      <w:pPr>
        <w:spacing w:before="120" w:after="20" w:line="240" w:lineRule="atLeast"/>
        <w:ind w:left="720" w:hanging="360"/>
        <w:jc w:val="both"/>
        <w:rPr>
          <w:rFonts w:ascii="arial" w:eastAsia="arial" w:hAnsi="arial" w:cs="arial"/>
          <w:sz w:val="20"/>
          <w:lang w:val="en-US" w:eastAsia="en-US" w:bidi="ar-SA"/>
        </w:rPr>
      </w:pPr>
      <w:bookmarkStart w:id="42"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42"/>
      <w:r>
        <w:rPr>
          <w:rFonts w:ascii="arial" w:eastAsia="arial" w:hAnsi="arial" w:cs="arial"/>
          <w:sz w:val="20"/>
          <w:lang w:val="en-US" w:eastAsia="en-US" w:bidi="ar-SA"/>
        </w:rPr>
        <w:tab/>
      </w:r>
      <w:r>
        <w:rPr>
          <w:rFonts w:ascii="arial" w:eastAsia="arial" w:hAnsi="arial" w:cs="arial"/>
          <w:color w:val="6D6E71"/>
          <w:sz w:val="18"/>
          <w:lang w:val="en-US" w:eastAsia="en-US" w:bidi="ar-SA"/>
        </w:rPr>
        <w:t>Justice Goepel wrote the dissent but his reasoning on loss of income was specifically endorsed by Justice Smith, writing for the majority: see para. 66.</w:t>
      </w:r>
    </w:p>
    <w:p>
      <w:pPr>
        <w:spacing w:before="120" w:after="20" w:line="240" w:lineRule="atLeast"/>
        <w:ind w:left="720" w:hanging="360"/>
        <w:jc w:val="both"/>
        <w:rPr>
          <w:rFonts w:ascii="arial" w:eastAsia="arial" w:hAnsi="arial" w:cs="arial"/>
          <w:sz w:val="20"/>
          <w:lang w:val="en-US" w:eastAsia="en-US" w:bidi="ar-SA"/>
        </w:rPr>
      </w:pPr>
      <w:bookmarkStart w:id="43"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43"/>
      <w:r>
        <w:rPr>
          <w:rFonts w:ascii="arial" w:eastAsia="arial" w:hAnsi="arial" w:cs="arial"/>
          <w:sz w:val="20"/>
          <w:lang w:val="en-US" w:eastAsia="en-US" w:bidi="ar-SA"/>
        </w:rPr>
        <w:tab/>
      </w:r>
      <w:r>
        <w:rPr>
          <w:rFonts w:ascii="arial" w:eastAsia="arial" w:hAnsi="arial" w:cs="arial"/>
          <w:color w:val="6D6E71"/>
          <w:sz w:val="18"/>
          <w:lang w:val="en-US" w:eastAsia="en-US" w:bidi="ar-SA"/>
        </w:rPr>
        <w:t>I am assuming that Ms. Forster would have been on her full salary with Vancouver Coastal Health during the fall of 2016 when she would also have been working in Nunavut.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Freer (Guardian ad litem of) v. Okanagan/Skaha School District No. 67, [2002] B.C.J. No. 2739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19 - 21,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51919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2739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1682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120 A.C.W.S. (3d) 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Kyle Melvin Freer, an infant (a person under disability), by his Guardian ad litem (Committee), Geraldine Freer, and the said Guardian ad litem (Committee), Geraldine Freer, plaintiffs, and The Board of School Trustees of School District No. 67 (Okanagan/Skaha),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4" w:name="Keywords_3"/>
      <w:bookmarkEnd w:id="44"/>
      <w:r>
        <w:rPr>
          <w:rFonts w:ascii="arial" w:eastAsia="arial" w:hAnsi="arial" w:cs="arial"/>
          <w:b/>
          <w:color w:val="000000"/>
          <w:sz w:val="20"/>
          <w:lang w:val="en-US" w:eastAsia="en-US" w:bidi="ar-SA"/>
        </w:rPr>
        <w:t>Education — Education authorities — School commissions or boards — Actions against — Teachers — Duties — Duty of care — Coaching sports or games — Damage awards — Injury and death — Leg injuries — Fracture — General damage awards — Pain and suffering, loss of amenities and other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5" w:name="Case Summary_3"/>
            <w:bookmarkEnd w:id="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15-year-old plaintiff, Freer, against the School district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Freer was an avid athlete who excelled in sports and stood six-foot-five at the time of trial. In March 2000, he broke his left leg while skiing. He underwent physiotherapy and was progressing. In May 2000, during a physical education class, Freer went outside with the class to watch them play soccer, but did not play, as he was still on crutches. While walking, he slipped on the wet field and twisted his leg, aggravating the previous injury. The teacher advised him to get up and walk back to the school and ice the knee, which Freer said he felt "pull apart". It was determined that the original break had reoccurred, but was more severe. Medical evidence was that the leg had fully healed. Freer sued the school district on the basis of vicarious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teacher, who was its employee. Freer sought general damages of $40,000 to $50,000.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6" w:name="Holdings of Court_3"/>
            <w:bookmarkEnd w:id="4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Neither the school board nor the teacher was negligent in causing the injury itself. However, in advising Freer to walk back to the school, the teacher had failed to meet the standard of care, which was that of a careful or prudent parent. The teacher and school board were therefore only liable for his pain and suffering caused by the walk back to the school. Freer was awarded general damages of $1,500.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7" w:name="Counsel_8"/>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Vandersluys, for the plaintiff. James D. Cotter,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8" w:name="Judgment_7"/>
      <w:bookmarkEnd w:id="48"/>
      <w:r>
        <w:pict>
          <v:line id="_x0000_s1062" style="position:absolute;z-index:2517698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February 10, 2003.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9" w:name="POWERS J."/>
            <w:bookmarkEnd w:id="49"/>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Kyle Melvin Freer, was almost 15 years old on May 19, 2000, when he fell and broke his left leg while attending a physical education class at Penticton High School ("Pen. Hi."). This action is to determine the liability of the defendant School District and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Kyle is a pleasant young man and an avid athlete. He was approximately six feet tall and two hundred to two hundred and twenty pounds in May of 2000. He is now six feet five inches, and two hundred and fifty pounds and in good physical condition. His mother says he has always towered over his peers. Kyle has always been interested and active in sports. He was the starting centre on the junior basketball team and volleyball team in grade 9, prior to his injury. He looked forward to continuing basketball and hoped to obtain a scholarship to attend university or college. He has always done well in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Kyle broke his left leg while skiing on March 27, 2000. The fracture is described as a Type II tibia tubercle avulsion fracture. The bone at the top of the tibia broke away. This is the area that the ligaments attach to. This was repaired by the use of two screws. The leg was placed in a brace and Kyle was released on crutches.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His return to school was delayed approximately two weeks. His mother called the school and told a secretary at the school why he would be absent. She also told the secretary that he would not be able to participate in physical education for the balance of the year. Kyle's teachers were aware of his injury, the leg brace and the crutches were obvious. He told his physical education teacher the specific nature of his injury. He was allowed extra time to move between classes to accommodate any problems he might have. He did not participate in the physical education classes but did stay with the class, at the request of his physical education teacher. He would assist with score keeping or equipment. Kyle would accompany the class to the playing fields and was able to get around on his crutches.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Kyle received physiotherapy and was progressing well. He was allowed to walk without his crutches on May 17 but continued to use his brace. He attended the physical education class on May 19. There were three classes, but only two teachers. One class stayed inside and the other, his teacher's class, went outside. Students from the third class were able to choose where they went. Kyle wanted to stay inside because he thought it would be awkward to walk all the way up to the field, but agrees he did not feel he was at any risk in going outside. His teacher wanted him to be with the class for supervision purposes and Kyle did accompany the class to the soccer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Kyle stayed on the lower soccer field with part of the class. He did not play soccer but did kick the ball a few times. His teacher told him he should take it easy and he realized he was not strong enough to kick the ball yet. The teacher moved from one field to the other in order to supervise. The students soon lost interest in the soccer game and Kyle walked onto the field to talk to some of his friends. There was dew on the grass and Kyle knew that it could be slippery. His leg bent and his foot slipped. He said he felt his knee twist and pull apart, and he fell to the ground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One of the students called the teacher, who looked at Kyle and asked him if he could stand. Kyle told the teacher he felt the bone pull apart and thought he had re-broken the leg. The teacher said it may simply be the movement of scar tissue. When Kyle was able to get up, with the brace holding his leg in place, the teacher told him to walk back to the school, get some ice for his knee and call his mother to have her take him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Kyle did walk back to the school unassisted. He felt a great deal of pain and worry about his knee. He waited on the gym steps for his mother to arrive. He was upset and crying at this time. His mother was upset that he had been outside on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earlier break had reoccurred but the fracture was more severe. The repair was performed with three small screws with eyes that remain in the bone. Wire was attached to these eyes to tie the bone and ligament together. Kyle was released with a new brace and was essentially in bed for six weeks. He had a great deal of pain and difficulty sleeping. He was depressed about his injury and the delay in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Kyle completed his school year by correspondence and continued his physiotherapy for his knee. He was able to give up the crutches and the brace by mid-August, 2002 and return to school in September. He continued with his therapy until mid-November, and after did exercises at home, walked and attended at a gym when he could. The wire holding the bone was removed in January,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returned to sports in January, 2001, but not to the same level that he participated before his initial injury. He has successfully continued his schooling and been able to find work in a grocery store in the summer and on weekends. He has some difficulty kneeling on his left leg, and the left leg is still weaker than the right due to muscle wasting while the leg was immobilized. Exercise should eliminate this. Kyle is still careful about his knee and concerned about re-injury, but the medical evidence indicates that except for the muscle weakness, the leg has fully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School District governs Pen. Hi. Kyle was a student at Pen. Hi., and his physical education teacher was an employee of the School District. The teacher was acting within the course and general scope of his employment at the time Kyle was injured and immediately afterward. The School District is an occupier of the school grounds on which Kyle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parties agree that the standard of care that a teacher owes to a student under their supervision is that of a "careful or prudent parent." This standard may be qualified somewhat to take into account the variety of activities conducted by the school, including numbers of students involved, and the complicated or dangerous equipment that might be used. The application of the standard would vary from case to case depending on a number of things including the number of students supervised, nature of the exercise or activity, age and degree of skill or training of the students, nature and condition of the equipment at the time, the competency or capacity of the students among other things. (Madsen v. Mission School District No. 75, </w:t>
      </w:r>
      <w:hyperlink r:id="rId354" w:history="1">
        <w:r>
          <w:rPr>
            <w:rFonts w:ascii="arial" w:eastAsia="arial" w:hAnsi="arial" w:cs="arial"/>
            <w:i/>
            <w:color w:val="0077CC"/>
            <w:sz w:val="20"/>
            <w:u w:val="single"/>
            <w:shd w:val="clear" w:color="auto" w:fill="FFFFFF"/>
            <w:lang w:val="en-US" w:eastAsia="en-US" w:bidi="ar-SA"/>
          </w:rPr>
          <w:t>[1999] B.C.J. No. 1716</w:t>
        </w:r>
      </w:hyperlink>
      <w:r>
        <w:rPr>
          <w:rFonts w:ascii="arial" w:eastAsia="arial" w:hAnsi="arial" w:cs="arial"/>
          <w:color w:val="000000"/>
          <w:sz w:val="20"/>
          <w:lang w:val="en-US" w:eastAsia="en-US" w:bidi="ar-SA"/>
        </w:rPr>
        <w:t xml:space="preserve"> B.C.S.C, Myers et al v. Peel County Board of Education et al 123 D.L.R. 3d (1)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says that the School District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physical education teacher because:</w:t>
      </w:r>
      <w:r>
        <w:rPr>
          <w:rFonts w:ascii="arial" w:eastAsia="arial" w:hAnsi="arial" w:cs="arial"/>
          <w:sz w:val="20"/>
          <w:lang w:val="en-US" w:eastAsia="en-US" w:bidi="ar-SA"/>
        </w:rPr>
        <w:cr/>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teacher knew or ought to have known that Kyle should not have been on the field because of his physical disability, and that by allowing Kyle to be on the field, and by failing to warn Kyle of the dangers in coming to the field, the teacher caused or contributed to his injuries;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fall on the field the teacher failed to take any or adequate steps to prevent further injury to Kyle, and failed to act with the necessary skill and care in the exercise of his duties in accordance with the Board's policies and regulations;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argues that the School District is directly liable for: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Kyle's safety and to provide adequate supervision for Kyle;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owner and occupier, failing to ensure that the premises on which Kyle slipped and fell were reasonably safe for use pursuant to the provisions of the Occupiers Liability Act R.S.B.C. c. 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Kyle's mother said that she was shocked when she learned that Kyle had been outside during the physical education class. However, there is no explanation as to why she would be shocked or why it would be a concern to her. Kyle had been attending school for approximately a month, and she was aware that he was accompanying his physical education class. Her evidence is that she did not know that he was going outside, but clearly he would go outside to go to and from school, although he was given a ride. There was also no restriction placed on him by his mother, or by his doctors with regard to going outside. He had given up his crutches just two days before the accident, but that indicates that the doctor was satisfied that he no longer required those crutches. Kyle was certainly a reasonable individual who had some competence in physical activities and was able to assess whether he was in any particular danger. His own evidence is that he did not feel that he was at any risk in going to the soccer field. His activity in going to the soccer field, or even walking on the soccer field, was not inherently dangerous and did not require any special supervision. I am satisfied that a careful and prudent parent would have done no more than the physical education teacher did, that is telling Kyle to take it easy. (Plumb (Guardian ad litem of) v. Cowichan School District No. 65, </w:t>
      </w:r>
      <w:hyperlink r:id="rId355" w:history="1">
        <w:r>
          <w:rPr>
            <w:rFonts w:ascii="arial" w:eastAsia="arial" w:hAnsi="arial" w:cs="arial"/>
            <w:i/>
            <w:color w:val="0077CC"/>
            <w:sz w:val="20"/>
            <w:u w:val="single"/>
            <w:shd w:val="clear" w:color="auto" w:fill="FFFFFF"/>
            <w:lang w:val="en-US" w:eastAsia="en-US" w:bidi="ar-SA"/>
          </w:rPr>
          <w:t>[1991] B.C.J. No. 3708</w:t>
        </w:r>
      </w:hyperlink>
      <w:r>
        <w:rPr>
          <w:rFonts w:ascii="arial" w:eastAsia="arial" w:hAnsi="arial" w:cs="arial"/>
          <w:color w:val="000000"/>
          <w:sz w:val="20"/>
          <w:lang w:val="en-US" w:eastAsia="en-US" w:bidi="ar-SA"/>
        </w:rPr>
        <w:t xml:space="preserve"> (B.C.S.C.) [1993] B.C.C.A.) This was not a situation where any special warning was required to be given to Kyle. Any risks were minimal and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the physical education teacher was not negligent in allowing Kyle to attend the physical education class and be on the soccer field. I also find that the School District was not negligent for the failure to provide adequate supervision because there were only two teachers for three classes. I also find that additional supervision would not have prevented the accident from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physical education teacher attended on Kyle immediately after the injury. Kyle told him that he thought the leg had re-broken, that he felt it tear apart, and felt the bones moving inside his leg. The teacher said that it might simply be scar tissue that was moving, and asked Kyle if he could stand up. Kyle did stand, and the teacher then advised Kyle to simply walk back to the school to get some ice for his knee, and to call his mother. The teacher knew that Kyle had broken his leg before and was aware of the nature of the injury. I find that a careful and prudent parent would not have asked Kyle to walk to the school unassisted. Another student did help Kyle carry his bag, but there is no reason why steps were not taken so that Kyle would not have to place any weight on his injured leg. There is no evidence that further injury was caused as a result of Kyle walking on the leg, or that his recovery was prolonged. Kyle was already in considerable pain but I am satisfied that walking across the soccer field, down a ramp, through the parking lot and into the school, did cause him some additional pain and emotional distress. I am satisfied that the teacher was negligent in the manner in which he dealt with Kyle immediately after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no evidence to suggest that the School District failed in its duty as an occupier of the school grounds. There is no evidence that the soccer field was unsafe for use. There were no unusual hazards. The photographs of the field simply show a flat soccer field covered with grass.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seeks general damages in the range of $40,000.00 to $50,000.00. This claim is for all of the damages that flow from the injury that occurred on May 19. However, I have concluded that neither the teacher nor the School District were negligent with regard to the injury itself.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have found is with regard to the care after the injury, and that resulted in some additional pain and distress to Kyle, but only as a result of his walk from the field to the school unassisted.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any of the other damages that Kyle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Given the nature of the damages, it is very difficult to assess the appropriate measure of those damages. However, I find that the sum of $1,500.00 is appropriate compensation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argued the issue of mitigation, but it is not a factor with regard to the damages which I have assessed. In addition, I am not satisfied that the failure to mitigate which they complain of, being failure to take additional steps to exercise or strengthen the leg, would be a significant factor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Kyle's mother took time off work to take him to and from various doctors' appointments and physiotherapy appointments. She also took time off work immediately after his injury to care for him at home. The defendant agrees that the time she missed from work is reasonable as claimed in the amount of approximately $533.00. However, she lost the time from work as a result of the major injury and not as a result of any additional pain and suffering Kyle might have suffered by having to walk from the field to the school. Therefore, this claim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Kyle's mother also paid $75.00 for physiotherapy treatments, but again, those physiotherapy treatments were required as a result of the major injury, not as a result of the failure to assure that Kyle had assistance in getting from the field to the school. The claim for lost time and physiotherapy expenses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Kyle's mother spent approximately $200.00 per month for six months providing herbal remedies and supplements to Kyle. She works in a natural food store and has some training with regard to herbal remedies. However, the evidence does not support this claim. Kyle's doctors may have been aware that his mother was giving him these remedies, but there is no indication that they were prescribed by the doctors. His mother may feel that they were of assistance to Kyle, but that by itself is insufficient to allow them as special damages. In addition, these were for the purposes of treating the major injury that Kyle suffered to his leg, and not any of the pain that he may have suffered as a result of not being assisted off the field. This claim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sum, the plaintiff is awarded general damages in the amount of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filed and relied on a report by a Dr. Pisesky, an orthopaedic surgeon. The defendant gave notice that they required Dr. Pisesky to attend the trial for the purposes of cross-examination. However, on the day Dr. Pisesky attended, after talking to the doctor, the defendant decided they had no questions. In these circumstances I am satisfied that the defendant should be responsible for the costs of preparation and attendance of Dr. Pisesky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Unless counsel have any submissions on the issue of costs the plaintiff will have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February 10,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the Reasons for Judgment published December 4,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It has been pointed out by counsel that counsel appearing on behalf of the plaintiff should read A.T. Vandersluys as opposed to Thomas J.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Those changes are noted and have been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Funk v. Carter, [2004] B.C.J. No. 1348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3 - 6 and 10 - 14,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99 1048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1348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866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32 B.C.L.R. (4th) 158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 M.V.R. (5th) 206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132 A.C.W.S. (3d) 193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Christopher Andrew Funk, plaintiff, and Jeffrey Adam Carter,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(97 paras.)</w:t>
      </w:r>
    </w:p>
    <w:p>
      <w:pPr>
        <w:jc w:val="both"/>
        <w:rPr>
          <w:rFonts w:ascii="arial" w:eastAsia="arial" w:hAnsi="arial" w:cs="arial"/>
          <w:sz w:val="20"/>
          <w:lang w:val="en-US" w:eastAsia="en-US" w:bidi="ar-SA"/>
        </w:rPr>
      </w:pPr>
      <w:bookmarkStart w:id="50" w:name="Counsel_9"/>
      <w:bookmarkEnd w:id="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Patrick M. Sweeney and Donna Yamazaki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Kelly A. McCullagh and Mary Ann E. MacKenzie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8"/>
      <w:bookmarkEnd w:id="51"/>
      <w:r>
        <w:pict>
          <v:line id="_x0000_s1065" style="position:absolute;z-index:2517207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WILLIAMSON J."/>
            <w:bookmarkEnd w:id="52"/>
            <w:r>
              <w:rPr>
                <w:rFonts w:ascii="arial" w:eastAsia="arial" w:hAnsi="arial" w:cs="arial"/>
                <w:b/>
                <w:color w:val="000000"/>
                <w:sz w:val="30"/>
                <w:lang w:val="en-US" w:eastAsia="en-US" w:bidi="ar-SA"/>
              </w:rPr>
              <w:t>WILLIAMSON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an accident on the Patricia Bay Highway north of Victoria at Sayward Avenue in the Municipality of Saanich. On November 25, 1998, around 8:40 p.m. on a rainy windy dark night, a motor vehicle driven by the defendant, Jeffrey Carter, struck the plaintiff, Robert Funk, who was a pedestrian crossing the highway on a green light. Both of the plaintiff's legs were broken. The injuries were serious and have had long lasting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seeks non-pecuniary damages, as well as damages for past wage loss, impaired capacity to earn in the future, costs of future care, an in-trust claim for his mother who looked after him after the accident,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is in issue. The defendant says that the plaintiff was contributorily negligent to a significant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struck by the defendant while crossing at an intersection. The plaintiff crossed on a green light. The intersection had marked crosswalks at the other three sides, but no markings on the south side where the plaintiff crossed. The defendant's car hit the plaintiff while making a left turn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duties of care in motor vehicle cases are partly codified in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"Act"). In this case, the relevant sections of the Act are as follows:</w:t>
      </w:r>
      <w:r>
        <w:rPr>
          <w:rFonts w:ascii="arial" w:eastAsia="arial" w:hAnsi="arial" w:cs="arial"/>
          <w:sz w:val="20"/>
          <w:lang w:val="en-US" w:eastAsia="en-US" w:bidi="ar-SA"/>
        </w:rPr>
        <w:cr/>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"crosswalk" means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portion of the roadway at an intersection or elsewhere distinctly indicated for pedestrian crossing by signs or by lines or other markings on the surface,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portion of a highway at an intersection that is included within the connection of the lateral lines of the sidewalks on the opposite sides of the highway, or within the extension of the lateral lines of the sidewalk on one side of the highway, measured from the curbs, or in the absence of curbs, from the edges of the roadway;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Green 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127(1) When a green light alone is exhibited at an intersection by a traffic control signal,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facing the green light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cause the vehicle to proceed straight through the intersection, or to turn left or right, subject to a sign or signal prohibiting a left or right turn, or both, or designating the turning movement permitted,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pedestrians lawfully in the intersection or in an adjacent crosswalk at the time the green light is exhibited,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facing the green light may proceed across the roadway in a marked or unmarked crosswalk, subject to special pedestrian traffic control signals directing him or her otherwise, and has the right of way for that purpose over all vehicles.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Rights of way between vehicle and pedestrian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Crossing at other than crosswalk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When a pedestrian is crossing a highway at a point not in a crosswalk, the pedestrian must yield the right of way to a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of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Despite sections 178, 179 and 180, a driver of a vehicle must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applicable standard of care for the plaintiff and defendant in this case depends in part upon whether the plaintiff was crossing the highway at a crosswalk. There were no markings on the side of the intersection at which the plaintiff crossed. The verge of the highway at that point was improved for the use of pedestrians, such that it can be considered a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general manager of maintenance for the contractor who maintains the highway testified. Formerly, he was an employee of the Minister of Highways. He testified that the improvements on the south west corner were not for the protection of pedestrians, rather they were to protect the utility poles. Given that the north south crosswalk leads to this area, and that mounted on one of the poles is a manual pedestrian control button, I find this testimony, if not surprising, less than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conclude the south west corner where it is raised and paved is an area "improved for the use of pedestrians" as defined in s. 119(1). Thus, part (b) of the definition of 'sidewalk' would seem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However, case law dictates that where one side of an intersection has a marked crosswalk, the opposite side of that intersection, if unmarked, is no crosswalk at all. Thackray J. in Lin v. Wong, </w:t>
      </w:r>
      <w:hyperlink r:id="rId363" w:history="1">
        <w:r>
          <w:rPr>
            <w:rFonts w:ascii="arial" w:eastAsia="arial" w:hAnsi="arial" w:cs="arial"/>
            <w:i/>
            <w:color w:val="0077CC"/>
            <w:sz w:val="20"/>
            <w:u w:val="single"/>
            <w:shd w:val="clear" w:color="auto" w:fill="FFFFFF"/>
            <w:lang w:val="en-US" w:eastAsia="en-US" w:bidi="ar-SA"/>
          </w:rPr>
          <w:t>[1992] B.C.J. No. 1200</w:t>
        </w:r>
      </w:hyperlink>
      <w:r>
        <w:rPr>
          <w:rFonts w:ascii="arial" w:eastAsia="arial" w:hAnsi="arial" w:cs="arial"/>
          <w:color w:val="000000"/>
          <w:sz w:val="20"/>
          <w:lang w:val="en-US" w:eastAsia="en-US" w:bidi="ar-SA"/>
        </w:rPr>
        <w:t>, at para. 5,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I believe that most people think that the extension of sidewalk lines always constitute an unmarked cross-walk, such is not the case. In Tremblay v. Jurgeleit, </w:t>
      </w:r>
      <w:hyperlink r:id="rId364" w:history="1">
        <w:r>
          <w:rPr>
            <w:rFonts w:ascii="arial" w:eastAsia="arial" w:hAnsi="arial" w:cs="arial"/>
            <w:i/>
            <w:color w:val="0077CC"/>
            <w:sz w:val="20"/>
            <w:u w:val="single"/>
            <w:shd w:val="clear" w:color="auto" w:fill="FFFFFF"/>
            <w:lang w:val="en-US" w:eastAsia="en-US" w:bidi="ar-SA"/>
          </w:rPr>
          <w:t>[1985] B.C.J. No. 840</w:t>
        </w:r>
      </w:hyperlink>
      <w:r>
        <w:rPr>
          <w:rFonts w:ascii="arial" w:eastAsia="arial" w:hAnsi="arial" w:cs="arial"/>
          <w:color w:val="000000"/>
          <w:sz w:val="20"/>
          <w:lang w:val="en-US" w:eastAsia="en-US" w:bidi="ar-SA"/>
        </w:rPr>
        <w:t xml:space="preserve">, S.C.B.C. Terrace Registry 20/82 [affirmed </w:t>
      </w:r>
      <w:hyperlink r:id="rId365" w:history="1">
        <w:r>
          <w:rPr>
            <w:rFonts w:ascii="arial" w:eastAsia="arial" w:hAnsi="arial" w:cs="arial"/>
            <w:i/>
            <w:color w:val="0077CC"/>
            <w:sz w:val="20"/>
            <w:u w:val="single"/>
            <w:shd w:val="clear" w:color="auto" w:fill="FFFFFF"/>
            <w:lang w:val="en-US" w:eastAsia="en-US" w:bidi="ar-SA"/>
          </w:rPr>
          <w:t>[1987] B.C.J. No. 291</w:t>
        </w:r>
      </w:hyperlink>
      <w:r>
        <w:rPr>
          <w:rFonts w:ascii="arial" w:eastAsia="arial" w:hAnsi="arial" w:cs="arial"/>
          <w:color w:val="000000"/>
          <w:sz w:val="20"/>
          <w:lang w:val="en-US" w:eastAsia="en-US" w:bidi="ar-SA"/>
        </w:rPr>
        <w:t xml:space="preserve"> (B.C.C.A.)], Mr. Justice McKay held that this is the case only if there are no marked cross-walks. If there is one marked cross-walk, then the other side of the intersection is not a cross-walk of any description. Mr. Wong therefore did not have the protection of any provision in the Motor Vehicle Act dealing with the rights of pedestrians in cross-walks.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follows from these authorities that because the opposite side of the intersection the defendant was crossing had a marked crosswalk, there was no "unmarked crosswalk" at the point at which the defendant crossed despite the definition in s. 119(1)(b). Therefore s. 127(1)(b) does not come to the plaintiff's aid. Section 180 of the Act applies, and the plaintiff pedestrian was required to yield the right-of-way to the defendant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But for Lin and Tremblay, it would seem the plain wording of the definition in s. 119(1)(b) would apply. It could be said they fly in the face of the statute. However, I can find nothing in the reasoning of In re Hansard Spruce Mills (1954), 13 W.W.R. 285 that would mandate against following these rulings.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have been directed to one case which addresses the distinction between yielding' and surrendering' the right-of-way, and finds that where a pedestrian has clearly established prior entry to the intersection, he or she need not surrender it even when not crossing at a crosswalk. Spencer J. in Kuharski v. Inder, </w:t>
      </w:r>
      <w:hyperlink r:id="rId366" w:history="1">
        <w:r>
          <w:rPr>
            <w:rFonts w:ascii="arial" w:eastAsia="arial" w:hAnsi="arial" w:cs="arial"/>
            <w:i/>
            <w:color w:val="0077CC"/>
            <w:sz w:val="20"/>
            <w:u w:val="single"/>
            <w:shd w:val="clear" w:color="auto" w:fill="FFFFFF"/>
            <w:lang w:val="en-US" w:eastAsia="en-US" w:bidi="ar-SA"/>
          </w:rPr>
          <w:t>[1986] B.C.J. No. 2762</w:t>
        </w:r>
      </w:hyperlink>
      <w:r>
        <w:rPr>
          <w:rFonts w:ascii="arial" w:eastAsia="arial" w:hAnsi="arial" w:cs="arial"/>
          <w:color w:val="000000"/>
          <w:sz w:val="20"/>
          <w:lang w:val="en-US" w:eastAsia="en-US" w:bidi="ar-SA"/>
        </w:rPr>
        <w:t>, at para. 4,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pedestrian] gained so substantial a prior entry on to the highway that she had achieved the right-of-way. Section 182 [now 180], which requires the pedestrian to yield the right-of-way, does not require a pedestrian to surrender the right-of-way when that pedestrian has clearly established it, otherwise pedestrians would stop for vehicles three, four, five hundred feet away from them travelling at slow speeds. That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testified that he was nine to ten feet into the roadway when he saw the car a second before the impact. I find nine to ten feet to be "a substantial prior entry", and that as a result he was not required to yield the right-of-way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Regardless of whether the plaintiff was required to yield the right-of-way to the defendant, the defendant was under a duty of care to avoid him. As found in Tremblay at para. 9, "notwithstanding his dominant position, the defendant was required, by s. 183 [now s. 181], to exercise due care to avoid colliding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This subject was also discussed in Lin, where Thackray J. found, at paras. 9-10: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driver] was also subject to Section 183 of the Act. It provides that notwithstanding Sections 180, 181 and 182, "a driver of a vehicle shall (a) exercise due care to avoid colliding with a pedestrian who is on the highway". In Cook v. [Teh], </w:t>
      </w:r>
      <w:hyperlink r:id="rId367" w:history="1">
        <w:r>
          <w:rPr>
            <w:rFonts w:ascii="arial" w:eastAsia="arial" w:hAnsi="arial" w:cs="arial"/>
            <w:i/>
            <w:color w:val="0077CC"/>
            <w:sz w:val="20"/>
            <w:u w:val="single"/>
            <w:shd w:val="clear" w:color="auto" w:fill="FFFFFF"/>
            <w:lang w:val="en-US" w:eastAsia="en-US" w:bidi="ar-SA"/>
          </w:rPr>
          <w:t>[1990] B.C.J. No. 776</w:t>
        </w:r>
      </w:hyperlink>
      <w:r>
        <w:rPr>
          <w:rFonts w:ascii="arial" w:eastAsia="arial" w:hAnsi="arial" w:cs="arial"/>
          <w:color w:val="000000"/>
          <w:sz w:val="20"/>
          <w:lang w:val="en-US" w:eastAsia="en-US" w:bidi="ar-SA"/>
        </w:rPr>
        <w:t>, B.C.C.A. Vancouver Registry CA008977, Mr. Justice Anderson said that Section 181(1) and (2) "do not constitute an exclusive code relating to rights of way between pedestrians and vehicles. They are not a substitute for the common law duty of care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applies to the entirety of sections 180, 181 and 182. The specific rights and duties imposed are extended by all common law principles of duty of care. It is the duty of both pedestrians and drivers to be alert to the presence of each other. Such presence must be anticipated by both, and the failure to see and react to such presence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Court of Appeal decision in Cook discussed the content of these duties of care in the context of the legislation. Wallace J.A.'s reasons, while in dissent, were concurred in by Wood J.A. on this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Sections 181(1), (2) and (3) [now s. 179(1), (2) and (3)] do not constitute "an exclusive code" relating to the right of way between pedestrians and vehicles. As noted by Mr. Justice Anderson, they must be construed in the light of the duties imposed by s. 183(a) [now s. 181(a)] and the common law duty of care owed by pedestrians and drivers to exercise due care for their own safety and the safety of others. Because of these concurrent duties the statutory right of way cannot be considered "absolute".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a somewhat similar analysis Cartwright J. stated in Johnston National Storage Ltd. v. Mathieson, </w:t>
      </w:r>
      <w:hyperlink r:id="rId368" w:history="1">
        <w:r>
          <w:rPr>
            <w:rFonts w:ascii="arial" w:eastAsia="arial" w:hAnsi="arial" w:cs="arial"/>
            <w:i/>
            <w:color w:val="0077CC"/>
            <w:sz w:val="20"/>
            <w:u w:val="single"/>
            <w:shd w:val="clear" w:color="auto" w:fill="FFFFFF"/>
            <w:lang w:val="en-US" w:eastAsia="en-US" w:bidi="ar-SA"/>
          </w:rPr>
          <w:t>[1953] 2 D.L.R. 604</w:t>
        </w:r>
      </w:hyperlink>
      <w:r>
        <w:rPr>
          <w:rFonts w:ascii="arial" w:eastAsia="arial" w:hAnsi="arial" w:cs="arial"/>
          <w:color w:val="000000"/>
          <w:sz w:val="20"/>
          <w:lang w:val="en-US" w:eastAsia="en-US" w:bidi="ar-SA"/>
        </w:rPr>
        <w:t xml:space="preserve"> at 613: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accurately stated in the following words by Aylesworth J.A. in Woodward v. Harris, </w:t>
      </w:r>
      <w:hyperlink r:id="rId369" w:history="1">
        <w:r>
          <w:rPr>
            <w:rFonts w:ascii="arial" w:eastAsia="arial" w:hAnsi="arial" w:cs="arial"/>
            <w:i/>
            <w:color w:val="0077CC"/>
            <w:sz w:val="20"/>
            <w:u w:val="single"/>
            <w:shd w:val="clear" w:color="auto" w:fill="FFFFFF"/>
            <w:lang w:val="en-US" w:eastAsia="en-US" w:bidi="ar-SA"/>
          </w:rPr>
          <w:t>[1951] O.J. No. 347</w:t>
        </w:r>
      </w:hyperlink>
      <w:r>
        <w:rPr>
          <w:rFonts w:ascii="arial" w:eastAsia="arial" w:hAnsi="arial" w:cs="arial"/>
          <w:color w:val="000000"/>
          <w:sz w:val="20"/>
          <w:lang w:val="en-US" w:eastAsia="en-US" w:bidi="ar-SA"/>
        </w:rPr>
        <w:t xml:space="preserve"> at p. 223 (rev'd (new trial ordered) </w:t>
      </w:r>
      <w:hyperlink r:id="rId370" w:history="1">
        <w:r>
          <w:rPr>
            <w:rFonts w:ascii="arial" w:eastAsia="arial" w:hAnsi="arial" w:cs="arial"/>
            <w:i/>
            <w:color w:val="0077CC"/>
            <w:sz w:val="20"/>
            <w:u w:val="single"/>
            <w:shd w:val="clear" w:color="auto" w:fill="FFFFFF"/>
            <w:lang w:val="en-US" w:eastAsia="en-US" w:bidi="ar-SA"/>
          </w:rPr>
          <w:t>[1952] 1 D.L.R. 82</w:t>
        </w:r>
      </w:hyperlink>
      <w:r>
        <w:rPr>
          <w:rFonts w:ascii="arial" w:eastAsia="arial" w:hAnsi="arial" w:cs="arial"/>
          <w:color w:val="000000"/>
          <w:sz w:val="20"/>
          <w:lang w:val="en-US" w:eastAsia="en-US" w:bidi="ar-SA"/>
        </w:rPr>
        <w:t>): "Authority is not required in support of the principle that a driver entering an intersection, even although he has the right of way, is bound to act so as to avoid a collision if reasonable care on his part will prevent it. To put it another way: he ought not to exercise his right of way if the circumstances are such that the result of his so doing will be a collision which he reasonably should have foreseen and avoided."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approach, which refrains from eroding the obligation imposed by ss. 181(1), (2) and (3) of the statute, still recognizes the statutory obligation imposed by s. 183(a) of the Motor Vehicle Act and the overall common-law duty on the parties to take all reasonable steps to avoid an accident at a time when either of them should properly appreciate their failure to act with reasonable care may jeopardize the safety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the particular circumstances of crossing through an intersection, and especially when turning so that one's vehicle crosses any parallel routes likely to be taken by pedestrians, whether crosswalks or not, the content of a driver's duty of care was discussed in the Court of Appeal case of Melgarejo-Gomez v. Sidhu, </w:t>
      </w:r>
      <w:hyperlink r:id="rId371" w:history="1">
        <w:r>
          <w:rPr>
            <w:rFonts w:ascii="arial" w:eastAsia="arial" w:hAnsi="arial" w:cs="arial"/>
            <w:i/>
            <w:color w:val="0077CC"/>
            <w:sz w:val="20"/>
            <w:u w:val="single"/>
            <w:shd w:val="clear" w:color="auto" w:fill="FFFFFF"/>
            <w:lang w:val="en-US" w:eastAsia="en-US" w:bidi="ar-SA"/>
          </w:rPr>
          <w:t>[2002] B.C.J. No. 55</w:t>
        </w:r>
      </w:hyperlink>
      <w:r>
        <w:rPr>
          <w:rFonts w:ascii="arial" w:eastAsia="arial" w:hAnsi="arial" w:cs="arial"/>
          <w:color w:val="000000"/>
          <w:sz w:val="20"/>
          <w:lang w:val="en-US" w:eastAsia="en-US" w:bidi="ar-SA"/>
        </w:rPr>
        <w:t xml:space="preserve"> (B.C.C.A.). The duty appears in their discussion to be rather minimal: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provision in law requires a driver to exercise a duty such that one could say that Mr. Sidhu ought to have seen the pedestrian earlier. Regardless of whether Mr. Sidhu applied his brakes before or after striking Mr. Melgarejo-Gomez, one can assume he applied them upon first becoming of aware of the pedestrian. That is all that was required of Mr. Sidhu, as (according to the jury's finding) he was lawfully within the intersection and Mr. Melgarejo-Gomez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Although the situation was reversed in Petijevich et al. v. Law </w:t>
      </w:r>
      <w:hyperlink r:id="rId372" w:history="1">
        <w:r>
          <w:rPr>
            <w:rFonts w:ascii="arial" w:eastAsia="arial" w:hAnsi="arial" w:cs="arial"/>
            <w:i/>
            <w:color w:val="0077CC"/>
            <w:sz w:val="20"/>
            <w:u w:val="single"/>
            <w:shd w:val="clear" w:color="auto" w:fill="FFFFFF"/>
            <w:lang w:val="en-US" w:eastAsia="en-US" w:bidi="ar-SA"/>
          </w:rPr>
          <w:t>(1968), 1 D.L.R. (3d) 690</w:t>
        </w:r>
      </w:hyperlink>
      <w:r>
        <w:rPr>
          <w:rFonts w:ascii="arial" w:eastAsia="arial" w:hAnsi="arial" w:cs="arial"/>
          <w:color w:val="000000"/>
          <w:sz w:val="20"/>
          <w:lang w:val="en-US" w:eastAsia="en-US" w:bidi="ar-SA"/>
        </w:rPr>
        <w:t xml:space="preserve"> (S.C.C.), that case is nonetheless apt. There, Mr. Justice Hall discussed a section of the Motor Vehicle Act requiring a driver to yield the right-of-way to a pedestrian lawfully within the crosswalk. He wrote as follows at p. 697: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female appellant was lawfully in the crosswalk and the respondent was, accordingly, required to yield right of way to her. The reason he gave for not doing so was because he did not see her soon enough and he did not see her sooner because the lighting conditions at the intersection in question were such that the crosswalk area was a blind area to him as he came from the north. His duty in those circumstances was to enter the intersection at such a speed and keeping such a look-out that if a pedestrian should be in the crosswalk he would be able to yield the right of way to that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discussing the conduct of the pedestrian, Mr. Justice Hall continued on as follows (at p. 698):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upon which any finding could be made that the female appellant started across the highway in question without looking to see if it was safe to do so or that she did anything to jeopardize her own safety once she had made a substantial entry into that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These cases show that both parties, regardless of the precise wording of the statute, retain a common law duty of care to act in a manner promoting their own safety and the safety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Even if Mr. Funk was not in a crosswalk, he was neither disobeying an explicit don't walk' sign, nor was he in a place he was not entitled to be. The defendant cannot escape his s. 181 duty, or his common law duty, to exercise due care to avoid a pedestrian who is on the highway: see Kuharski v. Inder. Under these conditions, the defendant is required to operate his vehicle so that, should a pedestrian be crossing his path in a reasonable manner (i.e. without darting from between parked cars, or running, or possibly clothed so as to reduce visibility), he will be able to avoid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submits that the defendant was grossly negligent in his driving that night. It is not in dispute that he did not live far from the intersection and he, therefore, had not had the car running for very long before the accident. He testified that he was driving the speed limit, 50 kph, while travelling westward on Sayward Avenue intending to make a left turn at the highway to go southwards towards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he approached the intersection at that speed, he noted that the north south traffic lights on the highway switched to yellow. He watched those lights so he could time his entry at the intersection precisely so that he could make his left turn without having to come to a stop. Thus, he maintained his speed right to the intersection and, I find, was concentrating on the traffic lights to make sure that they turned green before he actually entered the intersection. The expression he used was "split second timing" for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is consistent with his evidence that he never saw the plaintiff before the impact. In considering the latter, one must take into account the clothing that the plaintiff was wearing. It is not disputed that the clothing was dark. Nevertheless, it was the plaintiff's evidence that the front of the jacket was undone and he was wearing a partly light coloured sweater which would have been visible to a westbound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estimated he made the left turn at approximately 40 kph. The fact that he made a wide turn into the far or right hand lane of the highway is consistent with his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Further, there is evidence that at least some of the windows on his car were fogged. This issue is much in dispute, that is to say, the degree to which the windows were fogged and which windows were fogged.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submits that statements made by the defendant to the plaintiff's sister and wife in the hospital on the day after, and possibly a couple of days later, are conclusive of this question. The plaintiff's sister, a registered nurse, testified that she visited her brother in the hospital the day after the accident. She testified that with only her, the plaintiff and the defendant in the room, the defendant said he was very sorry for what happened. He said that he was in a hurry and did not see the plaintiff. He also said he could not see clearly because his windows were fogged and as it was dark and rainy he should have gone slower.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wife also testified on this issue. She testified that on November 29, four days after the accident, she was in the hospital with her children visiting her husband when the defendant arrived. They had a conversation. She testified that he described the night as windy and rainy. He also said that he lived only a short distance along Sayward Avenue and that he did not run the car long enough so that the engine would warm and the windows would clear. He also said he was watching the lights change to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accept the evidence of these two witnesses. It is consistent with much of what the defendant says: the focus on the lights, the distance from his home to the highway and the fact that the windows were fogged.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concedes that the car windows were fogged, but he says that it was only the triangular windows on the left and right doors of his car that were fogged, not the windshield. He testified that the fogging of the windows did not contribute to the accident. I reject that evidence. He was making a left turn and if the left hand vent window was fogged, that would interfere to some extent with his visibility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said that if he did make those comments to the plaintiff's sister and the wife, he did so out of sympathy for them. I did not find that justification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examination for discovery, the defendant was asked if he would acknowledge the fogged windows were a "contributing factor" to the accident. He conceded that fogged windows "probably had partially to do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the defendant's windows were fogged, and that fact contributed to his failure to see the pedestrian who was crossing the highway on a green light. I also find that his pre-occupation with watching the lights to see that they would change at the right time for him to make a left turn without having to halt or significantly slow down contributed to his failure to see the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All of this must be considered in light of the evidence of the police constable who attended the accident. He testified that "it was a dark and stormy night" with heavy rain and wind. He said that driving conditions were difficult, and in cross examination said that "given the conditions" he, the constable, was vigilant in his driving. I find that the defendant's pre-occupation with timing his left turn so that he could make that manoeuvre as the traffic lights changed without slowing down was not driving appropriately to the conditions described by the defendant and the constable.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testified that he was familiar with the intersection. He also said that he did not think the artificial lighting "sufficient". In his examination for discovery he testified that "if there was better lighting in that intersection, I would have seen him". To enter an intersection and make a left turn on a dark rainy night, knowing the lighting is insufficient, without slowing considerably is, I find,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he was driving too fast for the conditions prevailing.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Similarly, having found the plaintiff had a common law duty to take care, I conclude he was somewhat negligent given those conditions. Before I set out my reasons for this conclusion, I turn to the suggestion that the plaintiff was impaired by alcohol. The plaintiff testified that on November 25th he consumed two tall cans of imported beer over dinner at home from 5:00 to 6:15 p.m. He then went to the ferry, walked on, and took the hour long ride (longer than usual, he said, because of rough weather) to Swartz Bay, arriving at 7:50 p.m.. He then caught the bus heading for Sayward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bus a fellow passenger offered him a taste from a flask of brandy. He said this happened as he neared his destination of Sayward Avenue. He took two sips, and estimated the amount at two or three ounces. He said he recalled the brandy gave him a warm feeling, but that he did not feel any impairment to his ability to see, feel or observe.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suggest this alcohol consumption was a factor in the accident. I am not persuaded. The beer was consumed some two and one half hours before the accident; the brandy as he neared Sayward Avenue, just before the accident. While someone did report an odour of alcohol, that observation was not tested. There is no persuasive evidence the plaintiff was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return to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conclude he should have noticed the marked crosswalk to the north. He passed directly by it, including its push button manual control. He knew there was a pedestrian dedicated light to cross Sayward Avenue. He knew he was crossing a very wide major highway on a dark rainy night. He testified he had his head down. While there was some light colour to his sweater, his jacket was predominantly black.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Nevertheless, I conclude the defendant was almost entirely responsible for this accident. I am unable to conclude, however, that the plaintiff was not to some degree negligent. Given I am satisfied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far more egregious than that of the plaintiff, I find the defendant 90% liable and the plaintiff contributorily negligent to the extent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concedes that the plaintiff sustained serious injuries. Indeed, the injuries he sustained were not significantly in dispute. Only one of the many doctors who filed reports was required for cross-examination. I am satisfied that the plaintiff sustained compound comminuted fractures of the tibia and fibula of both legs. I also find that he suffered soft tissue injuries to the neck, shoulders and back. But it is the broken legs that were most significant. They led to three different orthopaedic surgeries. Immediately after the accident, steel rods were inserted in the lower portions of both legs with locking screws or nails. He was in the hospital 12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Because these fractures did not heal satisfactorily, on January 12, 2001, he had further surgery on the right leg, harvesting and grafting bone and revising the nailing. On November 19, 2001 there was a revision of the nailing of the left leg, the fracture site of which is described as remaining "non-union".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find that as a result of these serious injuries, the plaintiff suffers chronic serious pain, impaired mobility, and has had a great deal of difficulty adjusting psychologically to his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Prior to the accident the plaintiff was, I conclude, very fit. He was physically active in his work, involved in athletic activities such as soccer, mountain biking and skating. He testified he "played hard" with his two children. The accident changed all that radically.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described, in compelling testimony, the extreme pain which he suffered at the time, and the serious pain which he continues to suffer. His family physician, Dr. Hildebrand, testified that the plaintiff will continue to suffer from discomfort or pain to some extent for the rest of his life. That he obviously suffers a great deal of pain was confirmed by various lay witnesses, some of whom knew him before and after the accident. These include his wife and sister, his mother and father, as well as men who worked with him prior to his injury and have known him since. Collectively, the picture which emerges from this testimony is that the plaintiff is a changed person, that he has aged significantly and that he has gone from a high-energy active man, to a slow easily fatigued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relies upon a number of authorities to submit that the appropriate award for non-pecuniary damages is $160,000. Mr. Sweeney referred to a number of cases from a high award of $180,000 in Browning v. Gerard, </w:t>
      </w:r>
      <w:hyperlink r:id="rId373" w:history="1">
        <w:r>
          <w:rPr>
            <w:rFonts w:ascii="arial" w:eastAsia="arial" w:hAnsi="arial" w:cs="arial"/>
            <w:i/>
            <w:color w:val="0077CC"/>
            <w:sz w:val="20"/>
            <w:u w:val="single"/>
            <w:shd w:val="clear" w:color="auto" w:fill="FFFFFF"/>
            <w:lang w:val="en-US" w:eastAsia="en-US" w:bidi="ar-SA"/>
          </w:rPr>
          <w:t>[1994] B.C.J. No. 1142</w:t>
        </w:r>
      </w:hyperlink>
      <w:r>
        <w:rPr>
          <w:rFonts w:ascii="arial" w:eastAsia="arial" w:hAnsi="arial" w:cs="arial"/>
          <w:color w:val="000000"/>
          <w:sz w:val="20"/>
          <w:lang w:val="en-US" w:eastAsia="en-US" w:bidi="ar-SA"/>
        </w:rPr>
        <w:t xml:space="preserve"> (B.C.S.C.) to a low of $100,000 in Karitonov v. Coupland, </w:t>
      </w:r>
      <w:hyperlink r:id="rId374" w:history="1">
        <w:r>
          <w:rPr>
            <w:rFonts w:ascii="arial" w:eastAsia="arial" w:hAnsi="arial" w:cs="arial"/>
            <w:i/>
            <w:color w:val="0077CC"/>
            <w:sz w:val="20"/>
            <w:u w:val="single"/>
            <w:shd w:val="clear" w:color="auto" w:fill="FFFFFF"/>
            <w:lang w:val="en-US" w:eastAsia="en-US" w:bidi="ar-SA"/>
          </w:rPr>
          <w:t>[1997] B.C.J. No. 1430</w:t>
        </w:r>
      </w:hyperlink>
      <w:r>
        <w:rPr>
          <w:rFonts w:ascii="arial" w:eastAsia="arial" w:hAnsi="arial" w:cs="arial"/>
          <w:color w:val="000000"/>
          <w:sz w:val="20"/>
          <w:lang w:val="en-US" w:eastAsia="en-US" w:bidi="ar-SA"/>
        </w:rPr>
        <w:t xml:space="preserve"> (B.C.S.C.), a case in which there was a similar fracture of one leg requiring plates, and screws, and complicated by non-union. The cases that counsel for the plaintiff have cited at the high end, in my view, are distinguishable because generally speaking they involved closed head injuries with neurological damage resulting in cognitive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Cognizant that each case must be assessed on its unique facts, I find the case closest to the facts here is Just v. British Columbia, </w:t>
      </w:r>
      <w:hyperlink r:id="rId375" w:history="1">
        <w:r>
          <w:rPr>
            <w:rFonts w:ascii="arial" w:eastAsia="arial" w:hAnsi="arial" w:cs="arial"/>
            <w:i/>
            <w:color w:val="0077CC"/>
            <w:sz w:val="20"/>
            <w:u w:val="single"/>
            <w:shd w:val="clear" w:color="auto" w:fill="FFFFFF"/>
            <w:lang w:val="en-US" w:eastAsia="en-US" w:bidi="ar-SA"/>
          </w:rPr>
          <w:t>[1991] B.C.J. No. 3328</w:t>
        </w:r>
      </w:hyperlink>
      <w:r>
        <w:rPr>
          <w:rFonts w:ascii="arial" w:eastAsia="arial" w:hAnsi="arial" w:cs="arial"/>
          <w:color w:val="000000"/>
          <w:sz w:val="20"/>
          <w:lang w:val="en-US" w:eastAsia="en-US" w:bidi="ar-SA"/>
        </w:rPr>
        <w:t xml:space="preserve"> (B.C.S.C.), in which there were crush injuries to both legs and feet requiring multiple surgical procedures and bone graphs. In that case, the trial judge found that the plaintiff would continue with pain for the rest of his life. He awarded non-pecuniary damages of $120,000 (approximately $150,000 in 2004 dollars). A factor was present in that case, however, which is not present here and that is significant arthritis. Because the breaks here were not located at joints, there is on the evidence a reduced likelihood of such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 says there is evidence that there are other factors which contribute to the plaintiff's stress. They include financial difficulties he was in before the accident, as well as marital difficulties. Further, the defendant says that the injuries here are similar to those in Wilson v. Haddock </w:t>
      </w:r>
      <w:hyperlink r:id="rId376" w:history="1">
        <w:r>
          <w:rPr>
            <w:rFonts w:ascii="arial" w:eastAsia="arial" w:hAnsi="arial" w:cs="arial"/>
            <w:i/>
            <w:color w:val="0077CC"/>
            <w:sz w:val="20"/>
            <w:u w:val="single"/>
            <w:shd w:val="clear" w:color="auto" w:fill="FFFFFF"/>
            <w:lang w:val="en-US" w:eastAsia="en-US" w:bidi="ar-SA"/>
          </w:rPr>
          <w:t>(1998), 50 B.C.L.R. (3d) 325</w:t>
        </w:r>
      </w:hyperlink>
      <w:r>
        <w:rPr>
          <w:rFonts w:ascii="arial" w:eastAsia="arial" w:hAnsi="arial" w:cs="arial"/>
          <w:color w:val="000000"/>
          <w:sz w:val="20"/>
          <w:lang w:val="en-US" w:eastAsia="en-US" w:bidi="ar-SA"/>
        </w:rPr>
        <w:t xml:space="preserve"> (S.C.), in which the plaintiff sustained a compound fracture to the tibia and fibula to her left leg. In that case, which as I have noted was a fracture of only one leg, the court awarded $85,000. The defendant also relies upon Meise v. Whiting, </w:t>
      </w:r>
      <w:hyperlink r:id="rId377" w:history="1">
        <w:r>
          <w:rPr>
            <w:rFonts w:ascii="arial" w:eastAsia="arial" w:hAnsi="arial" w:cs="arial"/>
            <w:i/>
            <w:color w:val="0077CC"/>
            <w:sz w:val="20"/>
            <w:u w:val="single"/>
            <w:shd w:val="clear" w:color="auto" w:fill="FFFFFF"/>
            <w:lang w:val="en-US" w:eastAsia="en-US" w:bidi="ar-SA"/>
          </w:rPr>
          <w:t>[2002] B.C.J. No. 534</w:t>
        </w:r>
      </w:hyperlink>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2002 BCSC 352</w:t>
        </w:r>
      </w:hyperlink>
      <w:r>
        <w:rPr>
          <w:rFonts w:ascii="arial" w:eastAsia="arial" w:hAnsi="arial" w:cs="arial"/>
          <w:color w:val="000000"/>
          <w:sz w:val="20"/>
          <w:lang w:val="en-US" w:eastAsia="en-US" w:bidi="ar-SA"/>
        </w:rPr>
        <w:t>, in which a 31 year old plaintiff sustained a fracture to her left tibia and fibula and there was a likelihood for a requirement for ankle fusion in the future. Non-pecuniary damages were awarded as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Another fracture to one leg case relied upon by the plaintiff is Bertrand v. Bertrand, </w:t>
      </w:r>
      <w:hyperlink r:id="rId378" w:history="1">
        <w:r>
          <w:rPr>
            <w:rFonts w:ascii="arial" w:eastAsia="arial" w:hAnsi="arial" w:cs="arial"/>
            <w:i/>
            <w:color w:val="0077CC"/>
            <w:sz w:val="20"/>
            <w:u w:val="single"/>
            <w:shd w:val="clear" w:color="auto" w:fill="FFFFFF"/>
            <w:lang w:val="en-US" w:eastAsia="en-US" w:bidi="ar-SA"/>
          </w:rPr>
          <w:t>[1999] B.C.J. No. 2040</w:t>
        </w:r>
      </w:hyperlink>
      <w:r>
        <w:rPr>
          <w:rFonts w:ascii="arial" w:eastAsia="arial" w:hAnsi="arial" w:cs="arial"/>
          <w:color w:val="000000"/>
          <w:sz w:val="20"/>
          <w:lang w:val="en-US" w:eastAsia="en-US" w:bidi="ar-SA"/>
        </w:rPr>
        <w:t>, (August 19, 1999), New Westminster S036326 (B.C.S.C.), in which a 49 year old plaintiff underwent surgery to place a steel plate and screws on the left tibia. I note that in that case the fracture healed although the plaintiff continued to have residual discomfort. Non-pecuniary damages were set at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conclude the injuries sustained here and the resulting pain, suffering, and loss of enjoyment in life are closer to Just v. B.C. than they are to the cases cited by the defendants. I would reduce the award slightly to account for the reduced likelihood of arthritis. In the result, I assess non-pecuniary damages at $140,000.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does not dispute that the plaintiff has suffered past income loss as a result of his injuries. The issue here is one of quantum. The defendant says that the court should use the historical earnings of the plaintiff to assess his income loss from the date of accident to the date of trial. The plaintiff says that this is unrealistic because at the time of the accident the plaintiff was embarking upon a new venture which would have increased his income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noted above, the plaintiff was a carpenter who built or renovated houses. He had in the past worked generally in Victoria, but in the two years before the accident had moved his operation, and indeed his residence, to North Pender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considerable evidence that he was highly regarded as a carpenter, builder, foreman or supervisor not only by other workers in the trade, but by his customers. There were many letters filed in evidence to this effect. The defendant, as I understand his position, does not seriously dispute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dispute is principally around whether the court should base a finding of past wage loss on this expectation that his income would go up. Part of the plaintiff's support for this argument is evidence from other builders and from an experienced Pender Island realtor about the building and renovation boom on the Pender Islands in the last few years. For the purposes of this assessment, I accept that there has been a building and renovation boom on the Pender Islands in the relevant period and that it is probable that the plaintiff's income would have increased. However, I agree with the defendant that it would be speculative to place too much reliance upon this probability.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had been employed in the construction industry for almost two decades before the accident. For six years before he had been self-employed. There was considerable evidence that he was a hard worker, working long hours in what he himself described as a "hands on" style of managing his projects. Nevertheless, the defendant submits Funk's average annual income before the accident is approximately $25,000. The defendant says this leads to a past wage loss of approximately $115,000.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retained a forensic accountant, W.M. Wiseman, who calculated a range for past net wage loss. He looked at historical earnings and then for each year increased earnings reflecting the potential Pender Island opportunities. Utilizing these estimated annual increments, he concluded the plaintiff's historical income should be $40,000, a figure I do not accept. Rather, I find the evidence points to an historical income of between $25,000 and $29,500. Mr. Wiseman concluded that at a minimum the loss is $188,000 and that at a maximum of $407,000.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do not find these estimated increments and projections persuasive. To submit that for many years in the industry a plaintiff made a certain amount, but that at the time of the accident he was poised to experience successive dramatic increases in his annual income, places a very high onus on the proponent. I find that even though the plaintiff was a very hard worker who worked long hours before the accident, he did not earn a very high income - never more than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accept that the plaintiff made serious efforts to mitigate his loss. He managed to have others finish jobs he had started, remaining involved in a limited way. He worked as an office person on a commercial project on North Pender Island, but Davie Rae, the developer who had known the plaintiff since l998 and testified that prior to the accident would have considered hiring him as site superintendent, characterized what the plaintiff did as "basically a clerk". The plaintiff has also done some residential inspections, but is unable to crawl or climb into all the spaces essential to a complete inspection. His mobility problems and tendency to fatigue lengthen the time required for these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accept, given the evidence of the other witnesses, in particular realtor David Sherman and contractor Mark Brown, that there were substantial possibilities on the Pender Islands and that his income would have increased, but I am not prepared to accept outright the projections of the accountant. However, being satisfied that his income would have increased from the date of the accident to the date of trial, the suggested figure of $115,000 by the defendant, based as it is upon pre-accident annual income, is low. In the result, I assess past wage loss at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Lost Capacity to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does not dispute that there is a significant loss of capacity to earn in the future. The defendant says Mr. Funk has a residual capacity of more than 50% and points to post-accident income in support of this proposition. In addition, the defendant notes that the plaintiff has the option of retraining in a manner utilizing his existing skills to increase his earning capacity. He emphasizes the observation of rehabilitation and vocational consultant Colleen Quee-Newell, at p. 23 of her report, that a return to self-employment as a building contractor where construction duties are delegated to employees "represents the optimal vocational rehabilitation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submits $150,000 is the appropriate award for loss of capacity. The plaintiff, on the other hand, says there are significant impediments to future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am persuaded that indeed the plaintiff has sustained a major reduction in his capacity to earn. I say this for a number of reasons. First, it is clear that the plaintiff succeeded in the past because of his hands-on skills. There is much evidence that he is a highly respected carpenter and builder. As I have noted above, there are in evidence many commendations not only from his former clients, but from other tradesmen who have worked with him. This despite the fact that he did not complete school and did not complete his apprenticeship as a carpenter. This is consistent with the fact that since the accident he has twice failed an examination to become a British Columbia Building Code Inspector. In other words, academics are not his forté.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was, then, a person who had found his niche. That role included hands-on building work, heavy work involving climbing in and out of excavations and, of course, up and down buildings in various stages of construction. I accept that the ongoing problems with his legs prevent him from continuing in this line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What then can be said about his reduced capacity to earn in the future? This requires gazing "more deeply into the crystal ball", the observation of Dickson J., as he then was, in Andrews v. Grand and Toy Alberta Ltd., </w:t>
      </w:r>
      <w:hyperlink r:id="rId37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 However obscure that crystal ball may be, I am satisfied that Mr. Funk comes squarely within the observation of Southin J.A. in Palmer v. Goodall </w:t>
      </w:r>
      <w:hyperlink r:id="rId380"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at 59, because: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And in all of this, one must take into account contingencies of life, those unrelated factors which may or may not have impacted upon his capacity to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Here I conclude that regardless of the type of employment he might obtain, he is rendered less capable of earning because the evidence is that he cannot undertake physical work, nor can he work full days because he fatigues easily. As a result, he is less attractive to potential employers. Davie Rae, the developer mentioned above, went so far as to testify that the plaintiff, once an asset on site, had become a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add that there is a psychological component here. The evidence is that the plaintiff identified closely with his success as a building contractor. This was evident from his testimony. When he described satisfaction he received from putting together a construction project and seeing it to completion, the pleasure he obtained from that achievement was obvious. This lends credence to the suggestion of counsel for the plaintiff that "he was what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accept much of the opinion of Dr. John Lawless, a vocational rehabilitation consultant, who prepared a vocational assessment of the plaintiff. He reviewed extensive medical reports and clinical records. He concluded that the plaintiff is left with "access to only a few entry level service occupations with a higher risk of future unemployment".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 on the other hand submits that the situation is not as bad as the plaintiff would have us believe. There is some evidence that "litigation stress" is having an impact upon the plaintiff. He has testified about the effect of stress on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also retained a rehabilitation specialist, Colleen Quee-Newell, mentioned above. She conceded that the plaintiff's return to work as a carpenter is unlikely. However, she was of the opinion that "the next logical choice" would be to explore some aspect of the construction industry that would not depend upon his physical limitations. She suggested focusing on business management responsibilities. She also suggested a number of other "light strength occupations" such as locksmith, apartment manager or small appliance repair technician. She suggested that he would be more employable if he could "effectively manage his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 submits (agreeing with the evidence of the plaintiff that the construction market is strong on the Pender Islands) that there are opportunities for the plaintiff to take advantage of his abilities to manage construction. The defendant says $150,000 is the appropriate award for lost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think this amount far too low. Now age 45, the plaintiff has many working years left. I find that the injuries which he sustained significantly reduced his capacity to earn. I find that he is not a person who is suited to office or paperwork, and that he does not have an academic bent. There is no evidence that the sorts of alternative occupations suggested by the defendant's consultant (similar to the "entry level" jobs discussed by the plaintiff's consultant) will lead to substantial earnings. As noted above, there is much credible evidence that the building boom on the Pender Islands will last for a considerable period of time and that Funk would have benefited from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But the significant point, as set out in Palmer noted above, is that the plaintiff is severely restricted in the sorts of tasks he could take on in the future and that therefore his capacity to earn is significantly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Counsel for the plaintiff had submitted evidence with respect to calculations of projected income loss and the appropriate multipliers to apply, evidence he says "is a helpful frame of reference for the assessment". That may be, but such arithmetic calculations are not determinative given the observations of Dickson J. and Southin J.A.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conclude, upon a consideration of all of the evidence, that the plaintiff's lost capacity to earn in the future is significant. Probably, if not undoubtedly, he will earn far less than he would have earned had he not been injured. Taking into account an appropriate deduction for contingencies at 20%, I award $400,000 for lost capacity to 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is not disputed that after the plaintiff was injured his mother left her job as a part-time nurse to look after the plaintiff in her home. She provided what amounted to 24 hour care for the first while, and then a decreasing level of care for the next few months. She submits that an appropriate claim for this service is $14,600, an amount she calculates as providing care for just under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defendant says the appropriate award is $2,000. He bases this submission on Volk v. F.W. Woolworth Co., </w:t>
      </w:r>
      <w:hyperlink r:id="rId381" w:history="1">
        <w:r>
          <w:rPr>
            <w:rFonts w:ascii="arial" w:eastAsia="arial" w:hAnsi="arial" w:cs="arial"/>
            <w:i/>
            <w:color w:val="0077CC"/>
            <w:sz w:val="20"/>
            <w:u w:val="single"/>
            <w:shd w:val="clear" w:color="auto" w:fill="FFFFFF"/>
            <w:lang w:val="en-US" w:eastAsia="en-US" w:bidi="ar-SA"/>
          </w:rPr>
          <w:t>[1992] B.C.J. No. 2350</w:t>
        </w:r>
      </w:hyperlink>
      <w:r>
        <w:rPr>
          <w:rFonts w:ascii="arial" w:eastAsia="arial" w:hAnsi="arial" w:cs="arial"/>
          <w:color w:val="000000"/>
          <w:sz w:val="20"/>
          <w:lang w:val="en-US" w:eastAsia="en-US" w:bidi="ar-SA"/>
        </w:rPr>
        <w:t xml:space="preserve"> (S.C.). In that case, the plaintiff was a woman aged 72 at the time of the accident. She sustained a broken leg and for two or three months after her discharge from the hospital required a substantial level of care which was provided by her daughter. The court concluded that after the first few months the assistance that was given was not beyond that which a family would normally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this case, I am satisfied that the plaintiff's mother did provide care for a period of time that was beyond "that which a family normally would provide". She quit her job in order to provide this service. However, I am not satisfied that the extensive care which she provided initially was necessary for as long as has been suggested. I find that while she cared for the plaintiff constantly for several weeks, the need for her assistance was significantly reduced by the eight month mark. In the circumstances, I assess the in-trust claim at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Milina v. Bartsch </w:t>
      </w:r>
      <w:hyperlink r:id="rId13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the test for determining an award under costs for future care was set out: there must be a medical justification for the claims and they must be reasonable. In other words, the test is an objective one based upon medical evidence. A number of doctors and other experts testified with respect to Mr. Funk's needs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There were recommendations for psychological counselling in both the areas of vocational pursuits and pain management. In particular, there were recommendations for counselling concerning his extensive use of analgesic medication. There was also expert evidence with respect to multiplication factors for costs that were put forward by Sheila Stewart Blair, a rehabilitation consultant. These recommendations include home support services, equipment, pain management and massage therapy, job retraining and transportation. The plaintiff's claim, expressed in current value after application of the appropriate multiplication factor, is $120,694.00.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these requirements and the consequent numbers inflated. Much of the home support service and equipment proposals involve requirements that would eventually be confronted by most people as they age. For example, a man Mr. Funk's age living on a Gulf Island might buck and chop his own firewood, but average people, as they age, would be unlikely to do so. Many people, particularly working full-time, would not paint their own home, but would hire someone to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result, while I accept there are some services here that Mr. Funk would have done himself, given his history and his age, I do not accept that he would have provided all these services for himself for the rest of his working life. I have reviewed these items, and allowed reduced amounts for a number of home maintenance items which are reasonable costs in the near future, but for which I conclude the defendant is not responsible after a reasonable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have allowed the award for massage therapy as sought for the first three years, but have allowed for only reduced sessions after the third year (the plaintiff seeks weekly treatments after that period), and have reduced the associated transportation claim accordingly. I accept that massage therapy, is necessary for a considerable period of time if Mr. Funk is to return to his maximum potential in the circumstances. But as Dr. Hildebrand described massage as "adjunctive therapy to help with pain relief", I find that after appropriate pain control management, the need for massage therapy will be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have allowed other conditioning programs for the short term, as well as job retraining and vocational counselling, which I find are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have reduced the claim for future analgesics. A specialist in pain management (or pain management therapy) is indicated, a service covered by the Medical Services Plan. Such therapy should reduce the plaintiff's reliance upon analgesics. I do accept, however, that the non-prescription medications which have been proposed will, upon a balance of probabilities, be required by the plaintiff for some time. However, I have not allowed the claim for Vioxx, described as an anti-inflammatory used for pain control, because the evidence is that it upset the plaintiff's stomach and sometime in 2003 he stopped taking it, and because effective pain control therapy should reduce the need for it. I have reduced the claim for the anti-depressant Lorazepan, as Funk's physician Dr. Hildebrand recommended that the plaintiff wean himself from the drug, and the plaintiff testified that he is trying to reduce his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satisfied that many of the equipment items that have been suggested are things that people would purchase in any event. Almost all homes now have a computer. Particular types of cleaners, or dust pans, stools or warm socks (as distinct from shin pads) are largely things that people would purchase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After review of the items claimed, I assess the cost of future care at $50,000.00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claims special damages in the amount of just over $18,000. The defendant does not take issue with the portion of this amount which is a claim for unpaid medical treatment costs. However, the defendant does question two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first is for travel to and from massage therapy sessions. They are claimed at 200 trips at 72 kilometres. However, the plaintiff agreed that this was the mileage required for massage therapy in Victoria, whereas most of the treatment sessions were actually on North Pender Island where the distance would be minimal. In addition, some of the trips to Victoria were combined with other reasons for going to town. I assess that claim at one third of the amount sought ($6123.60 divided by 3 = $2,044.20).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second challenge to this claim by the defendant arises out of a claim for the taxable costs concerning foreclosure proceedings. This unusual claim arises because once Mr. Funk lost his employment he fell in arrears on the mortgage payments on his North Pender Island home. Counsel informed me that through negotiations the mortgagee for a period of time was prepared to forego the necessity of making payments, but as time passed, the mortgagee became less cooperative and eventually a foreclosure petition was brought. The theory is that had he not had the accident he would not have fallen into arrears and he would therefore not have incurred the costs resulting from the foreclosure petition. I am told it is assumed that he will be able to redeem the mortgage with the proceeds received in this action. The costs, calculated at scale 2, are set out at $2,287.70.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Counsel have not submitted any authorities on this point. Carpenter (Litigation Guardian of) v. Beck </w:t>
      </w:r>
      <w:hyperlink r:id="rId382" w:history="1">
        <w:r>
          <w:rPr>
            <w:rFonts w:ascii="arial" w:eastAsia="arial" w:hAnsi="arial" w:cs="arial"/>
            <w:i/>
            <w:color w:val="0077CC"/>
            <w:sz w:val="20"/>
            <w:u w:val="single"/>
            <w:shd w:val="clear" w:color="auto" w:fill="FFFFFF"/>
            <w:lang w:val="en-US" w:eastAsia="en-US" w:bidi="ar-SA"/>
          </w:rPr>
          <w:t>(1997), 145 D.L.R. (4th) 574</w:t>
        </w:r>
      </w:hyperlink>
      <w:r>
        <w:rPr>
          <w:rFonts w:ascii="arial" w:eastAsia="arial" w:hAnsi="arial" w:cs="arial"/>
          <w:color w:val="000000"/>
          <w:sz w:val="20"/>
          <w:lang w:val="en-US" w:eastAsia="en-US" w:bidi="ar-SA"/>
        </w:rPr>
        <w:t xml:space="preserve"> (Man. C.A.), is helpful. In that case, the plaintiff sought and was denied costs of legal representation at a coroner's inquest related to the injury. The court found that whether to have legal representation at such a hearing was a matter of choice. As it was not obligatory, such a voluntary action could not be said to have been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is distinguishable from the situation here where the default on the mortgage was caused by the plaintiff's injuries denying him income, and it can not be said in the circumstances it was not necessary to defend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any case, if one asks the fundamental question "can the plaintiff be put back in the position he would have been in had these injuries not been sustained", one is driven to the conclusion that this cost was incurred as a direct result of the accident. In the circumstances, I am satisfied that the claim is an appropriate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result, special damages are awarded in the amount of $13,987.85.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find the defendant liable for 90% of the damages, the plaintiff responsible for 10%. The plaintiff will have judgment for 90%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 assessed at</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 assessed at</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capacity to earn assessed at</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255"/>
        <w:gridCol w:w="1359"/>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in trust claim assessed at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Costs of future care assessed at</w:t>
            </w:r>
          </w:p>
        </w:tc>
        <w:tc>
          <w:tcPr>
            <w:tcW w:w="358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 are assessed at</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$ 13,987.85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Unless there is something of which I am unaware, costs will follow the event. Counsel have informed me that they will make the necessary calculations concerning interest on past economic losses, management fee and tax gross-up, and costs and disbursements. In the event that counsel are unable to agree, they will have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6" style="position:absolute;z-index:251770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Gill v. Wang, [2019] B.C.J. No. 2585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Jackson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22,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S165596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2585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2319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Gurinder Singh Gill, Plaintiff, and Zheng Wang and Fatimid Enterprises Inc. doing business as BC Wireless Solutions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7"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3" w:name="Keywords_4"/>
      <w:bookmarkEnd w:id="53"/>
      <w:r>
        <w:rPr>
          <w:rFonts w:ascii="arial" w:eastAsia="arial" w:hAnsi="arial" w:cs="arial"/>
          <w:b/>
          <w:color w:val="000000"/>
          <w:sz w:val="20"/>
          <w:lang w:val="en-US" w:eastAsia="en-US" w:bidi="ar-SA"/>
        </w:rPr>
        <w:t>Employment law — Implied duties of employer — Liability for acts of employee — Application by BC Wireless Solutions for summary dismissal of plaintiff's personal injury action for assault and battery dismissed — Cross-application by plaintiff for finding BC Wireless and employee Wang were jointly and severally liable allowed — Plaintiff became upset during interaction with Wang at BC Wireless store — Argument culminated when Wang struck plaintiff — Wang committed battery on plaintiff by intentionally engaging in offensive physical contact with him — There was significant connection between conversation related to BC Wireless's business and intentional and wrongful battery of plaintiff by Wang — BC Wireless was liable for Wang's battery of plaintiff.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Assault — Battery — Practice and procedure — Application by BC Wireless Solutions for summary dismissal of plaintiff's personal injury action for assault and battery dismissed — Cross-application by plaintiff for finding BC Wireless and employee Wang were jointly and severally liable allowed — Plaintiff became upset during interaction with Wang at BC Wireless store — Argument culminated when Wang struck plaintiff — Wang committed battery on plaintiff by intentionally engaging in offensive physical contact with him — There was significant connection between conversation related to BC Wireless's business and intentional and wrongful battery of plaintiff by Wang — BC Wireless was liable for Wang's battery of plaintiff.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Vicarious liability — Liability of employer for acts of employee — Application by BC Wireless Solutions for summary dismissal of plaintiff's personal injury action for assault and battery dismissed — Cross-application by plaintiff for finding BC Wireless and employee Wang were jointly and severally liable allowed — Plaintiff became upset during interaction with Wang at BC Wireless store — Argument culminated when Wang struck plaintiff — Wang committed battery on plaintiff by intentionally engaging in offensive physical contact with him — There was significant connection between conversation related to BC Wireless's business and intentional and wrongful battery of plaintiff by Wang — BC Wireless was liable for Wang's battery of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4" w:name="Case Summary_4"/>
            <w:bookmarkEnd w:id="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BC Wireless Solutions for the summary dismissal of the plaintiff's personal injury action for assault and battery. Cross-application by the plaintiff for a finding BC Wireless and its employee Wang were jointly and severally liable. The plaintiff attended at BC Wireless's store and requested a discount provided to government employees for a new cellphone. He became upset when Wang, who was working alone, asked for information to support the validity of the plaintiff's request. The plaintiff and Wang had an argument that culminated in Wang striking the plaintiff. The interaction between them was captured on surveillance video.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5" w:name="Holdings of Court_4"/>
            <w:bookmarkEnd w:id="55"/>
            <w:r>
              <w:rPr>
                <w:rFonts w:ascii="arial" w:eastAsia="arial" w:hAnsi="arial" w:cs="arial"/>
                <w:color w:val="000000"/>
                <w:sz w:val="20"/>
                <w:lang w:val="en-US" w:eastAsia="en-US" w:bidi="ar-SA"/>
              </w:rPr>
              <w:t>HELD: Application dismissed; cross-application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liability was suitable for summary trial. It was appropriate to sever liability from the assessment of the plaintiff's damages. Wang committed a battery on the plaintiff by intentionally engaging in offensive physical contact with him. There was insufficient evidence to find Wang intended to cause fright to the plaintiff. The plaintiff's claim Wang committed an assault against him was dismissed. It was part of Wang's responsibility to deal with angry customers. Wang's battery of the plaintiff was how he chose to deal with an angry customer. There was a significant connection between the conversation involving a commercial transaction related to BC Wireless's business, which created the friction and risk, and the intentional and wrongful battery of the plaintiff by Wang. BC Wireless was liable for Wang's battery of the plaintiff.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6" w:name="Legislation Cited_0"/>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8"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1-3(1), Rule 1-3(2), Rule 9-7, Rule 9-7(5)(a), Rule 9-7(5)(c), Rule 9-7(15), Rule 12-5(46),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7" w:name="Counsel_10"/>
      <w:bookmarkEnd w:id="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9"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J.D. Vilvang, Q.C., O. Stoklosa.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Fatimid Enterprises Inc.: T.S. Newnham.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 Zheng Wang: No appearance at this hearing.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8" w:name="Judgment_9"/>
      <w:bookmarkEnd w:id="58"/>
      <w:r>
        <w:pict>
          <v:line id="_x0000_s1070"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9" w:name="V. JACKSON J. (orally)"/>
            <w:bookmarkEnd w:id="59"/>
            <w:r>
              <w:rPr>
                <w:rFonts w:ascii="arial" w:eastAsia="arial" w:hAnsi="arial" w:cs="arial"/>
                <w:b/>
                <w:color w:val="000000"/>
                <w:sz w:val="30"/>
                <w:lang w:val="en-US" w:eastAsia="en-US" w:bidi="ar-SA"/>
              </w:rPr>
              <w:t>V. JACKSON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are my oral reasons for judgment in this matter. If a transcript is ordered, I may make changes for style or grammar, but the substance of the reasons will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Fatimid Enterprises Inc., is a B.C. company that carries on business as BC Wireless Solutions Inc. ("BC Wireless Solutions"). The defendant, Zheng Wang ("Wang"), was a keyholder and salesperson working alone, supervising the BC Wireless Solutions's Rogers store in the Lansdowne Mall in Richmond, B.C. (the "Store") when an incident took place on October 23, 2015, involving the plaintiff, Gurinder Gill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that date, the Plaintiff entered the store and sought pricing from Wang for a new iPhone. Wang suspected the Plaintiff was attempting to defraud BC Wireless Solutions by seeking a discount BC Wireless Solutions provided to government employees, and to which the Plaintiff would not be entitled if he were not an employee. Wang was trained to watch out for these types of attempts at fraud and doing so was part of his employment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Wang asked for information to support the validity of the Plaintiff's request for a discount. In response, the Plaintiff became upset, raised his voice, and swore at Wang. Wang found the Plaintiff's behaviour to be "rude and aggressive" and "threatening". Wang's evidence is that the Plaintiff also used the phrase "fucking chink", but that fact is denied by the Plaintiff. Wang's evidence is that he also asked the Plaintiff to leave the store, but again that fact is in dispute by the Plaintiff. As those two facts are not determinative of the issues before me, it is not necessary for me to resolve the conflicts in the evidence and so I make no findings on those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conversation between the Plaintiff and Wang culminated when Wang struck the Plaintiff. The interaction between the Plaintiff and Wang was captured on surveillance video, although there is no audio.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alleges Wang wrongfully and intentionally committed assault and battery on him. The Plaintiff's claims against BC Wireless Solutions are based on an allegation it is vicariously liable for Wang's intentional torts of assault and battery, as well as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occupier's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Wang filed a response to the notice of civil claim in which he alleged the Plaintiff "made profane and racist remarks and made threatening gestures" at him. In the legal basis of his response, Wang pleads provocation. Wang does not plead self-defence.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BC Wireless Solutions's response to civil claim, it agrees with the Plaintiff that Wang committed assault and battery on the Plaintiff, but takes the position that Wang was "not acting in the scope of his employment at the time" of the assault and battery and that Wang's actions were neither expressly nor impliedly authorized by BC Wireless Solutions, and it is not vicariously liable for Wang's actions. BC Wireless Solutions also denies it breached any duty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Discoveries have taken place and the action has been scheduled for an eight-day trial commencing October 19,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Applications and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are two cross applications before me. The application filed by BC Wireless Solutions seeks:</w:t>
      </w:r>
      <w:r>
        <w:rPr>
          <w:rFonts w:ascii="arial" w:eastAsia="arial" w:hAnsi="arial" w:cs="arial"/>
          <w:sz w:val="20"/>
          <w:lang w:val="en-US" w:eastAsia="en-US" w:bidi="ar-SA"/>
        </w:rPr>
        <w:cr/>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liability be severed from all other issues, which is consented to by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issue of the defendants' liability be determined by way of summary trial, which is also consented to by the Plaintiff;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action be dismissed against BC Wireless Solutions. This is opposed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application filed by the Plaintiff seeks an order that both defendants be found jointly and severally liable for damages sustained by the Plaintiff as pleaded in 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outset of the hearing, I was advised by counsel for BC Wireless Solutions that he had received a letter from counsel of record for Wang advising that Wang takes no position with respect to either application, although he had been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these reasons, I will refer to the Plaintiff and the defendant, BC Wireless Solutions, as the parties from time to time, and in doing so, I do not include Wang in that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cross applications raise the following five issues: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severance of the issue of the defendant's liability appropriate in the circumstances?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issue of liability suitable for summary trial?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suitable for summary trial, has the Plaintiff established Wang was liable for the intentional torts of assault and/or battery?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is BC Wireless Solutions vicariously liable for Wang's tortious acts? 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BC Wireless Solutions negligent in breaching a duty which it acknowledges it owed, as an occupier, to the Plaintiff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Severance requires extraordinary, exceptional, or compelling reasons, which may include the likelihood that severance will lead to significant savings in time and expense: </w:t>
      </w:r>
      <w:r>
        <w:rPr>
          <w:rFonts w:ascii="arial" w:eastAsia="arial" w:hAnsi="arial" w:cs="arial"/>
          <w:i/>
          <w:color w:val="000000"/>
          <w:sz w:val="20"/>
          <w:lang w:val="en-US" w:eastAsia="en-US" w:bidi="ar-SA"/>
        </w:rPr>
        <w:t>Burg Properties Ltd. v. Economical Mutual Insurance Company</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2013 BCSC 209</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Court has severed the issue of liability in the context of personal injury actions on numerous occasions, including cases involving an allegation of vicarious liability, and for that proposition, the following cases are cited:</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Hewson v. British Columbia</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2016 BCSC 803</w:t>
        </w:r>
      </w:hyperlink>
      <w:r>
        <w:rPr>
          <w:rFonts w:ascii="arial" w:eastAsia="arial" w:hAnsi="arial" w:cs="arial"/>
          <w:color w:val="000000"/>
          <w:sz w:val="20"/>
          <w:lang w:val="en-US" w:eastAsia="en-US" w:bidi="ar-SA"/>
        </w:rPr>
        <w:t xml:space="preserve"> at para. 15;</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Thomas v. The Roman Catholic Archbishop of Vancouver</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2016 BCSC 1466</w:t>
        </w:r>
      </w:hyperlink>
      <w:r>
        <w:rPr>
          <w:rFonts w:ascii="arial" w:eastAsia="arial" w:hAnsi="arial" w:cs="arial"/>
          <w:color w:val="000000"/>
          <w:sz w:val="20"/>
          <w:lang w:val="en-US" w:eastAsia="en-US" w:bidi="ar-SA"/>
        </w:rPr>
        <w:t xml:space="preserve"> at paras. 31 and 32;</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Bracken v. Strongarm</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2009 BCSC 1325</w:t>
        </w:r>
      </w:hyperlink>
      <w:r>
        <w:rPr>
          <w:rFonts w:ascii="arial" w:eastAsia="arial" w:hAnsi="arial" w:cs="arial"/>
          <w:color w:val="000000"/>
          <w:sz w:val="20"/>
          <w:lang w:val="en-US" w:eastAsia="en-US" w:bidi="ar-SA"/>
        </w:rPr>
        <w:t xml:space="preserve">, aff'd </w:t>
      </w:r>
      <w:hyperlink r:id="rId394" w:history="1">
        <w:r>
          <w:rPr>
            <w:rFonts w:ascii="arial" w:eastAsia="arial" w:hAnsi="arial" w:cs="arial"/>
            <w:i/>
            <w:color w:val="0077CC"/>
            <w:sz w:val="20"/>
            <w:u w:val="single"/>
            <w:shd w:val="clear" w:color="auto" w:fill="FFFFFF"/>
            <w:lang w:val="en-US" w:eastAsia="en-US" w:bidi="ar-SA"/>
          </w:rPr>
          <w:t>2012 BCCA 67</w:t>
        </w:r>
      </w:hyperlink>
      <w:r>
        <w:rPr>
          <w:rFonts w:ascii="arial" w:eastAsia="arial" w:hAnsi="arial" w:cs="arial"/>
          <w:color w:val="000000"/>
          <w:sz w:val="20"/>
          <w:lang w:val="en-US" w:eastAsia="en-US" w:bidi="ar-SA"/>
        </w:rPr>
        <w:t>;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Tanaka v London Drugs Limited</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2019 BCSC 1182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considering BC Wireless Solutions's application for severance, I am also to bear in mind the object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is to secure the just, speedy, and inexpensive determination of every proceeding on its merits: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R. 1-3(1); </w:t>
      </w:r>
      <w:r>
        <w:rPr>
          <w:rFonts w:ascii="arial" w:eastAsia="arial" w:hAnsi="arial" w:cs="arial"/>
          <w:i/>
          <w:color w:val="000000"/>
          <w:sz w:val="20"/>
          <w:lang w:val="en-US" w:eastAsia="en-US" w:bidi="ar-SA"/>
        </w:rPr>
        <w:t>Spiering v. Trevor</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2012 BCSC 1653</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parties argue severance is appropriate in this case because the issue of liability of Wang and BC Wireless Solutions and their related evidence is separate and distinct from the issue of damages, and there is a likelihood of significant savings of time and expense if the issue of liability is determined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parties are of the view that the issue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any, can be addressed at the same time as the trial on damages, along with Wang's claim that the Plaintiff provoked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Based on the record before me, I am satisfied it is likely that severance of the issue of the defendants' liability will lead to significant savings in time and expense. Intentional torts, such as assault and battery, do not require proof of damage to be actionable, but any damages award which is beyond a nominal figure requires proof of a loss caused by the defendant: </w:t>
      </w:r>
      <w:r>
        <w:rPr>
          <w:rFonts w:ascii="arial" w:eastAsia="arial" w:hAnsi="arial" w:cs="arial"/>
          <w:i/>
          <w:color w:val="000000"/>
          <w:sz w:val="20"/>
          <w:lang w:val="en-US" w:eastAsia="en-US" w:bidi="ar-SA"/>
        </w:rPr>
        <w:t>Rossi v. Barbieri</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2013 BCSC 832</w:t>
        </w:r>
      </w:hyperlink>
      <w:r>
        <w:rPr>
          <w:rFonts w:ascii="arial" w:eastAsia="arial" w:hAnsi="arial" w:cs="arial"/>
          <w:color w:val="000000"/>
          <w:sz w:val="20"/>
          <w:lang w:val="en-US" w:eastAsia="en-US" w:bidi="ar-SA"/>
        </w:rPr>
        <w:t xml:space="preserve"> at para. 51; and also </w:t>
      </w:r>
      <w:r>
        <w:rPr>
          <w:rFonts w:ascii="arial" w:eastAsia="arial" w:hAnsi="arial" w:cs="arial"/>
          <w:i/>
          <w:color w:val="000000"/>
          <w:sz w:val="20"/>
          <w:lang w:val="en-US" w:eastAsia="en-US" w:bidi="ar-SA"/>
        </w:rPr>
        <w:t>Misir v. Baichulall</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2012 ONSC 893</w:t>
        </w:r>
      </w:hyperlink>
      <w:r>
        <w:rPr>
          <w:rFonts w:ascii="arial" w:eastAsia="arial" w:hAnsi="arial" w:cs="arial"/>
          <w:color w:val="000000"/>
          <w:sz w:val="20"/>
          <w:lang w:val="en-US" w:eastAsia="en-US" w:bidi="ar-SA"/>
        </w:rPr>
        <w:t xml:space="preserve"> at para. 23. Therefore, the separation of the issues of liability and damage do not present a barrier to severance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Further, since provocation is not a defence to assault or battery, but may be taken into account in mitigation of damages, Wang's claim of provocation is not a bar to severance of the issue of the defendants' liability, and that is a reference to </w:t>
      </w:r>
      <w:r>
        <w:rPr>
          <w:rFonts w:ascii="arial" w:eastAsia="arial" w:hAnsi="arial" w:cs="arial"/>
          <w:i/>
          <w:color w:val="000000"/>
          <w:sz w:val="20"/>
          <w:lang w:val="en-US" w:eastAsia="en-US" w:bidi="ar-SA"/>
        </w:rPr>
        <w:t>McCaffery v. Arguello</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2014 BCSC 70</w:t>
        </w:r>
      </w:hyperlink>
      <w:r>
        <w:rPr>
          <w:rFonts w:ascii="arial" w:eastAsia="arial" w:hAnsi="arial" w:cs="arial"/>
          <w:color w:val="000000"/>
          <w:sz w:val="20"/>
          <w:lang w:val="en-US" w:eastAsia="en-US" w:bidi="ar-SA"/>
        </w:rPr>
        <w:t xml:space="preserve"> at paragraphs 31 and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Based on those considerations, I order severance of the issue of the defendant's liability as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Approach to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On a summary trial, the court may grant judgment in favour of any party, either with respect to an issue or generally, unless "on the whole of the evidence", the court is unable to find facts necessary to decide the issues of fact or law, or is of the opinion it would be "unjust to decide the issues on the application", and that is a reference, of course, to R. 9-7(15) of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Mayer </w:t>
      </w:r>
      <w:r>
        <w:rPr>
          <w:rFonts w:ascii="arial" w:eastAsia="arial" w:hAnsi="arial" w:cs="arial"/>
          <w:i/>
          <w:color w:val="000000"/>
          <w:sz w:val="20"/>
          <w:lang w:val="en-US" w:eastAsia="en-US" w:bidi="ar-SA"/>
        </w:rPr>
        <w:t>v. Mayer</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2012 BCCA 77</w:t>
        </w:r>
      </w:hyperlink>
      <w:r>
        <w:rPr>
          <w:rFonts w:ascii="arial" w:eastAsia="arial" w:hAnsi="arial" w:cs="arial"/>
          <w:color w:val="000000"/>
          <w:sz w:val="20"/>
          <w:lang w:val="en-US" w:eastAsia="en-US" w:bidi="ar-SA"/>
        </w:rPr>
        <w:t xml:space="preserve"> at para. 58; </w:t>
      </w:r>
      <w:r>
        <w:rPr>
          <w:rFonts w:ascii="arial" w:eastAsia="arial" w:hAnsi="arial" w:cs="arial"/>
          <w:i/>
          <w:color w:val="000000"/>
          <w:sz w:val="20"/>
          <w:lang w:val="en-US" w:eastAsia="en-US" w:bidi="ar-SA"/>
        </w:rPr>
        <w:t>Tassone v. Cardinal</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2014 BCCA 149</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Both parties seek a summary trial determination on the issue of the defendant's liability. The burden remains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 a summary trial application,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permit each party of record to tender evidence by various means, including affidavits and any part of the evidence taken on examination for discovery. That is a reference to R. 9-7(5)(a) and (c). However, parts of R. 12-5, including Subrule 46, apply to R. 9-7 and qualify the evidence that is admissible. Subrule 12-5(46) governs the admission of evidence given by a party on an examination for discovery. Such evidence may be tendered by any party adverse in interest, unless the court orders otherwise, but the evidence is admissible only against the adverse party who was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BC Wireless Solutions relies on an affidavit of its representative, Aziz Meghjiani, and the affidavit of Rose Rualo, a paralegal at its counsel's firm, which attaches extracts from the examinations for discovery of the Plaintiff and Wang by BC Wireless Solutions's counsel. Both of those individuals are adverse in interest to BC Wireless Solutions and those extracts are admissible on the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did not swear or affirm his own affidavit in this proceeding. Instead, he relies on the affidavit of Madalena Merke, a paralegal at his counsel's firm. That affidavit attaches extracts from the examinations for discovery of Wang by plaintiff's counsel and BC Wireless Solutions's counsel. Those extracts are admissible against Wang on this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Merke's affidavit also attaches extracts of the examination for discovery of BC Wireless Solutions's representative by plaintiff's counsel. Again, that evidence is admissible against BC Wireless Solutions on this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Finally, Ms. Merke's affidavit attaches extracts from the examination for discovery of the Plaintiff by BC Wireless Solutions's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Even if the court had the discretion to grant leave to a party to tender their own examination for discovery evidence, about which I express no view, the Plaintiff did not seek leave of the court to tender extracts from his own examination for discovery at the summary trial application. That evidence is inadmissible.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leading authority on determining suitability for summary trial is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At para. 48, the Court of Appeal set out a number of factors to consider when determining whether it would be unjust to grant judgment in a summary trial, which include:</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money involved;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urgency;</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prejudice likely to arise by reason of delay;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taking the case forward in relation to the amount involved;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course of the proceedings;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matters which arise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 31, Justice D. Smith added the following factors to the list articulated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cost of the litigation and the time of the summary trial, whether credibility is a critical factor in the determination of the dispute, whether the summary trial may create an unnecessary complexity in the resolution of the dispute, and whether the application would result in litigating in slices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parties argue that the facts relevant to the issue of the defendants' liability are simple and the legal framework to be applied settled. BC Wireless Solutions submits it would not be unjust to decide the issue of the defendants' liability summarily. Relying on </w:t>
      </w:r>
      <w:r>
        <w:rPr>
          <w:rFonts w:ascii="arial" w:eastAsia="arial" w:hAnsi="arial" w:cs="arial"/>
          <w:i/>
          <w:color w:val="000000"/>
          <w:sz w:val="20"/>
          <w:lang w:val="en-US" w:eastAsia="en-US" w:bidi="ar-SA"/>
        </w:rPr>
        <w:t>Brissette v. Cactus Club Cabaret Ltd.</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2017 BCCA 200</w:t>
        </w:r>
      </w:hyperlink>
      <w:r>
        <w:rPr>
          <w:rFonts w:ascii="arial" w:eastAsia="arial" w:hAnsi="arial" w:cs="arial"/>
          <w:color w:val="000000"/>
          <w:sz w:val="20"/>
          <w:lang w:val="en-US" w:eastAsia="en-US" w:bidi="ar-SA"/>
        </w:rPr>
        <w:t xml:space="preserve"> at para. 22, BC Wireless Solutions submits that I should follow the Court of Appeal's encouragement "not to be timid" in considering suitability for summary trial and exercise my discretion to find the issue of liability suitable for summary trial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supports BC Wireless Solutions's position that the issue of the defendants' liability is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Rule 1-3(2) embraces the principle of proportionality. The use of summary trial generally or of an issue, where appropriate, is consistent with that principle. The amount of money at issue in this case is not substantial in comparison to many cases before this Court. The cost of litigation is likely to be reduced if the issue of liability is resolved. Credibility is not a critical factor in determination of the issues that arise with respect to liability, although there may be credibility issues with respect to the portions dealing with damages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would follow later and, likewise, the provocation claim of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and the parties do not feel that summary trial would create unnecessary complexity in the overall resolution of the dispute or result in litigating in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facts underpinning the defendants' liability are not in dispute and the legal issues are discrete and not overly complex. While there is no urgency, given that the trial is a year away, nonetheless, the parties will benefit from the certainty that flows from the resolution of the liability issue and the amount of time needed for the remaining issues will likely be greatly reduced, which may lead to a cost savings of some significance in relation to the scope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After considering the relevant factors on the record before me, I find the issue of the defendants' liability is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Assault and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provided no authority with respect to the legal elements of the torts of assault and battery and, indeed, the Plaintiff's submissions on this fundamental issue were extremely limited. As Mr. Justice Verhoeven wrote at para. 67 of </w:t>
      </w:r>
      <w:r>
        <w:rPr>
          <w:rFonts w:ascii="arial" w:eastAsia="arial" w:hAnsi="arial" w:cs="arial"/>
          <w:i/>
          <w:color w:val="000000"/>
          <w:sz w:val="20"/>
          <w:lang w:val="en-US" w:eastAsia="en-US" w:bidi="ar-SA"/>
        </w:rPr>
        <w:t>Kearns v. Marples</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2009 BCSC 802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Assault is the intentional creation of the apprehension of imminent harmful or offensive contact. Battery consists of intentionally causing a harmful or offensive contact with another person. Assault should be distinguished from battery, although the two are often blurred together and called "assault": Allen M. Linden and Bruce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8th ed. (LexisNexis Butterworths, 2006) at 46. In this case, as in most cases, blurring of the terms does not matter very much as the assault and the battery occurred in rapid succession, and for the purposes of assessment of damages, the assault is insignificant.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incident between the Plaintiff and Wang was recorded on video surveillance camera in the store and, as I noted, there is no audio. It shows an exchange between the Plaintiff and Wang which results in Wang striking the Plaintiff in what I find was a deliberate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on a balance of probabilities, that Wang committed a battery on the Plaintiff by intentionally engaging in offensive contact with him, namely the physical contact shown in the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However, a necessary element of the tort of assault is intention on the part of the defendant with respect to the consequences of his wrongful act: </w:t>
      </w:r>
      <w:r>
        <w:rPr>
          <w:rFonts w:ascii="arial" w:eastAsia="arial" w:hAnsi="arial" w:cs="arial"/>
          <w:i/>
          <w:color w:val="000000"/>
          <w:sz w:val="20"/>
          <w:lang w:val="en-US" w:eastAsia="en-US" w:bidi="ar-SA"/>
        </w:rPr>
        <w:t>M.(K.) v. M.(H.)</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xml:space="preserve"> at 25-26.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incident in this case happened very quickly. Based on the evidence before me, the battery was Wang's response, albeit an intentional and wrongful one, to an interaction with an "upset" customer who had created a threatening environment by being "rude and aggressive" towards Wang, including swearing at him with his voice raised. I do not mean to suggest the environment the Plaintiff created provides Wang with a defence to the tort of battery. The defence of self-defence was, as I noted earlier, not advanced, perhaps in recognition that Wang's physical reaction to the situation exceeded what could be considered reasonable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Further, the Plaintiff acknowledged at his examination for discovery conducted by BC Wireless Solutions's counsel that the interaction with Wang happened so quickly that he "didn't have time to think" and he did not remember being scared or frightened. I find the Plaintiff was not frightened by Wang's actions and I find that there is insufficient evidence before me to find, on a balance of probabilities, that Wang intended to cause fright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Finally, I am expressly not making any findings with respect to Wang's provocation claim, since that is a matter to be determined at the damages phase of this action. But I find the situation created by the Plaintiff to be a contextual factor I rely on in coming to the conclusion that, based on the evidence before me, I am not satisfied, on a balance of probabilities, that Wang intentionally created an apprehension of imminent harmful or offensive contact. Therefore, I dismiss the Plaintiff's claim that Wang committed the tort of assault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Vicarious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noted by BC Wireless Solutions, vicarious liability involves the imposing of tort liability on a party who did not actually commit the tortious act but is related to the tortfeasor through a specific relationship: John G.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9th ed. (Sydney: LBC Information Services,1998) at 409.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the context of employer/employee relationships, the Supreme Court of Canada held in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at para. 10, that determination of whether an employer will be vicariously liable for the acts of its employees is to be determined based on the </w:t>
      </w:r>
      <w:r>
        <w:rPr>
          <w:rFonts w:ascii="arial" w:eastAsia="arial" w:hAnsi="arial" w:cs="arial"/>
          <w:i/>
          <w:color w:val="000000"/>
          <w:sz w:val="20"/>
          <w:lang w:val="en-US" w:eastAsia="en-US" w:bidi="ar-SA"/>
        </w:rPr>
        <w:t>Salmond</w:t>
      </w:r>
      <w:r>
        <w:rPr>
          <w:rFonts w:ascii="arial" w:eastAsia="arial" w:hAnsi="arial" w:cs="arial"/>
          <w:color w:val="000000"/>
          <w:sz w:val="20"/>
          <w:lang w:val="en-US" w:eastAsia="en-US" w:bidi="ar-SA"/>
        </w:rPr>
        <w:t xml:space="preserve"> test , which holds employers responsible for:</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employees' acts authorized by the employer; and</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unauthorized acts that are so connected with authorized acts that they may be regarded as modes of doing an authorized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parties agree the evidence demonstrates that BC Wireless Solutions did not authorize Wang to engage in violence against its customers. Accordingly, the vicarious liability issues before me for summary trial will be determined by the second stage of the </w:t>
      </w:r>
      <w:r>
        <w:rPr>
          <w:rFonts w:ascii="arial" w:eastAsia="arial" w:hAnsi="arial" w:cs="arial"/>
          <w:i/>
          <w:color w:val="000000"/>
          <w:sz w:val="20"/>
          <w:lang w:val="en-US" w:eastAsia="en-US" w:bidi="ar-SA"/>
        </w:rPr>
        <w:t>Salmond</w:t>
      </w:r>
      <w:r>
        <w:rPr>
          <w:rFonts w:ascii="arial" w:eastAsia="arial" w:hAnsi="arial" w:cs="arial"/>
          <w:color w:val="000000"/>
          <w:sz w:val="20"/>
          <w:lang w:val="en-US" w:eastAsia="en-US" w:bidi="ar-SA"/>
        </w:rPr>
        <w:t xml:space="preser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second stage of the </w:t>
      </w:r>
      <w:r>
        <w:rPr>
          <w:rFonts w:ascii="arial" w:eastAsia="arial" w:hAnsi="arial" w:cs="arial"/>
          <w:i/>
          <w:color w:val="000000"/>
          <w:sz w:val="20"/>
          <w:lang w:val="en-US" w:eastAsia="en-US" w:bidi="ar-SA"/>
        </w:rPr>
        <w:t>Salmond</w:t>
      </w:r>
      <w:r>
        <w:rPr>
          <w:rFonts w:ascii="arial" w:eastAsia="arial" w:hAnsi="arial" w:cs="arial"/>
          <w:color w:val="000000"/>
          <w:sz w:val="20"/>
          <w:lang w:val="en-US" w:eastAsia="en-US" w:bidi="ar-SA"/>
        </w:rPr>
        <w:t xml:space="preserve"> test, involving an employer's vicarious liability for unauthorized acts of its employees also breaks down into two separate inquiries as noted in para. 15 of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This is a quote from that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 First, a court should determine whether there are precedents which unambiguously determine on which side of the line between vicarious liability and no liability the case falls. If prior cases do not clearly suggest a solution, the next step is to determine whether vicarious liability should be imposed in light of the broader policy rationales behind strict liability. ...</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Second Stage of the Salmond test - First Inquiry - Precedents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BC Wireless Solutions argue the precedents are determinative that employers are not vicariously liable for "random acts of violence perpetrated by employees while they are at work" and, therefore, vicarious liability does not apply in the circumstances of this action. BC Wireless Solutions relies on the following cases in support of its position:</w:t>
      </w:r>
      <w:r>
        <w:rPr>
          <w:rFonts w:ascii="arial" w:eastAsia="arial" w:hAnsi="arial" w:cs="arial"/>
          <w:sz w:val="20"/>
          <w:lang w:val="en-US" w:eastAsia="en-US" w:bidi="ar-SA"/>
        </w:rPr>
        <w:cr/>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Cave v. Ritchie Motors Ltd. et al</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(1972), 34 D.L.R. (3d) 141</w:t>
        </w:r>
      </w:hyperlink>
      <w:r>
        <w:rPr>
          <w:rFonts w:ascii="arial" w:eastAsia="arial" w:hAnsi="arial" w:cs="arial"/>
          <w:color w:val="000000"/>
          <w:sz w:val="20"/>
          <w:lang w:val="en-US" w:eastAsia="en-US" w:bidi="ar-SA"/>
        </w:rPr>
        <w:t xml:space="preserve"> (B.C.S.C.);</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Griggs v. Southside Hotel Ltd. and German</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[1947] O.R. 674</w:t>
        </w:r>
      </w:hyperlink>
      <w:r>
        <w:rPr>
          <w:rFonts w:ascii="arial" w:eastAsia="arial" w:hAnsi="arial" w:cs="arial"/>
          <w:color w:val="000000"/>
          <w:sz w:val="20"/>
          <w:lang w:val="en-US" w:eastAsia="en-US" w:bidi="ar-SA"/>
        </w:rPr>
        <w:t xml:space="preserve"> (C.A.);</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Brezinski v. Schultz</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[1975] 3 W.W.R. 467</w:t>
        </w:r>
      </w:hyperlink>
      <w:r>
        <w:rPr>
          <w:rFonts w:ascii="arial" w:eastAsia="arial" w:hAnsi="arial" w:cs="arial"/>
          <w:color w:val="000000"/>
          <w:sz w:val="20"/>
          <w:lang w:val="en-US" w:eastAsia="en-US" w:bidi="ar-SA"/>
        </w:rPr>
        <w:t xml:space="preserve"> (S.K.Q.B.);</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McLeod v. Murphy</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[1987] B.C.J. No. 2345</w:t>
        </w:r>
      </w:hyperlink>
      <w:r>
        <w:rPr>
          <w:rFonts w:ascii="arial" w:eastAsia="arial" w:hAnsi="arial" w:cs="arial"/>
          <w:color w:val="000000"/>
          <w:sz w:val="20"/>
          <w:lang w:val="en-US" w:eastAsia="en-US" w:bidi="ar-SA"/>
        </w:rPr>
        <w:t xml:space="preserve"> (C.A.);</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Morphy v. Harwood Hotel et al.</w:t>
      </w:r>
      <w:r>
        <w:rPr>
          <w:rFonts w:ascii="arial" w:eastAsia="arial" w:hAnsi="arial" w:cs="arial"/>
          <w:color w:val="000000"/>
          <w:sz w:val="20"/>
          <w:lang w:val="en-US" w:eastAsia="en-US" w:bidi="ar-SA"/>
        </w:rPr>
        <w:t>, 1984 CanLII 198 (S.K.Q.B.);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Sirois v. Gustafson</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2002 SKQB 452</w:t>
        </w:r>
      </w:hyperlink>
      <w:r>
        <w:rPr>
          <w:rFonts w:ascii="arial" w:eastAsia="arial" w:hAnsi="arial" w:cs="arial"/>
          <w:color w:val="000000"/>
          <w:sz w:val="20"/>
          <w:lang w:val="en-US" w:eastAsia="en-US" w:bidi="ar-SA"/>
        </w:rPr>
        <w:t xml:space="preserve"> (CanLII).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argues the precedents establish vicarious liability applies in this case, relying on the following cases:</w:t>
      </w:r>
      <w:r>
        <w:rPr>
          <w:rFonts w:ascii="arial" w:eastAsia="arial" w:hAnsi="arial" w:cs="arial"/>
          <w:sz w:val="20"/>
          <w:lang w:val="en-US" w:eastAsia="en-US" w:bidi="ar-SA"/>
        </w:rPr>
        <w:cr/>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Van Hartevelt v. Grewal</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2012 BCSC 658</w:t>
        </w:r>
      </w:hyperlink>
      <w:r>
        <w:rPr>
          <w:rFonts w:ascii="arial" w:eastAsia="arial" w:hAnsi="arial" w:cs="arial"/>
          <w:color w:val="000000"/>
          <w:sz w:val="20"/>
          <w:lang w:val="en-US" w:eastAsia="en-US" w:bidi="ar-SA"/>
        </w:rPr>
        <w:t>; and</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British Columbia Ferry Corporation v. Invicta Security Service Corporation</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[1998] 3 W.W.R. 121</w:t>
        </w:r>
      </w:hyperlink>
      <w:r>
        <w:rPr>
          <w:rFonts w:ascii="arial" w:eastAsia="arial" w:hAnsi="arial" w:cs="arial"/>
          <w:color w:val="000000"/>
          <w:sz w:val="20"/>
          <w:lang w:val="en-US" w:eastAsia="en-US" w:bidi="ar-SA"/>
        </w:rPr>
        <w:t xml:space="preserve"> (B.C.S.C.), aff'd </w:t>
      </w:r>
      <w:hyperlink r:id="rId415" w:history="1">
        <w:r>
          <w:rPr>
            <w:rFonts w:ascii="arial" w:eastAsia="arial" w:hAnsi="arial" w:cs="arial"/>
            <w:i/>
            <w:color w:val="0077CC"/>
            <w:sz w:val="20"/>
            <w:u w:val="single"/>
            <w:shd w:val="clear" w:color="auto" w:fill="FFFFFF"/>
            <w:lang w:val="en-US" w:eastAsia="en-US" w:bidi="ar-SA"/>
          </w:rPr>
          <w:t>[1999] 4 W.W.R. 536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my view, these cases are all distinguishable from the circumstances of the case before me. None of the cases relied on by either party </w:t>
      </w:r>
      <w:r>
        <w:rPr>
          <w:rFonts w:ascii="arial" w:eastAsia="arial" w:hAnsi="arial" w:cs="arial"/>
          <w:color w:val="000000"/>
          <w:sz w:val="20"/>
          <w:u w:val="single"/>
          <w:lang w:val="en-US" w:eastAsia="en-US" w:bidi="ar-SA"/>
        </w:rPr>
        <w:t>unambiguously determines</w:t>
      </w:r>
      <w:r>
        <w:rPr>
          <w:rFonts w:ascii="arial" w:eastAsia="arial" w:hAnsi="arial" w:cs="arial"/>
          <w:color w:val="000000"/>
          <w:sz w:val="20"/>
          <w:lang w:val="en-US" w:eastAsia="en-US" w:bidi="ar-SA"/>
        </w:rPr>
        <w:t xml:space="preserve"> whether or not an employer of a keyholder employee, working alone, and given responsibility for the employer's retail store, is vicariously liable for an assault or battery committed by that employee on a customer in the course of a commercial interaction.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It is therefore necessary to turn to the second prong of the second stage of the </w:t>
      </w:r>
      <w:r>
        <w:rPr>
          <w:rFonts w:ascii="arial" w:eastAsia="arial" w:hAnsi="arial" w:cs="arial"/>
          <w:i/>
          <w:color w:val="000000"/>
          <w:sz w:val="20"/>
          <w:lang w:val="en-US" w:eastAsia="en-US" w:bidi="ar-SA"/>
        </w:rPr>
        <w:t>Salmond</w:t>
      </w:r>
      <w:r>
        <w:rPr>
          <w:rFonts w:ascii="arial" w:eastAsia="arial" w:hAnsi="arial" w:cs="arial"/>
          <w:color w:val="000000"/>
          <w:sz w:val="20"/>
          <w:lang w:val="en-US" w:eastAsia="en-US" w:bidi="ar-SA"/>
        </w:rPr>
        <w:t xml:space="preserve"> test, namely whether vicarious liability should be imposed in light of the broader policy rationales behind vicarious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Second stage of the Salmond test - Second Inquiry -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at para. 29, the Supreme Court of Canada articulated the policy rationales for the imposition of vicarious liability: namely, victim compensation and deterrence from future harm. In addition, the court provided guidance to assist courts when considering claims for vicarious liability that were not conclusively determined by precedent. At para. 41 of her judgment on behalf of a unanimous court, McLachlin J., as she then was,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Reviewing the jurisprudence, and considering the policy issues involved, I conclude that in determining whether an employer is vicariously liable for an employee's unauthorized, intentional wrong in cases where precedent is inconclusive, courts should be guided by the following principles:</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openly confront the question of whether liability should lie against the employer, rather than obscuring the decision beneath semantic discussions of "scope of employment" and "mode of conduct".</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fundamental question is whether the wrongful act is </w:t>
      </w:r>
      <w:r>
        <w:rPr>
          <w:rFonts w:ascii="arial" w:eastAsia="arial" w:hAnsi="arial" w:cs="arial"/>
          <w:color w:val="000000"/>
          <w:sz w:val="20"/>
          <w:u w:val="single"/>
          <w:lang w:val="en-US" w:eastAsia="en-US" w:bidi="ar-SA"/>
        </w:rPr>
        <w:t>sufficiently related</w:t>
      </w:r>
      <w:r>
        <w:rPr>
          <w:rFonts w:ascii="arial" w:eastAsia="arial" w:hAnsi="arial" w:cs="arial"/>
          <w:color w:val="000000"/>
          <w:sz w:val="20"/>
          <w:lang w:val="en-US" w:eastAsia="en-US" w:bidi="ar-SA"/>
        </w:rPr>
        <w:t xml:space="preserve"> to conduct authorized by the employer to justify the imposition of vicarious liability. Vicarious liability is generally appropriate where there is a significant connection between the </w:t>
      </w:r>
      <w:r>
        <w:rPr>
          <w:rFonts w:ascii="arial" w:eastAsia="arial" w:hAnsi="arial" w:cs="arial"/>
          <w:color w:val="000000"/>
          <w:sz w:val="20"/>
          <w:u w:val="single"/>
          <w:lang w:val="en-US" w:eastAsia="en-US" w:bidi="ar-SA"/>
        </w:rPr>
        <w:t>creation or enhancement of a risk</w:t>
      </w:r>
      <w:r>
        <w:rPr>
          <w:rFonts w:ascii="arial" w:eastAsia="arial" w:hAnsi="arial" w:cs="arial"/>
          <w:color w:val="000000"/>
          <w:sz w:val="20"/>
          <w:lang w:val="en-US" w:eastAsia="en-US" w:bidi="ar-SA"/>
        </w:rPr>
        <w:t xml:space="preserve"> and the wrong that accrues therefrom, even if unrelated to the employer's desires. Where this is so, vicarious liability will serve the policy considerations of provision of an adequate and just remedy and deterrence. Incidental connections to the employment enterprise, like time and place (without more), will not suffice. Once engaged in a particular business, it is fair that an employer be made to pay the generally foreseeable costs of that business. In contrast, to impose liability for costs unrelated to the risk would effectively make the employer an involuntary insurer.</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determining the sufficiency of the connection between </w:t>
      </w:r>
      <w:r>
        <w:rPr>
          <w:rFonts w:ascii="arial" w:eastAsia="arial" w:hAnsi="arial" w:cs="arial"/>
          <w:color w:val="000000"/>
          <w:sz w:val="20"/>
          <w:u w:val="single"/>
          <w:lang w:val="en-US" w:eastAsia="en-US" w:bidi="ar-SA"/>
        </w:rPr>
        <w:t>the employer's creation or enhancement of the risk</w:t>
      </w:r>
      <w:r>
        <w:rPr>
          <w:rFonts w:ascii="arial" w:eastAsia="arial" w:hAnsi="arial" w:cs="arial"/>
          <w:color w:val="000000"/>
          <w:sz w:val="20"/>
          <w:lang w:val="en-US" w:eastAsia="en-US" w:bidi="ar-SA"/>
        </w:rPr>
        <w:t xml:space="preserve"> and the wrong complained of, subsidiary factors may be considered. These may vary with the nature of the case. When related to intentional torts, the relevant factors may include, but are not limited to, the following:</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opportunity that the enterprise afforded the employee to abuse his or her power;</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wrongful act may have furthered the employer's aims (and hence be more likely to have been committed by the employee);</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wrongful act was related to friction, confrontation or intimacy inherent in the employer's enterprise;</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power conferred on the employee in relation to the victim;</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vulnerability of potential victims to wrongful exercise of the employee's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at para. 42, the court made the following comment about intentional tortious acts by employees, and this is part of the quote: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 an incidental or random attack by an employee that merely happens to take place on the employer's premises during working hours will scarcely justify holding the employer liable. Such an attack is unlikely to be related to the business the employer is conducting or what the employee was asked to do and, hence, to any risk that was created. Nor is the imposition of liability likely to have a significant deterrent effect; short of closing the premises or discharging all employees, little can be done to avoid the random wrong. Nor is foreseeability of harm used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the test. What is required is a material increase in the risk as a consequence of the employer's enterprise and the duties he entrusted to the employee, mindful of the policies behind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Therefore, the fundamental question before me is whether Wang's wrongful act is sufficiently related to conduct authorized by BC Wireless Solutions based on a significant connection between the creation or enhancement of a risk by BC Wireless Solutions and the wrongful act of Wang, in this case the battery. If so, the imposition of vicarious liability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argues that after applying the factors set out in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the requisite significant connection between BC Wireless Solutions's creation and enhancement of the risk of harm and the battery is established. It argues that this conclusion is justified for the following reasons:</w:t>
      </w:r>
      <w:r>
        <w:rPr>
          <w:rFonts w:ascii="arial" w:eastAsia="arial" w:hAnsi="arial" w:cs="arial"/>
          <w:sz w:val="20"/>
          <w:lang w:val="en-US" w:eastAsia="en-US" w:bidi="ar-SA"/>
        </w:rPr>
        <w:cr/>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BC Wireless Solutions created the opportunity for Wang to abuse his power by permitting him to work alone in the Store, making him the person in charge;</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Wang's evidence was that he suspected the Plaintiff was attempting to defraud BC Wireless Solutions by seeking a discount BC Wireless Solutions provided to government employees to which the Plaintiff was not entitled, and it was Wang's demands for information to support the validity of the Plaintiff's request for the discount which caused the Plaintiff to become upset and swear at Wang;</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verbal exchange between Wang and the Plaintiff was an interaction focused on BC Wireless Solutions's business and the potential for friction and confrontation within the context of those commercial interactions was known to BC Wireless Solutions, who had established a policy which included "ways to deal with angry customers";</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BC Wireless Solutions conferred the authority on Wang to question customers and order them out of the Store, which the Plaintiff argues were both linked to the battery by Wang; and</w:t>
      </w:r>
    </w:p>
    <w:p>
      <w:pPr>
        <w:numPr>
          <w:numId w:val="4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any customer entering the Store would be vulnerable to a physical attack by an employee which they would not be expecting.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contrast, BC Wireless Solutions submits that even if I find the question of vicarious liability is not determined by precedence, the policy rationales of vicarious liability do not support the imposition of vicarious liability in this case. BC Wireless Solutions argues that what occurred in this case was a classic random attack by Wang that merely happened to take place on its premises during working hours and that vicarious liability cannot be applied to an action by Wang that was "directly contrary to [BC Wireless Solutions's] express policies and which was totally unconnected to Wang's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BC Wireless Solutions argues that, at most, the battery of the Plaintiff by Wang had an "incidental connection" to Wang's employment, limited to "time and space", and that "it is not foreseeable that employing an individual as a cellphone salesperson would give rise to a violent assault on a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BC Wireless Solutions relies on </w:t>
      </w:r>
      <w:r>
        <w:rPr>
          <w:rFonts w:ascii="arial" w:eastAsia="arial" w:hAnsi="arial" w:cs="arial"/>
          <w:i/>
          <w:color w:val="000000"/>
          <w:sz w:val="20"/>
          <w:lang w:val="en-US" w:eastAsia="en-US" w:bidi="ar-SA"/>
        </w:rPr>
        <w:t>Ivic v. Lakovic</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2017 ONCA 446</w:t>
        </w:r>
      </w:hyperlink>
      <w:r>
        <w:rPr>
          <w:rFonts w:ascii="arial" w:eastAsia="arial" w:hAnsi="arial" w:cs="arial"/>
          <w:color w:val="000000"/>
          <w:sz w:val="20"/>
          <w:lang w:val="en-US" w:eastAsia="en-US" w:bidi="ar-SA"/>
        </w:rPr>
        <w:t xml:space="preserve">, in support of its position. In </w:t>
      </w:r>
      <w:r>
        <w:rPr>
          <w:rFonts w:ascii="arial" w:eastAsia="arial" w:hAnsi="arial" w:cs="arial"/>
          <w:i/>
          <w:color w:val="000000"/>
          <w:sz w:val="20"/>
          <w:lang w:val="en-US" w:eastAsia="en-US" w:bidi="ar-SA"/>
        </w:rPr>
        <w:t>Ivic</w:t>
      </w:r>
      <w:r>
        <w:rPr>
          <w:rFonts w:ascii="arial" w:eastAsia="arial" w:hAnsi="arial" w:cs="arial"/>
          <w:color w:val="000000"/>
          <w:sz w:val="20"/>
          <w:lang w:val="en-US" w:eastAsia="en-US" w:bidi="ar-SA"/>
        </w:rPr>
        <w:t xml:space="preserve">, the court was called upon to consider the trial judge's application of the law of vicarious liability of a taxi company in the context of a sexual assault allegedly committed by one of its drivers. In the court's analysis, it reviewed the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factor and ultimately found the motions judge had made no error in concluding that the taxi company did not significantly or materially increase the risk of the Plaintiff being sexually assaulted by permitting that particular taxi driver to drive the there-appellant.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BC Wireless Solutions draws parallels between the Ontario Court of Appeal's findings in </w:t>
      </w:r>
      <w:r>
        <w:rPr>
          <w:rFonts w:ascii="arial" w:eastAsia="arial" w:hAnsi="arial" w:cs="arial"/>
          <w:i/>
          <w:color w:val="000000"/>
          <w:sz w:val="20"/>
          <w:lang w:val="en-US" w:eastAsia="en-US" w:bidi="ar-SA"/>
        </w:rPr>
        <w:t>Ivic</w:t>
      </w:r>
      <w:r>
        <w:rPr>
          <w:rFonts w:ascii="arial" w:eastAsia="arial" w:hAnsi="arial" w:cs="arial"/>
          <w:color w:val="000000"/>
          <w:sz w:val="20"/>
          <w:lang w:val="en-US" w:eastAsia="en-US" w:bidi="ar-SA"/>
        </w:rPr>
        <w:t xml:space="preserve"> with respect to the various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factors and the circumstances of this case. It argues it did not confer any power on Wang over prospective customers and Wang was given little opportunity to abuse his power compared to the taxi driver in </w:t>
      </w:r>
      <w:r>
        <w:rPr>
          <w:rFonts w:ascii="arial" w:eastAsia="arial" w:hAnsi="arial" w:cs="arial"/>
          <w:i/>
          <w:color w:val="000000"/>
          <w:sz w:val="20"/>
          <w:lang w:val="en-US" w:eastAsia="en-US" w:bidi="ar-SA"/>
        </w:rPr>
        <w:t>Ivic</w:t>
      </w:r>
      <w:r>
        <w:rPr>
          <w:rFonts w:ascii="arial" w:eastAsia="arial" w:hAnsi="arial" w:cs="arial"/>
          <w:color w:val="000000"/>
          <w:sz w:val="20"/>
          <w:lang w:val="en-US" w:eastAsia="en-US" w:bidi="ar-SA"/>
        </w:rPr>
        <w:t>. In addition, the Plaintiff in this case, they argue, was not inherently vulnerable, and while occasional confrontation or friction can be expected in a sales position like Wang's, its policies prohibited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However, the same policy referred to by BC Wireless Solutions clearly contemplates that dealing with customers who are angry, abusive, or irate is part of the salesperson's job. Further, in directing the ways in which its employees are to "deal with angry customers", staff are advised to "take your manager's help if needed", but in this case, there was no manager working with Wang. Instead, BC Wireless Solutions conferred on Wang the power to decide how to carry out his employment responsibilities of dealing with angry customers, in this case the Plaintiff. That included how to treat customers and how to deal with angry customers and how to carry out his responsibility to guard against potential customer fraud, which was also part of his employment responsibilities. At the time of the incident, Wang was in charge of the Store. Any and all customers had to deal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Although I found the cases relied on by the parties under the "determinative precedent" stage of the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inquiry did not unambiguously determine whether vicarious liability applies in this case, many of those cases are, nonetheless, helpful in this stage of the analysis. In all but one of the cases relied on by BC Wireless Solutions and where vicarious liability was not imposed, the employee had not been left alone by the employer. That is different from the facts in this case. Wang was left alone and was the keyholder responsible for the Store at the time of the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one case relied on by BC Wireless Solutions where an individual tortfeasor was alone, that is the </w:t>
      </w:r>
      <w:r>
        <w:rPr>
          <w:rFonts w:ascii="arial" w:eastAsia="arial" w:hAnsi="arial" w:cs="arial"/>
          <w:i/>
          <w:color w:val="000000"/>
          <w:sz w:val="20"/>
          <w:lang w:val="en-US" w:eastAsia="en-US" w:bidi="ar-SA"/>
        </w:rPr>
        <w:t>Sirois</w:t>
      </w:r>
      <w:r>
        <w:rPr>
          <w:rFonts w:ascii="arial" w:eastAsia="arial" w:hAnsi="arial" w:cs="arial"/>
          <w:color w:val="000000"/>
          <w:sz w:val="20"/>
          <w:lang w:val="en-US" w:eastAsia="en-US" w:bidi="ar-SA"/>
        </w:rPr>
        <w:t xml:space="preserve"> case, involved an independent contractor, not an employee, and although the contractor was driving the truck, the employer, and I use that simply to identify the party, the employer had leased and assigned to the driver for his use, the case does not indicate that the defendant had actually been working at the time of the assault. Further, although the case postdates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it makes no reference to the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case or the analysis which is required by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However, the </w:t>
      </w:r>
      <w:r>
        <w:rPr>
          <w:rFonts w:ascii="arial" w:eastAsia="arial" w:hAnsi="arial" w:cs="arial"/>
          <w:i/>
          <w:color w:val="000000"/>
          <w:sz w:val="20"/>
          <w:lang w:val="en-US" w:eastAsia="en-US" w:bidi="ar-SA"/>
        </w:rPr>
        <w:t>British Columbia Ferry Corp</w:t>
      </w:r>
      <w:r>
        <w:rPr>
          <w:rFonts w:ascii="arial" w:eastAsia="arial" w:hAnsi="arial" w:cs="arial"/>
          <w:color w:val="000000"/>
          <w:sz w:val="20"/>
          <w:lang w:val="en-US" w:eastAsia="en-US" w:bidi="ar-SA"/>
        </w:rPr>
        <w:t>. case relied on by the Plaintiff is analogous to the situation in this case. In that case, the late Mr. Justice Edwards wrote at paras. 32-33: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other words, where an employee is given authority which amounts to "total intervention" or control which is then misused through the perpetration of a deliberate wrongful act, the employer will be vicariously liable. Where, as here, a security company gives a security guard exclusive responsibility for security of premises amounting to effective total control of those premises, while the employee is in sole charge of them, it has put any employee who might be criminally inclined in a position to pursue that inclination, and is therefore vicariously liable on the reasoning of the cases culminating with the </w:t>
      </w:r>
      <w:r>
        <w:rPr>
          <w:rFonts w:ascii="arial" w:eastAsia="arial" w:hAnsi="arial" w:cs="arial"/>
          <w:i/>
          <w:color w:val="000000"/>
          <w:sz w:val="20"/>
          <w:lang w:val="en-US" w:eastAsia="en-US" w:bidi="ar-SA"/>
        </w:rPr>
        <w:t>Photo Production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Ltd. v. Securicor Transport Ltd.</w:t>
      </w:r>
      <w:r>
        <w:rPr>
          <w:rFonts w:ascii="arial" w:eastAsia="arial" w:hAnsi="arial" w:cs="arial"/>
          <w:color w:val="000000"/>
          <w:sz w:val="20"/>
          <w:lang w:val="en-US" w:eastAsia="en-US" w:bidi="ar-SA"/>
        </w:rPr>
        <w:t>, [1978] 3 All E.R. 146 (C.A.)]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 plaintiff or others engaging security companies, have contracted to have their premises secured rather than screen and employ their own staff to carry out that function. They rely on the security company to employ reliable personnel. When the personnel employed prove not to be reliable, it seems logical that the party with control over the hiring and supervision of the employees should bear the legal responsibility for the tortious acts of those employees, whether negligent or deliberate.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find the analysis of the </w:t>
      </w:r>
      <w:r>
        <w:rPr>
          <w:rFonts w:ascii="arial" w:eastAsia="arial" w:hAnsi="arial" w:cs="arial"/>
          <w:i/>
          <w:color w:val="000000"/>
          <w:sz w:val="20"/>
          <w:lang w:val="en-US" w:eastAsia="en-US" w:bidi="ar-SA"/>
        </w:rPr>
        <w:t>British Columbia Ferry Corp</w:t>
      </w:r>
      <w:r>
        <w:rPr>
          <w:rFonts w:ascii="arial" w:eastAsia="arial" w:hAnsi="arial" w:cs="arial"/>
          <w:color w:val="000000"/>
          <w:sz w:val="20"/>
          <w:lang w:val="en-US" w:eastAsia="en-US" w:bidi="ar-SA"/>
        </w:rPr>
        <w:t xml:space="preserve">. case to be apposite here. That BC Wireless Solutions does not authorize its employees to engage in violence against customers and has expressly prohibited violence by its employees through its policy is not denied. However, the fact that the wrongful act is prohibited by an employer does not relieve an employer from vicarious liability. The entire second stage of the </w:t>
      </w:r>
      <w:r>
        <w:rPr>
          <w:rFonts w:ascii="arial" w:eastAsia="arial" w:hAnsi="arial" w:cs="arial"/>
          <w:i/>
          <w:color w:val="000000"/>
          <w:sz w:val="20"/>
          <w:lang w:val="en-US" w:eastAsia="en-US" w:bidi="ar-SA"/>
        </w:rPr>
        <w:t>Bazley</w:t>
      </w:r>
      <w:r>
        <w:rPr>
          <w:rFonts w:ascii="arial" w:eastAsia="arial" w:hAnsi="arial" w:cs="arial"/>
          <w:color w:val="000000"/>
          <w:sz w:val="20"/>
          <w:lang w:val="en-US" w:eastAsia="en-US" w:bidi="ar-SA"/>
        </w:rPr>
        <w:t xml:space="preserve"> analysis focused on the fact that the act is unauthorized. The question is whether the wrongful act is sufficiently related to conduct authorized by the employer to justify the imposition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find Wang committed the battery as an improper and unlawful response to what BC Wireless Solutions acknowledges was a conversation involving a commercial transaction related to its business. Wang was trained to watch out for attempts by customers to obtain discounts to which they were not entitled and sought verification of the Plaintiff's entitlement to the discount. This caused the Plaintiff to become upset and aggressive towards Wang. It was part of Wang's employment responsibilities to "deal with angry customers". Wang's battery of the Plaintiff was how he chose to deal with an angry customer. I find there is a significant connection between the conversation which created the friction and risk, and the intentional and wrongful battery of the Plaintiff by 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no doubt the application of vicarious liability in this case will serve the objective of victim compensation, since joint and several liability amongst defendants may make it more likely the Plaintiff will be able to recover whatever damages may be awarded. The imposition of vicarious liability in this case also serves the objective of deterring future harm. Where an employer gives an employee responsibility for and control of its operation and while the employee is in charge of the operation, it has put any employee who might be criminally inclined or inclined to commit an intentional wrongful tort in a position to pursue those inclinations. Therefore, the employer is vicarious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When an employee proves unreliable, it seems logical that the employer who controlled their hiring and is responsible for their overall supervision should be the one to bear the legal responsibility for the tortious acts of those employees, whether negligent or deliberate.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BC Wireless Solutions is vicarious liable for Wang's battery of the Plaintiff. The two defendants are jointly and severally liable for that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and Occupier's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a result of my conclusion that BC Wireless Solutions is vicarious liable for Wang's tortious battery of the Plaintiff, it is not necessary for me to adjust the Plaintiff's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occupier's liability and I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make no order as to costs. That issue can be addressed after the remaining issues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provocation, and damages have been determined.</w:t>
      </w:r>
      <w:r>
        <w:rPr>
          <w:rFonts w:ascii="arial" w:eastAsia="arial" w:hAnsi="arial" w:cs="arial"/>
          <w:sz w:val="20"/>
          <w:lang w:val="en-US" w:eastAsia="en-US" w:bidi="ar-SA"/>
        </w:rPr>
        <w:cr/>
      </w:r>
    </w:p>
    <w:p>
      <w:pPr>
        <w:numPr>
          <w:numId w:val="4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JACKSON J.</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1"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Hamilton v. The Owners, Strata Plan VIS3782, [2019] I.L.R. para. G-2825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September 17,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S161520</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I.L.R. para. G-2825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[2018] B.C.J. No. 3201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2018 BCSC 1585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William Hamilton v. The Owners, Strata Plan VIS3782 (Broadmead Terrace) and Boorman Investment Co. Ltd.</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2"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0" w:name="Keywords_5"/>
      <w:bookmarkEnd w:id="60"/>
      <w:r>
        <w:rPr>
          <w:rFonts w:ascii="arial" w:eastAsia="arial" w:hAnsi="arial" w:cs="arial"/>
          <w:b/>
          <w:color w:val="000000"/>
          <w:sz w:val="20"/>
          <w:lang w:val="en-US" w:eastAsia="en-US" w:bidi="ar-SA"/>
        </w:rPr>
        <w:t xml:space="preserve">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Occupier's liability — Strata corporation — Fall — Outdoor bench — In December 2015, plaintiff was injured after he fell while getting up from outdoor wooden bench — Bench was located on grounds of condominium complex owned by defendant — As plaintiff put his weight on armrest, it broke off — Plaintiff brought summary trial application, seeking damages for defendant's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 argued its garden committee regularly "rattled" benches to ensure they were in good condition — Expert evidence indicated that wooden benches, when exposed to elements, deteriorate in very spot where armrest broke off — It was possible to infer there was defect or deterioration in bench that caused armrest to break off — Plaintiff did not establish that presence of defect amounted to objectively unreasonable risk of harm — Defendant had not received any complaints about bench and did not know of any defect — Benches were inspected regularly by garden committee — Plaintiff's expert submitted that inspection of bench should be done only at least once per year — There was no evidence that defect would have been present or detectable on inspection in spring that preceded incident — Plaintiff failed to establish that defendant breached standard of care - - Application dismissed — Occupiers Liability Act, </w:t>
      </w:r>
      <w:hyperlink r:id="rId425" w:history="1">
        <w:r>
          <w:rPr>
            <w:rFonts w:ascii="arial" w:eastAsia="arial" w:hAnsi="arial" w:cs="arial"/>
            <w:b/>
            <w:i/>
            <w:color w:val="0077CC"/>
            <w:sz w:val="20"/>
            <w:u w:val="single"/>
            <w:shd w:val="clear" w:color="auto" w:fill="FFFFFF"/>
            <w:lang w:val="en-US" w:eastAsia="en-US" w:bidi="ar-SA"/>
          </w:rPr>
          <w:t>RSBC 1996, c. 337, s. 3</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1" w:name="Case Summary_5"/>
            <w:bookmarkEnd w:id="61"/>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December 2015, the plaintiff was injured after he fell while getting up from an outdoor wooden bench located on the grounds of the condominium complex owned by the defendant strata plan. As the plaintiff put his weight on the armrest, it broke off, causing the plaintiff to lose his balance, fall, and break his hip. At the time of the incident, the plaintiff was 75 years old. He had gone on a walk and found the bench at the head of a flight of stairs near the condominium entrance. The plaintiff claimed that the bench looked old. There was no evidence as to the precise age of the bench.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brought a summary trial application, seeking damages for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or common law. The defendant argued it had an adequate, albeit informal, system of inspection which had not revealed problems with the bench. The defendant's volunteer garden committee was responsible for the benches and reported to the defendant once per month. The benches were periodically "rattled" to ensure they were in good condition.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2" w:name="Holdings of Court_5"/>
            <w:bookmarkEnd w:id="62"/>
            <w:r>
              <w:rPr>
                <w:rFonts w:ascii="arial" w:eastAsia="arial" w:hAnsi="arial" w:cs="arial"/>
                <w:color w:val="000000"/>
                <w:sz w:val="20"/>
                <w:lang w:val="en-US" w:eastAsia="en-US" w:bidi="ar-SA"/>
              </w:rPr>
              <w:t>HELD: The 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applicant had to prove what hazard or condition caused the fall and that the defendant's breach of its duty of care caused the hazard or condition to be present. The expert evidence indicated that a wooden bench, when exposed to the elements, deteriorates over time and that the bench at issue broke in the very spot where deterioration is most likely to occur. Accordingly, it was possible to infer that there was a defect or deterioration in the bench that cased the armrest to break off. The Court did not find that the plaintiff established, however, that the presence of the defect amounted to an objectively unreasonable risk of harm. The evidence was clear that the defendant had not received any complaints about the bench and did not know of any defect. The benches were inspected regularly by the garden committee. The plaintiff's expert had submitted that a detailed inspection of the bench should be done only at least once per year. The logical time to perform such an inspection would be in the spring. There was no evidence that the defect that caused the fall would have been present or detectable on an inspection in the spring preceding the incident. Having regard to the above, the plaintiff failed to establish that the defendant breached its standard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3" w:name="Counsel_11"/>
      <w:bookmarkEnd w:id="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3"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 Dudding for the plaintiff; J. Forsythe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4" w:name="Judgment_10"/>
      <w:bookmarkEnd w:id="64"/>
      <w:r>
        <w:pict>
          <v:line id="_x0000_s1074" style="position:absolute;z-index:2517729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5" w:name="N.H. SMITH J."/>
            <w:bookmarkEnd w:id="65"/>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injured when he fell while getting up from a wooden bench he had been sitting on. An armrest broke away from the bench when the plaintiff put his weight on it. That caused him to lose his balance and fall to the ground, breaking his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bench was located on the grounds of Broadmead Terrace, a five-building condominium complex in Saanich, British Columbia, owned by the defendants, Owners of Strata Plan VIS3782 (the "Strata"). The issue on this summary trial application is whether the Strata is liable for the plaintiff's injuries, either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or at common law. The plaintiff consents to a dismissal of the action as against the second defendant, Boorman Investments Co. Ltd., which had previously performed some management services for the Strata.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fall occurred on December 14, 2015. The plaintiff was 75 years old at the time. He says he had gone for a walk while his wife was at a choir practice, but decided to seek shelter from increasing wind. He found the bench at the head of a flight of stairs near the entrance to Broadmead Terrace. Although the bench was outdoors, it was next to a portico that provided shelter from the wind. The plaintiff says the bench looked old, with moss growing on the backrest, but did not appear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the plaintiff had been sitting on the bench for about half an hour, the weather improved and he decided to resume his walk. He says he put his hand on the right armrest to support his weight as he got to his feet. The armrest then broke away and the plaintiff says that unexpected loss of support put him off balance. His body twisted to the left and he fell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bench was subsequently repaired and relocated to a different part of the Strata's grounds. The only evidence of what it looked like immediately after the plaintiff's fall is subject to an objection on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relies on two experts on wood products who have not directly inspected the bench and have only seen photographs of it in its repaired condition. They make the obvious point that wood left outdoors for several years in a climate such as British Columbia's is subject to deterioration and decay. They also say, with specific regard to wooden benches, that decay is most likely to occur where the armrest connects to the bench because joints and fasteners trap water within the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One of those experts says that with regular cleaning and maintenance, wooden surfaces can have a useful life expectancy of approximately 25 years, but a lack of maintenance can shorten that by up to 10 or 15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no evidence that establishes the age of the bench at issue. Denis Moffatt, the president of the Strata Council at the relevant time, said on examination for discovery that the complex was developed in three phases that were completed in 1996, 2000, and 2005, but he did not know if the benches on the grounds were installed with the original landscaping. Although the photographs of the bench put into evidence were taken after it was repaired and relocated, they show a bench that is clearly far from new. That is consistent with the plaintiff's evidence of his own observations on the day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experts say that because wooden surfaces exposed to the elements are subject to decay, they require regular inspection and maintenance. The Strata argues that it had an adequate, albeit informal system of inspection that had not previously revealed any problem with the bench and the Strata Council had received no complaints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SEVERANCE AND 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it is the defendants who applied for dismissal of the plaintiff's claim on summary trial, both parties now ask the court to decide the issue of liability. The plaintiff elected not to proceed with a cross-application seeking further documents and a continued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fact that both parties want liability to be decided on summary trial does not diminish the court's duty to consider whether that is appropriate. Rule 9-7(2)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permits an application for judgment on an issue or generally by way of a summary trial, but where a party seeks judgment on liability only, it must first meet the test for severance: </w:t>
      </w:r>
      <w:r>
        <w:rPr>
          <w:rFonts w:ascii="arial" w:eastAsia="arial" w:hAnsi="arial" w:cs="arial"/>
          <w:i/>
          <w:color w:val="000000"/>
          <w:sz w:val="20"/>
          <w:lang w:val="en-US" w:eastAsia="en-US" w:bidi="ar-SA"/>
        </w:rPr>
        <w:t>Thomas v. The Roman Catholic Archbishop of Vancouver</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2016 BCSC 1466</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test for severance is whether there are extraordinary, exceptional or compelling reasons for the severance. A likelihood of a significant savings in time and expense realized by a summary trial may be compelling reason to order severance: </w:t>
      </w:r>
      <w:r>
        <w:rPr>
          <w:rFonts w:ascii="arial" w:eastAsia="arial" w:hAnsi="arial" w:cs="arial"/>
          <w:i/>
          <w:color w:val="000000"/>
          <w:sz w:val="20"/>
          <w:lang w:val="en-US" w:eastAsia="en-US" w:bidi="ar-SA"/>
        </w:rPr>
        <w:t>Burg Properties Ltd. v. Economical Mutual Insurance Company</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2013 BCSC 209</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am satisfied that such savings are likely in this case. Judgment for the defendants on liability will end the matter and save both parties the expense of preparing and conducting a trial on issues on both liability and damages. If the plaintiff is successful on liability, a subsequent trial limited to damages will be significantly shorter and a pre-trial settlement will be more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to whether the matter is suitable for summary trial, the question under R. 9-7(15) is whether the court can find the necessary facts on the evidence before it or whether it would be unjust to decided the issue summarily. Judgment should not be given on issues that intertwine with other issues that are left to trial: </w:t>
      </w:r>
      <w:r>
        <w:rPr>
          <w:rFonts w:ascii="arial" w:eastAsia="arial" w:hAnsi="arial" w:cs="arial"/>
          <w:i/>
          <w:color w:val="000000"/>
          <w:sz w:val="20"/>
          <w:lang w:val="en-US" w:eastAsia="en-US" w:bidi="ar-SA"/>
        </w:rPr>
        <w:t>Coast Foundation v. Currie</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xml:space="preserve"> at paras. 13-15.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this case, there is no intertwining of issues and there are no credibility issues that prevent determination of liability. The defendants do not challenge the credibility of the plaintiff's evidence of how his injury occurred. Issues related to damages that may have to be tried separately are entirely distinct.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issue on liability is whether the defendants met their statutory and/or common law duty to take reasonable care to see that the premises were reasonably safe. The evidence of what steps the defendants took to meet that duty is contained in documentary, affidavit, and discovery evidence. The plaintiff does not challenge the credibility of that evidence, but says it falls short of the legal standard of care in the circumstances. By abandoning his application for further documents and discovery, the plaintiff effectively concedes that no further evidence is required to resolve the liability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therefore, agree with both counsel that a conventional trial is not necessary to decide the defendants' liability and that a summary trial is a proportionate, more expeditious and less expensive means to achieve a 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EVIDENTIARY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Before proceeding to the liability issue, it is necessary to deal with three evidentiary objections raised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Shortly after the plaintiff fell, his son, Steven Hamilton, was called to the scene and arrived as ambulance paramedics were tending to his father. Steven Hamilton died in July 2017, but had been interviewed by a lawyer at plaintiff's counsel's firm on July 7, 2016. That was almost three months after the plaintiff's notice of civil claim was filed. The plaintiff seeks to adduce a transcript of that interview and, in particular, Steven Hamilton's observations of the condition of the bench.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central reason for the presumptive exclusion of hearsay statements is the general inability to test their reliability, but a hearsay statement may be admitted if it is both necessary and reliable. The defendants do not dispute that the evidence of Steven Hamilton may be considered "necessary", but say that it does not meet the test for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reliability requirement will generally be met by showing:</w:t>
      </w:r>
      <w:r>
        <w:rPr>
          <w:rFonts w:ascii="arial" w:eastAsia="arial" w:hAnsi="arial" w:cs="arial"/>
          <w:sz w:val="20"/>
          <w:lang w:val="en-US" w:eastAsia="en-US" w:bidi="ar-SA"/>
        </w:rPr>
        <w:cr/>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is no real concern about whether the statement is true or not because of the circumstances in which it came about; or</w:t>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no real concern arises from the fact that the statement is presented in hearsay form because, in the circumstances, its truth and accuracy can nonetheless be sufficiently tested by means other than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 v. Khelawon</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2006 SCC 57</w:t>
        </w:r>
      </w:hyperlink>
      <w:r>
        <w:rPr>
          <w:rFonts w:ascii="arial" w:eastAsia="arial" w:hAnsi="arial" w:cs="arial"/>
          <w:color w:val="000000"/>
          <w:sz w:val="20"/>
          <w:lang w:val="en-US" w:eastAsia="en-US" w:bidi="ar-SA"/>
        </w:rPr>
        <w:t xml:space="preserve"> at paras. 61-63.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Neither of those conditions are met in regard to Steven Hamilton's interview. The interview took place almost seven months after the fact, after litigation had been commenced, and for the purpose of that litigation. Mr. Hamilton was describing observations he had made at the same time that he would obviously have been concerned about his father. Counsel for the defendants has no opportunity to test the nature and extent of his observations or the accuracy of his recollection. There is no other evidence that the hearsay statement can be directly compared to and weighed against.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agree with counsel for the Strata that the accuracy of the evidence cannot be meaningfully tested and that it does not meet the requirement of threshold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also seeks to rely on the hearsay statement of Vic Edwards, who volunteers as a handyman for the Strata. Mr. Edwards has been said to have had discussions with members of the Strata Council about maintenance of benches on the property. These discussions preceded the plaintiff's fall. He also repaired the bench after the plaintiff's fall. Although Mr. Edwards spoke to plaintiff's counsel, he was apparently unwilling to swear an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statement from Mr. Edwards is actually double hearsay. It is contained in an affidavit from a paralegal stating that plaintiff's counsel obtained contact information for Mr. Edwards and "an interview was conducted". It does not say who in the law firm conducted the interview, but summarizes what the affiant understands Mr. Edwards to have said to the interviewer. Unlike the statement of Steven Hamilton, the affidavit does not purport to include a transcript of Mr. Edwards' actual words and there is no way to determine if any context or qualification is missing from the summarized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Double hearsay is rarely admissible. It will only be permitted in exceptional circumstances where each level of the hearsay falls within an exception or is otherwise admissible under the principled approach: </w:t>
      </w:r>
      <w:r>
        <w:rPr>
          <w:rFonts w:ascii="arial" w:eastAsia="arial" w:hAnsi="arial" w:cs="arial"/>
          <w:i/>
          <w:color w:val="000000"/>
          <w:sz w:val="20"/>
          <w:lang w:val="en-US" w:eastAsia="en-US" w:bidi="ar-SA"/>
        </w:rPr>
        <w:t>R. v. Starr</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2000 SCC 40</w:t>
        </w:r>
      </w:hyperlink>
      <w:r>
        <w:rPr>
          <w:rFonts w:ascii="arial" w:eastAsia="arial" w:hAnsi="arial" w:cs="arial"/>
          <w:color w:val="000000"/>
          <w:sz w:val="20"/>
          <w:lang w:val="en-US" w:eastAsia="en-US" w:bidi="ar-SA"/>
        </w:rPr>
        <w:t xml:space="preserve"> at para. 172. Where hearsay is permitted, the source of the information must be precisely set out: </w:t>
      </w:r>
      <w:r>
        <w:rPr>
          <w:rFonts w:ascii="arial" w:eastAsia="arial" w:hAnsi="arial" w:cs="arial"/>
          <w:i/>
          <w:color w:val="000000"/>
          <w:sz w:val="20"/>
          <w:lang w:val="en-US" w:eastAsia="en-US" w:bidi="ar-SA"/>
        </w:rPr>
        <w:t>Sermeno v. Trejo</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2000 BCSC 846</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hearsay statement of Mr. Edwards not only fails to meet the reliability requirement for the reception of hearsay evidence but likely does not meet the necessity requirement. The plaintiff could have applied for pre-trial examination of a witness under R. 7-5 (although the plaintiff may have faced a difficulty in that the </w:t>
      </w:r>
      <w:r>
        <w:rPr>
          <w:rFonts w:ascii="arial" w:eastAsia="arial" w:hAnsi="arial" w:cs="arial"/>
          <w:i/>
          <w:color w:val="000000"/>
          <w:sz w:val="20"/>
          <w:lang w:val="en-US" w:eastAsia="en-US" w:bidi="ar-SA"/>
        </w:rPr>
        <w:t>Rule</w:t>
      </w:r>
      <w:r>
        <w:rPr>
          <w:rFonts w:ascii="arial" w:eastAsia="arial" w:hAnsi="arial" w:cs="arial"/>
          <w:color w:val="000000"/>
          <w:sz w:val="20"/>
          <w:lang w:val="en-US" w:eastAsia="en-US" w:bidi="ar-SA"/>
        </w:rPr>
        <w:t xml:space="preserve"> requires such an application be supported by an affidavit stating that the witness refused or neglected "to give a responsive statement, either orally or in writing". Mr. Edwards gave a responsive statement orally, but refused a request to follow that up with a written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any event, the hearsay evidence can only be said to be "necessary" in the context of a summary trial application that both parties agreed was appropriate. If the matter proceeded to a conventional trial, plaintiff's counsel could have obtained Mr. Edwards' attendance through a subpoena. If his evidence was critical to the plaintiff's case, that may have been a basis for finding the matter unsuitable for summary trial, but the plaintiff made no such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Defence counsel also objects to the plaintiff's reliance on minutes of Strata Council meetings that the defendants have produced in the course of this action. The plaintiff seeks to rely on those minutes to show that in the months preceding the plaintiff's fall, the Strata Council discussed a need to replace two benches that were deteriorating.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Defence counsel says those documents do not meet the requirements for admissibility of business records under s. 42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Those requirements are set out in s. 42(2):</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proceedings in which direct oral evidence of a fact would be admissible, a statement of a fact in a document is admissible as evidence of the fact if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 was made or kept in the usual and ordinary course of business,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in the usual and ordinary course of the business to record in that document a statement of the fact at the time it occurred or within a reasonable time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When documents are produced by a party, that party will frequently agree to their admissibility as business records. But in the absence of such an agreement or admission, the party seeking to rely on them must call a witness to prove that the preconditions for admissibility are satisfied. The records are not made admissible merely by placing them before the court: </w:t>
      </w:r>
      <w:r>
        <w:rPr>
          <w:rFonts w:ascii="arial" w:eastAsia="arial" w:hAnsi="arial" w:cs="arial"/>
          <w:i/>
          <w:color w:val="000000"/>
          <w:sz w:val="20"/>
          <w:lang w:val="en-US" w:eastAsia="en-US" w:bidi="ar-SA"/>
        </w:rPr>
        <w:t>Sandhu v. Gill</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(1999), 93 A.C.W.S. (3d) 670</w:t>
        </w:r>
      </w:hyperlink>
      <w:r>
        <w:rPr>
          <w:rFonts w:ascii="arial" w:eastAsia="arial" w:hAnsi="arial" w:cs="arial"/>
          <w:color w:val="000000"/>
          <w:sz w:val="20"/>
          <w:lang w:val="en-US" w:eastAsia="en-US" w:bidi="ar-SA"/>
        </w:rPr>
        <w:t xml:space="preserve"> (B.C.S.C.). No agreement has been made in this case and the necessary evidence has not been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an alternative to the documents being admissible as business records, plaintiff's counsel relies on the "documents in possession" doctrine. In </w:t>
      </w:r>
      <w:r>
        <w:rPr>
          <w:rFonts w:ascii="arial" w:eastAsia="arial" w:hAnsi="arial" w:cs="arial"/>
          <w:i/>
          <w:color w:val="000000"/>
          <w:sz w:val="20"/>
          <w:lang w:val="en-US" w:eastAsia="en-US" w:bidi="ar-SA"/>
        </w:rPr>
        <w:t>Cambie Surgeries Corporation v. British Columbia (Attorney General)</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2017 BCSC 861</w:t>
        </w:r>
      </w:hyperlink>
      <w:r>
        <w:rPr>
          <w:rFonts w:ascii="arial" w:eastAsia="arial" w:hAnsi="arial" w:cs="arial"/>
          <w:color w:val="000000"/>
          <w:sz w:val="20"/>
          <w:lang w:val="en-US" w:eastAsia="en-US" w:bidi="ar-SA"/>
        </w:rPr>
        <w:t xml:space="preserve"> at para. 49, Justice Steeves adopted the definition of the doctrine from </w:t>
      </w:r>
      <w:r>
        <w:rPr>
          <w:rFonts w:ascii="arial" w:eastAsia="arial" w:hAnsi="arial" w:cs="arial"/>
          <w:i/>
          <w:color w:val="000000"/>
          <w:sz w:val="20"/>
          <w:lang w:val="en-US" w:eastAsia="en-US" w:bidi="ar-SA"/>
        </w:rPr>
        <w:t>Phipson on Evidence</w:t>
      </w:r>
      <w:r>
        <w:rPr>
          <w:rFonts w:ascii="arial" w:eastAsia="arial" w:hAnsi="arial" w:cs="arial"/>
          <w:color w:val="000000"/>
          <w:sz w:val="20"/>
          <w:lang w:val="en-US" w:eastAsia="en-US" w:bidi="ar-SA"/>
        </w:rPr>
        <w:t>, 13th ed. (1982):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Documents which are, or have been, in the possession of a party will, ... generally be admissible against him as </w:t>
      </w:r>
      <w:r>
        <w:rPr>
          <w:rFonts w:ascii="arial" w:eastAsia="arial" w:hAnsi="arial" w:cs="arial"/>
          <w:i/>
          <w:color w:val="000000"/>
          <w:sz w:val="20"/>
          <w:lang w:val="en-US" w:eastAsia="en-US" w:bidi="ar-SA"/>
        </w:rPr>
        <w:t>original (circumstantial) evidence</w:t>
      </w:r>
      <w:r>
        <w:rPr>
          <w:rFonts w:ascii="arial" w:eastAsia="arial" w:hAnsi="arial" w:cs="arial"/>
          <w:color w:val="000000"/>
          <w:sz w:val="20"/>
          <w:lang w:val="en-US" w:eastAsia="en-US" w:bidi="ar-SA"/>
        </w:rPr>
        <w:t xml:space="preserve"> to show his knowledge of their contents, his connection with or complicity in, the transactions to which they relate, or his state of mind with reference thereto. They will further be receivable against him as </w:t>
      </w:r>
      <w:r>
        <w:rPr>
          <w:rFonts w:ascii="arial" w:eastAsia="arial" w:hAnsi="arial" w:cs="arial"/>
          <w:i/>
          <w:color w:val="000000"/>
          <w:sz w:val="20"/>
          <w:lang w:val="en-US" w:eastAsia="en-US" w:bidi="ar-SA"/>
        </w:rPr>
        <w:t>admissions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exceptions to the hearsay rule) to prove the </w:t>
      </w:r>
      <w:r>
        <w:rPr>
          <w:rFonts w:ascii="arial" w:eastAsia="arial" w:hAnsi="arial" w:cs="arial"/>
          <w:i/>
          <w:color w:val="000000"/>
          <w:sz w:val="20"/>
          <w:lang w:val="en-US" w:eastAsia="en-US" w:bidi="ar-SA"/>
        </w:rPr>
        <w:t>truth</w:t>
      </w:r>
      <w:r>
        <w:rPr>
          <w:rFonts w:ascii="arial" w:eastAsia="arial" w:hAnsi="arial" w:cs="arial"/>
          <w:color w:val="000000"/>
          <w:sz w:val="20"/>
          <w:lang w:val="en-US" w:eastAsia="en-US" w:bidi="ar-SA"/>
        </w:rPr>
        <w:t xml:space="preserve"> of their contents if he has in any way </w:t>
      </w:r>
      <w:r>
        <w:rPr>
          <w:rFonts w:ascii="arial" w:eastAsia="arial" w:hAnsi="arial" w:cs="arial"/>
          <w:i/>
          <w:color w:val="000000"/>
          <w:sz w:val="20"/>
          <w:lang w:val="en-US" w:eastAsia="en-US" w:bidi="ar-SA"/>
        </w:rPr>
        <w:t>recognised, adopted</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acted</w:t>
      </w:r>
      <w:r>
        <w:rPr>
          <w:rFonts w:ascii="arial" w:eastAsia="arial" w:hAnsi="arial" w:cs="arial"/>
          <w:color w:val="000000"/>
          <w:sz w:val="20"/>
          <w:lang w:val="en-US" w:eastAsia="en-US" w:bidi="ar-SA"/>
        </w:rPr>
        <w:t xml:space="preserve"> upon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Justice Steeves also referred to and followed the approach adopted in </w:t>
      </w:r>
      <w:r>
        <w:rPr>
          <w:rFonts w:ascii="arial" w:eastAsia="arial" w:hAnsi="arial" w:cs="arial"/>
          <w:i/>
          <w:color w:val="000000"/>
          <w:sz w:val="20"/>
          <w:lang w:val="en-US" w:eastAsia="en-US" w:bidi="ar-SA"/>
        </w:rPr>
        <w:t>Ault v. Canada (Attorney General)</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[2007] O.J. No. 4924</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The plaintiffs in </w:t>
      </w:r>
      <w:r>
        <w:rPr>
          <w:rFonts w:ascii="arial" w:eastAsia="arial" w:hAnsi="arial" w:cs="arial"/>
          <w:i/>
          <w:color w:val="000000"/>
          <w:sz w:val="20"/>
          <w:lang w:val="en-US" w:eastAsia="en-US" w:bidi="ar-SA"/>
        </w:rPr>
        <w:t>Ault</w:t>
      </w:r>
      <w:r>
        <w:rPr>
          <w:rFonts w:ascii="arial" w:eastAsia="arial" w:hAnsi="arial" w:cs="arial"/>
          <w:color w:val="000000"/>
          <w:sz w:val="20"/>
          <w:lang w:val="en-US" w:eastAsia="en-US" w:bidi="ar-SA"/>
        </w:rPr>
        <w:t xml:space="preserve"> argued that the documents were admissible for their truth even though they contained hearsay. This was based on necessity and reliability under the principled approach to the exceptions to hearsay (discussed below). In contrast, the defendants argued that the documents might be admissible for the limited purpose of proving certain statements were made or information was sent or received. However, because they were hearsay and there were issues related to necessity, they were not admissible for their truth. In the end, some documents were admitted for their truth and others were not admitted.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As a first step in its reasoning, the court found that all of the documents were relevant (at para. 10). The court then noted that all but one document was authored by a government employee and were in the possession of the defendant at some time and were therefore admissible under the documents in possession doctrine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On this basis the documents at issue in </w:t>
      </w:r>
      <w:r>
        <w:rPr>
          <w:rFonts w:ascii="arial" w:eastAsia="arial" w:hAnsi="arial" w:cs="arial"/>
          <w:i/>
          <w:color w:val="000000"/>
          <w:sz w:val="20"/>
          <w:lang w:val="en-US" w:eastAsia="en-US" w:bidi="ar-SA"/>
        </w:rPr>
        <w:t>Ault</w:t>
      </w:r>
      <w:r>
        <w:rPr>
          <w:rFonts w:ascii="arial" w:eastAsia="arial" w:hAnsi="arial" w:cs="arial"/>
          <w:color w:val="000000"/>
          <w:sz w:val="20"/>
          <w:lang w:val="en-US" w:eastAsia="en-US" w:bidi="ar-SA"/>
        </w:rPr>
        <w:t xml:space="preserve"> (except for one document) were admissible for </w:t>
      </w:r>
      <w:r>
        <w:rPr>
          <w:rFonts w:ascii="arial" w:eastAsia="arial" w:hAnsi="arial" w:cs="arial"/>
          <w:i/>
          <w:color w:val="000000"/>
          <w:sz w:val="20"/>
          <w:lang w:val="en-US" w:eastAsia="en-US" w:bidi="ar-SA"/>
        </w:rPr>
        <w:t>a limited purpose</w:t>
      </w:r>
      <w:r>
        <w:rPr>
          <w:rFonts w:ascii="arial" w:eastAsia="arial" w:hAnsi="arial" w:cs="arial"/>
          <w:color w:val="000000"/>
          <w:sz w:val="20"/>
          <w:lang w:val="en-US" w:eastAsia="en-US" w:bidi="ar-SA"/>
        </w:rPr>
        <w:t>, to prove that (at para. 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statements were made to and/or by the defendant, that information was provided to and/or by the defendant, what specific information was provided to whom at what time and the state of mind, beliefs or understanding of the defendant (through its agents) at a particular point in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I adopt this approach and find that the documents in possession doctrine applies to the documents at issue in the subject application for the purposes of their admission but for limited purposes. Those purposes will depend on the nature of each document. This doctrine does not establish the truth of a document unless the contents have been recognized, adopted or acted upon by, in this case, British Columbia, or, as below, they are admissible under one of the exceptions to the rule against hearsay.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adopt the same approach in this case. The Strata Council minutes were produced by the defendants and are clearly documents in their possession. They are admissible for the fact that Strata Council received certain information, but not for the truth of that information. They are also admissible as evidence that the council discussed taking certain actions, but not as evidence those things were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STRATA'S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Minutes of Strata Council meetings show that on June 11, 2015, Council had some discussion about a deteriorating bench, although not the one at issue. The minutes do not contain details regarding the nature of this deterioration or how it was discovered. They simply record that the Strata Council adopted a motion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bench be removed and moved to replace a deteriorating bench near 4484.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October 19, 2015, Strata Council again discussed a deteriorating bench. The minutes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bench in front of 4484 will be replaced with a new one due to wood decay.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Counsel for the plaintiff says the need to replace two benches because of deterioration or decay in a four-month period should have prompted the Strata Council to change its approach to inspection and maintenance. It is not clear to me, however, that those two sets of minutes are referring to two different benches. I note that both refer to a bench at the same location within the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Moffatt was the president of the Strata Council at the relevant time. He says in an affidavit that the Strata Council has a garden committee whose responsibilities include benches in the complex. The committee reports to the Strata Council every month. He says he was not aware of any issues or complaints about the bench prior to the plaintiff's fall. Asked on discovery whether there was a regular inspection or maintenance program, Mr. Moffatt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Basically, there is no regular inspection or maintenance done on any of the benches. Periodically, they may be -- what's the word -- tested, shaken, pulled, rattled, banged, sat in by -- we do have a garden committee. One of the members may do that. But in terms of any kind of regular maintenance program, no, there is not such a program. The benches are used extensively and intensively during the summer months by residents who are quick, I assure you, to point out any deficiencies that might be observed. Including the occasional sliver, maybe.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Joyce Lennard was a member of the garden committee from 2014 to 2016. She swore an affidavit saying that she, in fact, toured the gardens once a week or every few days. During those tours, she looked at and "rattled" the benches to ensure they were in good condition. She says she did not notice any problems with the bench at issue prior to the plaintiff's fall. Counsel for the plaintiff points out that Ms. Lennard does not specifically say she inspected the armrests.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Darrel Nicholas is a professor in the Department of Sustainable Biomaterials at Mississippi State University and has conducted research in all aspects of wood bio-deterioration and preservation. He is one of the experts, referred to above, who says that areas where the armrest connects to the bench would be most susceptible to decay.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Nicholas says in a report that wood structures exposed to the elements need to be inspected periodically, with particular attention to areas such as armrests that tend to trap water. He says a reasonable inspection would include a visual and probing inspection of joints as well as putting weight on the load bearing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other expert is Matt Anderson, a wood science consultant. He also says regular inspection of connections, such as those between the armrest and the bench, is important and should be done at least once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for the plaintiff argues that Ms. Lennard's description of her regular visual inspection and "rattling" of benches does not meet the standard of inspection the experts say is required, particularly when the Strata Council had specifically discussed deterioration of benches in the preceding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There is no dispute that the strata was an "occupier"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The definition of "premises" includes: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land and structures or either of them, excepting portable structures and equipment other than those described in paragraph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trailers and portable structures designed or used for a residence, business or shelter, 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standard of care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at common law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same: it is to protect others from an objectively unreasonable risk of harm. Whether a risk is reasonable or unreasonable is a question of fact: </w:t>
      </w:r>
      <w:r>
        <w:rPr>
          <w:rFonts w:ascii="arial" w:eastAsia="arial" w:hAnsi="arial" w:cs="arial"/>
          <w:i/>
          <w:color w:val="000000"/>
          <w:sz w:val="20"/>
          <w:lang w:val="en-US" w:eastAsia="en-US" w:bidi="ar-SA"/>
        </w:rPr>
        <w:t>Agar v. Weber</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2014 BCCA 297</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Some time was taken in argument over the issue of whether the bench was a fixture on the property or a portable structure covered by the exception in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definition of premises. Plaintiff's counsel argued that it was a fixture because it had likely been attached to four small concrete pads that are still in the ground at its former location. However, counsel for the Strata eventually conceded that there was no need to decide that issue because even if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does not apply, the applicable standard of care at common law is the same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applicable principles in cases applying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were summarized in </w:t>
      </w:r>
      <w:r>
        <w:rPr>
          <w:rFonts w:ascii="arial" w:eastAsia="arial" w:hAnsi="arial" w:cs="arial"/>
          <w:i/>
          <w:color w:val="000000"/>
          <w:sz w:val="20"/>
          <w:lang w:val="en-US" w:eastAsia="en-US" w:bidi="ar-SA"/>
        </w:rPr>
        <w:t>Mainardi v. Shannon</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2005 BCSC 644</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bears the onus of proving on a balance of probabilities that the occupier breached his or her duty of care.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created by the fact that the plaintiff was injured. The plaintiff must establish that some act or failure to act on the part of the occupier resulted in his or her injury.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care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require the occupier to remove every possibility of danger -- the test is one of reasonableness, not perfection.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not entitled to resort to speculation when determining the cause of the plaintiff's fall and subsequent injury. The plaintiff must prove the nexus between his or her fall and the occupier's failure to discharge his or her duty of care.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 that an occupier must take differs according to the nature and use of the premises.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need not, in all cases, show that he or she had a specific policy in place to deal with the maintenance of the portion of the premises where the fall occurred. The nature of the premises will determine whether or not a maintenance scheme will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 must prove firstly, what hazard or condition caused the fall and, secondly, that the defendants' breach of their duty of care caused the hazard or condition to be present: </w:t>
      </w:r>
      <w:r>
        <w:rPr>
          <w:rFonts w:ascii="arial" w:eastAsia="arial" w:hAnsi="arial" w:cs="arial"/>
          <w:i/>
          <w:color w:val="000000"/>
          <w:sz w:val="20"/>
          <w:lang w:val="en-US" w:eastAsia="en-US" w:bidi="ar-SA"/>
        </w:rPr>
        <w:t>Thomas</w:t>
      </w:r>
      <w:r>
        <w:rPr>
          <w:rFonts w:ascii="arial" w:eastAsia="arial" w:hAnsi="arial" w:cs="arial"/>
          <w:color w:val="000000"/>
          <w:sz w:val="20"/>
          <w:lang w:val="en-US" w:eastAsia="en-US" w:bidi="ar-SA"/>
        </w:rPr>
        <w:t xml:space="preserve">, quoting </w:t>
      </w:r>
      <w:r>
        <w:rPr>
          <w:rFonts w:ascii="arial" w:eastAsia="arial" w:hAnsi="arial" w:cs="arial"/>
          <w:i/>
          <w:color w:val="000000"/>
          <w:sz w:val="20"/>
          <w:lang w:val="en-US" w:eastAsia="en-US" w:bidi="ar-SA"/>
        </w:rPr>
        <w:t>Newsham v. Canwest Trade Shows Inc.</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2012 BCSC 289</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Howells v. Southland Canada, Inc.</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[1995] B.C.J. No. 397</w:t>
        </w:r>
      </w:hyperlink>
      <w:r>
        <w:rPr>
          <w:rFonts w:ascii="arial" w:eastAsia="arial" w:hAnsi="arial" w:cs="arial"/>
          <w:color w:val="000000"/>
          <w:sz w:val="20"/>
          <w:lang w:val="en-US" w:eastAsia="en-US" w:bidi="ar-SA"/>
        </w:rPr>
        <w:t xml:space="preserve"> (S.C.), the plaintiff was injured when a chair he was sitting on in a convenience store broke. There was no evidence about why the chair broke and the court concluded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 Given the fact that it has not been established why the chair broke, whether it was because of the plaintiff's weight or due to some defect or damage to the chair, it is not a reasonable inference that the chairs themselves were unsafe or that the defendant ought to have known that they presented an unreasonable risk to its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Visser v. Loblaw Inc</w:t>
      </w:r>
      <w:r>
        <w:rPr>
          <w:rFonts w:ascii="arial" w:eastAsia="arial" w:hAnsi="arial" w:cs="arial"/>
          <w:color w:val="000000"/>
          <w:sz w:val="20"/>
          <w:lang w:val="en-US" w:eastAsia="en-US" w:bidi="ar-SA"/>
        </w:rPr>
        <w:t xml:space="preserve">. et al, </w:t>
      </w:r>
      <w:hyperlink r:id="rId437" w:history="1">
        <w:r>
          <w:rPr>
            <w:rFonts w:ascii="arial" w:eastAsia="arial" w:hAnsi="arial" w:cs="arial"/>
            <w:i/>
            <w:color w:val="0077CC"/>
            <w:sz w:val="20"/>
            <w:u w:val="single"/>
            <w:shd w:val="clear" w:color="auto" w:fill="FFFFFF"/>
            <w:lang w:val="en-US" w:eastAsia="en-US" w:bidi="ar-SA"/>
          </w:rPr>
          <w:t>2001 BCSC 1781</w:t>
        </w:r>
      </w:hyperlink>
      <w:r>
        <w:rPr>
          <w:rFonts w:ascii="arial" w:eastAsia="arial" w:hAnsi="arial" w:cs="arial"/>
          <w:color w:val="000000"/>
          <w:sz w:val="20"/>
          <w:lang w:val="en-US" w:eastAsia="en-US" w:bidi="ar-SA"/>
        </w:rPr>
        <w:t>, the plaintiff was injured when the chair upon which she was sitting in the pharmacy area of the defendant's store broke, but there was no evidence of why it broke. The court said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 There was no evidence that this type of chair deteriorates over time. Without evidence as to why the chair broke, I cannot infer that the chair was unsafe or that the defendant knew or ought to have known that it was unsafe.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this case, there is evidence that this type of bench, when exposed to the elements on a long-term basis, does deteriorate over time and that the bench broke at the very spot where the deterioration is most likely to occur. That is evidence from which it can be inferred, on the balance of probabilities, that there was some defect or deterioration in the wood that caused the armrest to break off when the plaintiff put his weight on it. I find that the plaintiff has satisfied the first branch of the test referred to in </w:t>
      </w:r>
      <w:r>
        <w:rPr>
          <w:rFonts w:ascii="arial" w:eastAsia="arial" w:hAnsi="arial" w:cs="arial"/>
          <w:i/>
          <w:color w:val="000000"/>
          <w:sz w:val="20"/>
          <w:lang w:val="en-US" w:eastAsia="en-US" w:bidi="ar-SA"/>
        </w:rPr>
        <w:t>Thomas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the second branch of that test, the question is whether the presence of that defect amounted to an objectively unreasonable risk of harm. That depends on whether the Strata knew or reasonably should have known about it, and whether a reasonable owner, knowing about the defect, would have repaired or removed the bench before the date of the plaintiff's fall. The standard is one of reasonableness, not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evidence is clear that the Strata Council had received no complaints about the bench and was not aware of any defect. The evidence of Ms. Lennard is that benches were inspected regularly to ensure they were secure and in good condition. That inspection was undoubtedly more cursory or less exacting than what the plaintiff's experts suggest, but there is no evidence that residents of a strata who volunteer to serve on a garden committee had or should have had the same knowledge as experts in wood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Nichols said the purpose of the inspection he recommends is to "simulate the strains or stresses applied to the wood structure during use." Mr. Moffatt said, on discovery, that the benches were used "extensively and intensively during the summer months." As counsel for the Strata notes, the "ordinary stresses and strains" were not just simulated, but were actually being applied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that the standard of inspection put forward by the plaintiff is one of perfection rather than reasonableness. But even if that standard is applicable, the plaintiff's expert, Mr. Anderson's opinion was that the detailed inspection be done only at least once a year. The logical time to perform an annual inspection would have been in the spring--before the period of most intensive use and immediately after the season of greatest exposure to rain. There is no evidence from which it can be inferred that the defect that caused the plaintiff's fall in December 2015 would have been present or detectable on an inspection six to eight months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AND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that the plaintiff has failed to prove that the bench posed an unreasonable risk that the defendants knew or should have known about and the action must be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5"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Hussack v. Chilliwack School District No. 33, [2010] I.L.R. para. G-2322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Boyd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March 10,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L023833</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[2010] I.L.R. para. G-2322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[2010] B.C.J. No. 408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2010 BCSC 304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Hussack v. Chilliwack School District No. 33</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6"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6" w:name="Keywords_6"/>
      <w:bookmarkEnd w:id="66"/>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Costs — Plaintiff was injured in a school gym class and the defendant school board was found liable — Defendant sought an order that the plaintiff be denied his costs in relation to pursuing an allegation that he suffered a mild traumatic brain injury — Court found that the length of trial would have been reduced by three days had the plaintiff not pursued this avenue where there was overwhelming evidence to the contrary, and the bill of costs was reduced by the same — Defendant was also not responsible for fees associated with various experts' attendance at trial, and plaintiff was required to reimburse for such fees — Application allowed in part, cross-application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7" w:name="Case Summary_6"/>
            <w:bookmarkEnd w:id="67"/>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Court handed down its reasons for judgment finding the defendant school board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awarding the plaintiff damages in the amount of approximately $1.35 million. For the complete facts and that decision, see </w:t>
            </w:r>
            <w:hyperlink r:id="rId446" w:history="1">
              <w:r>
                <w:rPr>
                  <w:rFonts w:ascii="arial" w:eastAsia="arial" w:hAnsi="arial" w:cs="arial"/>
                  <w:i/>
                  <w:color w:val="0077CC"/>
                  <w:sz w:val="20"/>
                  <w:u w:val="single"/>
                  <w:shd w:val="clear" w:color="auto" w:fill="FFFFFF"/>
                  <w:lang w:val="en-US" w:eastAsia="en-US" w:bidi="ar-SA"/>
                </w:rPr>
                <w:t>[2009] I.L.R. G-2280</w:t>
              </w:r>
            </w:hyperlink>
            <w:r>
              <w:rPr>
                <w:rFonts w:ascii="arial" w:eastAsia="arial" w:hAnsi="arial" w:cs="arial"/>
                <w:color w:val="000000"/>
                <w:sz w:val="20"/>
                <w:lang w:val="en-US" w:eastAsia="en-US" w:bidi="ar-SA"/>
              </w:rPr>
              <w:t>. The defendant sought an order, pursuant to Rule 57(7)(</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that the plaintiff be denied his costs related to pursuing the allegation of a mild traumatic brain injury ("MTBI"). The plaintiff opposed the application and, by way of cross-application, sought an order that the appropriate scale of costs was Scale C.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8" w:name="Holdings of Court_6"/>
            <w:bookmarkEnd w:id="68"/>
            <w:r>
              <w:rPr>
                <w:rFonts w:ascii="arial" w:eastAsia="arial" w:hAnsi="arial" w:cs="arial"/>
                <w:color w:val="000000"/>
                <w:sz w:val="20"/>
                <w:lang w:val="en-US" w:eastAsia="en-US" w:bidi="ar-SA"/>
              </w:rPr>
              <w:t>HELD: The application was allowed in part; the cross-application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noted that while the plaintiff's opening statement spoke merely of a concussion, the expert report filed by Dr. Hunt suggested the plaintiff had suffered an MTBI, and since Dr. Hunt's theory of the case remained outstanding throughout trial, the defence had to call a number of witnesses to prove the opposite. The Court also noted that in the course of defence counsel's closing submissions to rebut the evidence of an MTBI, it asked the plaintiff whether it was continuing to advance that claim, and it received a negative response. The Court agreed that while the trial would have been shorter had the MTBI issue not been raised, it did not accept the defendant's position that it would have been five days shorter, as many of the defendant's witnesses would have still testified. The Court calculated that the trial would have been three days shorter in the circumstances, and that in raising and continuing to purse the MTBI issue, notwithstanding overwhelming evidence to the contrary, the plaintiff unnecessarily prolonged the case. As such, the Court concluded it would only be fair to excuse the defendant from paying the plaintiff's costs related to the MTBI issue, and the plaintiff should reimburse the defendant for the fees of two specific doctors to attend trial. The Court also held that costs in the case should be taxed under Scale B, as it did not find the case was of "more than ordinary difficulty".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9" w:name="Counsel_12"/>
      <w:bookmarkEnd w:id="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R.D. Gibbens for the plaintiff; C.L. Forth and S.E. Grubb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0" w:name="Judgment_11"/>
      <w:bookmarkEnd w:id="70"/>
      <w:r>
        <w:pict>
          <v:line id="_x0000_s1078" style="position:absolute;z-index:2517739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1" w:name="M.E. BOYD J."/>
            <w:bookmarkEnd w:id="71"/>
            <w:r>
              <w:rPr>
                <w:rFonts w:ascii="arial" w:eastAsia="arial" w:hAnsi="arial" w:cs="arial"/>
                <w:b/>
                <w:color w:val="000000"/>
                <w:sz w:val="30"/>
                <w:lang w:val="en-US" w:eastAsia="en-US" w:bidi="ar-SA"/>
              </w:rPr>
              <w:t>M.E. BOYD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Introduction: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Reasons for Judgment were handed down in this matter on June 16, 2009 finding the defendant Board of School Trustees (the "Board")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awarding the plaintiff damages of approximately $1,350,000. The defendant now seeks an order, pursuant to Rule 57(7)(b), that the plaintiff be denied his costs related to pursuing the allegation of mild traumatic brain injury ("MTBI"). The plaintiff opposes the application and by way of cross-application seeks an order that the appropriate scale of costs is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Background: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April 17, 1998, at the age of 13, Mr. Hussack (the plaintiff) was involved in an accident in the course of a field hockey game held during a physical education class. While he was running behind a fellow student, that student raised her stick to swing at the ball and struck the plaintiff in the face. In the trial judgment, I found liability on the part of the defendant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terms of damages, the plaintiff's case was framed as one in which he had suffered an MTBI. The action was originally set to proceed to trial in September 2008. Shortly before trial, the plaintiff sought to adjourn the trial primarily on the grounds that he had recently been examined by Dr. Brian Hunt, a neurosurgeon, who opined that the brain injury was more serious than a simple concussion. Dr. Hunt recommended a series of examinations and assessments, including audio vestibular and movement disorder testing to determine the degree of dysfunction involved. The adjournment was allowed and the matter reset to proceed to trial in February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Subsequently, the plaintiff served a swath of new expert reports including the reports of Dr. Larry Krywaniuk (neuropsychologist), Dr. Raymond Ancill (psychiatrist), and Dr. Neil Longridge (ENT surgeon). The plaintiff now submits that from the time those reports were served it was clear the primary issue was no longer whether the plaintiff had suffered an MTBI. Rather, the plaintiff now claimed that the incident, and specifically the blow to the head and the resulting injuries, had triggered a psychiatric illness, namely a somatoform or conversion disorder. On that basis, the defendant sought to amend its pleadings to plead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opening of the trial, the plaintiff acknowledged in counsel's Opening Statement that the action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not</w:t>
      </w:r>
      <w:r>
        <w:rPr>
          <w:rFonts w:ascii="arial" w:eastAsia="arial" w:hAnsi="arial" w:cs="arial"/>
          <w:b/>
          <w:color w:val="000000"/>
          <w:sz w:val="20"/>
          <w:lang w:val="en-US" w:eastAsia="en-US" w:bidi="ar-SA"/>
        </w:rPr>
        <w:t xml:space="preserve"> really</w:t>
      </w:r>
      <w:r>
        <w:rPr>
          <w:rFonts w:ascii="arial" w:eastAsia="arial" w:hAnsi="arial" w:cs="arial"/>
          <w:color w:val="000000"/>
          <w:sz w:val="20"/>
          <w:lang w:val="en-US" w:eastAsia="en-US" w:bidi="ar-SA"/>
        </w:rPr>
        <w:t xml:space="preserve"> about a structural brain injury. All neuropsychological testing and brain imaging show relatively normal results. The case is acknowledged by both sides to be primarily about a somatoform disorder. While there clearly was a serious physical injury at the time ... the majority of the complaints today arise from a somatoform condition.</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Opening Statement went on to note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also call a neurosurgeon to describe the physical injury which Devon Hussack sustained on April 17, 1998, specifically the initial concussion. It is clear that the incident on April 17, 1998 set in motion the somatoform disability of chronic pain, headaches, tremors, fatigue and tinnitus that Mr. Hussack now primarily complains of. An ear, nose and throat specialist will also describe the tinnitus and noise sensitivity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Opening Statement was inaccurate in stating that the neurosurgeon would provide evidence to prove the "initial concussion". In fact, Dr. Hunt's evidence was not limited to describing a mere concussion. Nor would his opinion be to the effect that a concussion had set in motion the development of a somatoform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Hunt's opinion went much further. In his report dated June 8, 2008 (filed pursuant to Rule 40A), Dr. Hunt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45-1 It is this writer's opinion that Mr. Devon Hussack suffered a traumatic brain injury at the time he was struck by a grass hockey stick on April 17,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45-2 It is this writer's opinion that the severity of the brain injury is one of cerebral contusion which is of a more serious nature than complex concussion resulting in a post-concussion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45-5 It is this writer's opinion that Mr. Devon Hussack suffered a basal skull fracture despite the inability of the various imaging studies to show a basal skull fracture ... The initial flow of clear fluid from his nose to his hands is very much the typical history of cerebrospinal fluid coming from a basal skull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Thus, while the Opening Statement spoke merely of a concussion, the expert report filed suggested the plaintiff had suffered an MTBI, specifically a cerebral contusion (bruise of the brain) and a basal skull fracture which caused a tear of the dura (lining of the brain) which in turn resulted in a cerebrospinal fluid ("CSF") leak. According to Dr. Hunt, this injury accounted for the plaintiff's initial alleged loss of taste and smell followed by the development of parosmia (experiencing smells that are both abnormal and non-existent). He testified at trial that the plaintiff's complaints of intermittent swelling and sponginess of the forehead region, as well as frontal headaches, could well be related to an ongoing leakage of CSF into his forehead over the course of the eleven years since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Hunt was called as a witness in the course of the plaintiff's case and provided evidence consistent with this expert report. Since Dr. Hunt's theory of the case remained outstanding throughout the trial, the defence had no option but to call a number of medical and lay witnesses to prove the plaintiff had not suffered an MTBI. Dr. MacKay and Nurse Thom provided evidence concerning the plaintiff's initial presentation at the Chilliwack Hospital Emergency Department, and refuted the suggestion that there was any basis for diagnosis of a basal skull fracture or brain injury. Dr. Joschko refuted any complaint that the plaintiff had suffered any impairment of cognitive function. Dr. Westerberg and Dr. Anderson rebutted the plaintiff's ongoing allegations that he suffered visual and auditory symptoms. Dr. Keyes and Dr. Foti, both neurologists, addressed the plaintiff's allegations concerning a wide variety of symptoms the plaintiff attributed to an MTBI. Mr. John Simpson was called to address his own observations of the plaintiff and the lack of any complaints of audio or vestibular issues at the time of his visit in the Hussack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completion of the evidence, the trial was adjourned for a period of two and a half weeks to accommodate my own scheduling as well as to allow counsel time to prepare written submissions. Defence counsel's request to exchange written submissions in advance of the oral arguments was opposed by plaintiff's counsel. I ordered that instead counsel would simply exchange their Books of Authorities approximately a week beforehand.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course of his closing argument on March 26, 2009, plaintiff's counsel, Mr. Gibbens, made no submissions concerning any MTBI, and made no reference to the evidence of Dr. Hunt. It was only in the course of defence counsel's submissions, when Ms. Forth was about to address the evidence refuting the claim of MTBI, that I asked Mr. Gibbens whether the plaintiff was continuing to advance that claim. He responded on behalf of the plaintiff that he was formally abandoning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Issues: </w:t>
      </w:r>
      <w:r>
        <w:rPr>
          <w:rFonts w:ascii="arial" w:eastAsia="arial" w:hAnsi="arial" w:cs="arial"/>
          <w:sz w:val="20"/>
          <w:lang w:val="en-US" w:eastAsia="en-US" w:bidi="ar-SA"/>
        </w:rPr>
        <w:cr/>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plaintiff be denied all of the costs at trial associated with the pursuit of the claim of MTBI? These costs comprise the following: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five days at trial;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to recover, by way of taxable disbursements, the fees of Dr. Hunt, Dr. Krywaniuk and Dr. Longridge.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plaintiff be required to reimburse the defendant Board for the fees of the following experts who attended to refute the plaintiff's claims of MTBI: Dr. Keyes, Dr. Foti, Dr. Joschko, Dr. Westerberg, Dr. Anderson, Dr. MacKay?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costs in this case be assessed on Scale B or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Analysis: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Rule 57(9) sets out the general rule that costs follow the event unless the court orders otherwise. In </w:t>
      </w:r>
      <w:r>
        <w:rPr>
          <w:rFonts w:ascii="arial" w:eastAsia="arial" w:hAnsi="arial" w:cs="arial"/>
          <w:i/>
          <w:color w:val="000000"/>
          <w:sz w:val="20"/>
          <w:lang w:val="en-US" w:eastAsia="en-US" w:bidi="ar-SA"/>
        </w:rPr>
        <w:t>Sigurdson v. Fidelity Insurance Co. (No. 2)</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[1977] 6 W.W.R. 451</w:t>
        </w:r>
      </w:hyperlink>
      <w:r>
        <w:rPr>
          <w:rFonts w:ascii="arial" w:eastAsia="arial" w:hAnsi="arial" w:cs="arial"/>
          <w:color w:val="000000"/>
          <w:sz w:val="20"/>
          <w:lang w:val="en-US" w:eastAsia="en-US" w:bidi="ar-SA"/>
        </w:rPr>
        <w:t xml:space="preserve"> (B.C.S.C.), McKenzie J. drew a distinction between the "event", which he compared to a war, and an "issue", which he compared to a battle in a 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Here the defendant relies on Rule 57(15)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 that relate to some particular issue or part of the proceeding or may award costs except so far as they relate to some particular issue or part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Jacobsen v. Bergman</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[1999] B.C.J. No. 2910</w:t>
        </w:r>
      </w:hyperlink>
      <w:r>
        <w:rPr>
          <w:rFonts w:ascii="arial" w:eastAsia="arial" w:hAnsi="arial" w:cs="arial"/>
          <w:color w:val="000000"/>
          <w:sz w:val="20"/>
          <w:lang w:val="en-US" w:eastAsia="en-US" w:bidi="ar-SA"/>
        </w:rPr>
        <w:t xml:space="preserve"> (S.C.), Burnyeat J. discussed the limited circumstances in which costs should be apportioned under Rule 57(15)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Costs should be apportioned under Rule 57(15) only where separate issues can be delineated clearly: </w:t>
      </w:r>
      <w:r>
        <w:rPr>
          <w:rFonts w:ascii="arial" w:eastAsia="arial" w:hAnsi="arial" w:cs="arial"/>
          <w:i/>
          <w:color w:val="000000"/>
          <w:sz w:val="20"/>
          <w:lang w:val="en-US" w:eastAsia="en-US" w:bidi="ar-SA"/>
        </w:rPr>
        <w:t>Haida Inn Partnership v. Touche Ross &amp; Co.</w:t>
      </w:r>
      <w:r>
        <w:rPr>
          <w:rFonts w:ascii="arial" w:eastAsia="arial" w:hAnsi="arial" w:cs="arial"/>
          <w:color w:val="000000"/>
          <w:sz w:val="20"/>
          <w:lang w:val="en-US" w:eastAsia="en-US" w:bidi="ar-SA"/>
        </w:rPr>
        <w:t xml:space="preserve"> (1991), 48 C.P.C. (2d) 61 (B.C.S.C.). Rule 57(15) was not designed to allow for a minute dissection of the success or failure of litigants on the completion of the trial but rather was envisioned that there would be [discrete] issues, occupying distinct portions of time in the life of a trial and involving distinct questions of law or fact, upon which an objective observer could say one or other of the parties was successful in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leading authority on the application of Rule 57(15) is the British Columbia Court of Appeal's decision in </w:t>
      </w:r>
      <w:r>
        <w:rPr>
          <w:rFonts w:ascii="arial" w:eastAsia="arial" w:hAnsi="arial" w:cs="arial"/>
          <w:i/>
          <w:color w:val="000000"/>
          <w:sz w:val="20"/>
          <w:lang w:val="en-US" w:eastAsia="en-US" w:bidi="ar-SA"/>
        </w:rPr>
        <w:t>Sutherland v. Canada (Attorney General)</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2008 BCCA 27</w:t>
        </w:r>
      </w:hyperlink>
      <w:r>
        <w:rPr>
          <w:rFonts w:ascii="arial" w:eastAsia="arial" w:hAnsi="arial" w:cs="arial"/>
          <w:color w:val="000000"/>
          <w:sz w:val="20"/>
          <w:lang w:val="en-US" w:eastAsia="en-US" w:bidi="ar-SA"/>
        </w:rPr>
        <w:t>. The Court reviewed the law relating to applications under Rule 57(15), noting: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A plain reading of the rule appears to give the judge a broad discretion to award costs to an unsuccessful party, or to deny costs to a successful party, with respect to an identifiable issue or part of the proceeding. As with every discretionary power, it must be exercised on a principled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w:t>
      </w:r>
      <w:r>
        <w:rPr>
          <w:rFonts w:ascii="arial" w:eastAsia="arial" w:hAnsi="arial" w:cs="arial"/>
          <w:i/>
          <w:color w:val="000000"/>
          <w:sz w:val="20"/>
          <w:lang w:val="en-US" w:eastAsia="en-US" w:bidi="ar-SA"/>
        </w:rPr>
        <w:t>British Columbia v. Worthington (Canada) Inc.</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(1988), 29 B.C.L.R. (2d) 145</w:t>
        </w:r>
      </w:hyperlink>
      <w:r>
        <w:rPr>
          <w:rFonts w:ascii="arial" w:eastAsia="arial" w:hAnsi="arial" w:cs="arial"/>
          <w:color w:val="000000"/>
          <w:sz w:val="20"/>
          <w:lang w:val="en-US" w:eastAsia="en-US" w:bidi="ar-SA"/>
        </w:rPr>
        <w:t xml:space="preserve"> (C.A.), leave to appeal to S.C.C. ref'd, </w:t>
      </w:r>
      <w:hyperlink r:id="rId451" w:history="1">
        <w:r>
          <w:rPr>
            <w:rFonts w:ascii="arial" w:eastAsia="arial" w:hAnsi="arial" w:cs="arial"/>
            <w:i/>
            <w:color w:val="0077CC"/>
            <w:sz w:val="20"/>
            <w:u w:val="single"/>
            <w:shd w:val="clear" w:color="auto" w:fill="FFFFFF"/>
            <w:lang w:val="en-US" w:eastAsia="en-US" w:bidi="ar-SA"/>
          </w:rPr>
          <w:t>[1988] S.C.C.A. No. 368</w:t>
        </w:r>
      </w:hyperlink>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36 B.C.L.R. (2d) xxxvi</w:t>
        </w:r>
      </w:hyperlink>
      <w:r>
        <w:rPr>
          <w:rFonts w:ascii="arial" w:eastAsia="arial" w:hAnsi="arial" w:cs="arial"/>
          <w:color w:val="000000"/>
          <w:sz w:val="20"/>
          <w:lang w:val="en-US" w:eastAsia="en-US" w:bidi="ar-SA"/>
        </w:rPr>
        <w:t xml:space="preserve">] is the leading case with respect to the application of Rule 57(15). It affirms that under Rule 57(15) the Court has full power to determine by whom the costs related to a particular issue are to be paid. As Esson J.A. states in </w:t>
      </w:r>
      <w:r>
        <w:rPr>
          <w:rFonts w:ascii="arial" w:eastAsia="arial" w:hAnsi="arial" w:cs="arial"/>
          <w:i/>
          <w:color w:val="000000"/>
          <w:sz w:val="20"/>
          <w:lang w:val="en-US" w:eastAsia="en-US" w:bidi="ar-SA"/>
        </w:rPr>
        <w:t>Worthington</w:t>
      </w:r>
      <w:r>
        <w:rPr>
          <w:rFonts w:ascii="arial" w:eastAsia="arial" w:hAnsi="arial" w:cs="arial"/>
          <w:color w:val="000000"/>
          <w:sz w:val="20"/>
          <w:lang w:val="en-US" w:eastAsia="en-US" w:bidi="ar-SA"/>
        </w:rPr>
        <w:t>, the discretion of trial judges under Rule 57(15) is very broad, and must be exercised judicially, not arbitrarily or capriciously. There must be circumstances connected with the case which render it manifestly fair and just to apportion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test for the apportionment of costs under Rule 57(15) can be set out as follows: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apportionment must establish that there are separate and discrete issues upon which the ultimately unsuccessful party succeeded at trial;</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basis on which the trial judge can identify the time attributable to the trial of these separate issues;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shown that apportionment would effect a 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at trial, </w:t>
      </w:r>
      <w:hyperlink r:id="rId452" w:history="1">
        <w:r>
          <w:rPr>
            <w:rFonts w:ascii="arial" w:eastAsia="arial" w:hAnsi="arial" w:cs="arial"/>
            <w:i/>
            <w:color w:val="0077CC"/>
            <w:sz w:val="20"/>
            <w:u w:val="single"/>
            <w:shd w:val="clear" w:color="auto" w:fill="FFFFFF"/>
            <w:lang w:val="en-US" w:eastAsia="en-US" w:bidi="ar-SA"/>
          </w:rPr>
          <w:t>[2001] B.C.J. No. 1450</w:t>
        </w:r>
      </w:hyperlink>
      <w:r>
        <w:rPr>
          <w:rFonts w:ascii="arial" w:eastAsia="arial" w:hAnsi="arial" w:cs="arial"/>
          <w:color w:val="000000"/>
          <w:sz w:val="20"/>
          <w:lang w:val="en-US" w:eastAsia="en-US" w:bidi="ar-SA"/>
        </w:rPr>
        <w:t>, the plaintiffs succeeded in establishing that the defendants had committed a nuisance by creating and operating a new airport runway. The defendants successfully appealed on the basis that the defence of statutory authority provided a complete defence. The plaintiffs applied for apportionment of costs on the issue of nuisance on which they were successful at trial and which was not reversed on appeal. The trial judge had awarded the plaintiffs 25/39ths of all properly assessable costs and the defendants 14/39ths of their properly assessable costs. This apportionment reflected the trial judge's assessment that 25 of the 39 days of trial were occupied with the issue of nuisance on which the plaintiffs had succeeded and 14 were occupied with the defence of statutory authority, on which issue the defendants succeeded in having the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appeal, the Court of Appeal held that while the first and second branches of the test under Rule 57(15) were satisfied, the trial judge had erred in determining that the third branch of the test had been met. The Court noted that while the defendants (the parties who were ultimately successful), had lost on the nuisance issue, they did not prolong the case unnecessarily through their conduct with respect to the nuisance issue. It was the plaintiffs who had advanced that cause of action and it was the plaintiffs who resisted any attempt during the pre-trial proceedings to avoid a trial on the nuisance issue by having the defence of statutory authority resolved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Further, the Court of Appeal noted that the trial judge did not find the defendants had inflated or "over litigated" that issue. The Court found that the trial judge had erred by taking an irrelevant factor into account (i.e. suggesting the defendant should not have thought they had much success in defending the allegation of nuisance) and by finding that the defendants ignored the recommendation of the EARP (Environmental Assessment Review Process) Panel to compensate those adversely affected by noise from the runway.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Considering all of those factors, the Court held that the third leg of the Rule 57(15) test had not been met and quashed the trial judge's apportionment of costs. In the result, the Court ordered the plaintiffs to pay the defendants'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was recently followed and applied by the Court of Appeal in </w:t>
      </w:r>
      <w:r>
        <w:rPr>
          <w:rFonts w:ascii="arial" w:eastAsia="arial" w:hAnsi="arial" w:cs="arial"/>
          <w:i/>
          <w:color w:val="000000"/>
          <w:sz w:val="20"/>
          <w:lang w:val="en-US" w:eastAsia="en-US" w:bidi="ar-SA"/>
        </w:rPr>
        <w:t>Lewis v. Lehigh Northwest Cement Limited</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2009 BCCA 424</w:t>
        </w:r>
      </w:hyperlink>
      <w:r>
        <w:rPr>
          <w:rFonts w:ascii="arial" w:eastAsia="arial" w:hAnsi="arial" w:cs="arial"/>
          <w:color w:val="000000"/>
          <w:sz w:val="20"/>
          <w:lang w:val="en-US" w:eastAsia="en-US" w:bidi="ar-SA"/>
        </w:rPr>
        <w:t xml:space="preserve">. This was an action for damages for wrongful dismissal. Following a two-day summary trial, </w:t>
      </w:r>
      <w:hyperlink r:id="rId454" w:history="1">
        <w:r>
          <w:rPr>
            <w:rFonts w:ascii="arial" w:eastAsia="arial" w:hAnsi="arial" w:cs="arial"/>
            <w:i/>
            <w:color w:val="0077CC"/>
            <w:sz w:val="20"/>
            <w:u w:val="single"/>
            <w:shd w:val="clear" w:color="auto" w:fill="FFFFFF"/>
            <w:lang w:val="en-US" w:eastAsia="en-US" w:bidi="ar-SA"/>
          </w:rPr>
          <w:t>[2008] B.C.J. No. 764</w:t>
        </w:r>
      </w:hyperlink>
      <w:r>
        <w:rPr>
          <w:rFonts w:ascii="arial" w:eastAsia="arial" w:hAnsi="arial" w:cs="arial"/>
          <w:color w:val="000000"/>
          <w:sz w:val="20"/>
          <w:lang w:val="en-US" w:eastAsia="en-US" w:bidi="ar-SA"/>
        </w:rPr>
        <w:t>, the Chambers judge concluded the plaintiff was entitled to 22 months' notice of his termination and awarded damages of $200,000. He awarded the plaintiff an amount for costs which, following set-off, effectively amounted to 30% of his costs. That apportionment rested on the grounds that there had been seven "issues" at trial and that the plaintiff had succeeded on some, while the defendant had succeeded on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Restating the Court's admonition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that applications under Rule 57(15) should be confined to "rare" cases, the Court of Appeal rejected that apportionment of costs and held that with the possible exception of the plaintiff's claim for </w:t>
      </w:r>
      <w:r>
        <w:rPr>
          <w:rFonts w:ascii="arial" w:eastAsia="arial" w:hAnsi="arial" w:cs="arial"/>
          <w:i/>
          <w:color w:val="000000"/>
          <w:sz w:val="20"/>
          <w:lang w:val="en-US" w:eastAsia="en-US" w:bidi="ar-SA"/>
        </w:rPr>
        <w:t>Wallace</w:t>
      </w:r>
      <w:r>
        <w:rPr>
          <w:rFonts w:ascii="arial" w:eastAsia="arial" w:hAnsi="arial" w:cs="arial"/>
          <w:color w:val="000000"/>
          <w:sz w:val="20"/>
          <w:lang w:val="en-US" w:eastAsia="en-US" w:bidi="ar-SA"/>
        </w:rPr>
        <w:t xml:space="preserve"> damages, the action was a straightforward wrongful dismissal case which raised all of the issues that are routinely addressed in such an action. The plaintiff had simply failed to prove all of the damages he claimed. Thus the Court concluded there was no basis upon which to say this was a case which gave rise to "special considerations" permitting the invocation of Rule 57(15).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Relying upon this line of cases, the plaintiff submits that even though the allegations of an MTBI were not proven at trial, he should not be denied his right to recover any costs or disbursements associated with that theory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Rule 57(15) 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At this juncture, I will address the three-part test for apportionment of costs set out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First, the party seeking apportionment must establish that there are separate and discrete issues upon which the ultimately unsuccessful party succeeded at trial. The defendant says that the plaintiff's allegation he suffered an MTBI constituted a separate and discrete issue at trial. The plaintiff submits the (MTBI) allegation was not a discrete issue but rather was one issue subsumed in the larger issue of whether the plaintiff had suffered any kind of long-term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Relying on the decision of Goepel J. in </w:t>
      </w:r>
      <w:r>
        <w:rPr>
          <w:rFonts w:ascii="arial" w:eastAsia="arial" w:hAnsi="arial" w:cs="arial"/>
          <w:i/>
          <w:color w:val="000000"/>
          <w:sz w:val="20"/>
          <w:lang w:val="en-US" w:eastAsia="en-US" w:bidi="ar-SA"/>
        </w:rPr>
        <w:t>Egan v. Fairchild and Fairchild</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2005 BCSC 210</w:t>
        </w:r>
      </w:hyperlink>
      <w:r>
        <w:rPr>
          <w:rFonts w:ascii="arial" w:eastAsia="arial" w:hAnsi="arial" w:cs="arial"/>
          <w:color w:val="000000"/>
          <w:sz w:val="20"/>
          <w:lang w:val="en-US" w:eastAsia="en-US" w:bidi="ar-SA"/>
        </w:rPr>
        <w:t xml:space="preserve">, aff'd </w:t>
      </w:r>
      <w:hyperlink r:id="rId456" w:history="1">
        <w:r>
          <w:rPr>
            <w:rFonts w:ascii="arial" w:eastAsia="arial" w:hAnsi="arial" w:cs="arial"/>
            <w:i/>
            <w:color w:val="0077CC"/>
            <w:sz w:val="20"/>
            <w:u w:val="single"/>
            <w:shd w:val="clear" w:color="auto" w:fill="FFFFFF"/>
            <w:lang w:val="en-US" w:eastAsia="en-US" w:bidi="ar-SA"/>
          </w:rPr>
          <w:t>2007 BCCA 35</w:t>
        </w:r>
      </w:hyperlink>
      <w:r>
        <w:rPr>
          <w:rFonts w:ascii="arial" w:eastAsia="arial" w:hAnsi="arial" w:cs="arial"/>
          <w:color w:val="000000"/>
          <w:sz w:val="20"/>
          <w:lang w:val="en-US" w:eastAsia="en-US" w:bidi="ar-SA"/>
        </w:rPr>
        <w:t xml:space="preserve">, the plaintiff submits that in the context of a personal injury trial, where the court finds the plaintiff has suffered some long-term injury justifying an award of damages, the loss on the issue of whether the plaintiff suffered an MTBI amounts to no more than a "skirmish" in the overall "war" at trial. In </w:t>
      </w:r>
      <w:r>
        <w:rPr>
          <w:rFonts w:ascii="arial" w:eastAsia="arial" w:hAnsi="arial" w:cs="arial"/>
          <w:i/>
          <w:color w:val="000000"/>
          <w:sz w:val="20"/>
          <w:lang w:val="en-US" w:eastAsia="en-US" w:bidi="ar-SA"/>
        </w:rPr>
        <w:t>Egan</w:t>
      </w:r>
      <w:r>
        <w:rPr>
          <w:rFonts w:ascii="arial" w:eastAsia="arial" w:hAnsi="arial" w:cs="arial"/>
          <w:color w:val="000000"/>
          <w:sz w:val="20"/>
          <w:lang w:val="en-US" w:eastAsia="en-US" w:bidi="ar-SA"/>
        </w:rPr>
        <w:t xml:space="preserve">, the plaintiff did not prove he had suffered an MTBI, but did succeed in proving he suffered from a permanent generalized anxiety disorder. The main distinction in that case was that the former injury (MTBI) was permanent whereas the latter condition (anxiety disorder) could be improved with treatment, hence the lower damages awarded. The plaintiff submits that this same logic should apply here. In </w:t>
      </w:r>
      <w:r>
        <w:rPr>
          <w:rFonts w:ascii="arial" w:eastAsia="arial" w:hAnsi="arial" w:cs="arial"/>
          <w:i/>
          <w:color w:val="000000"/>
          <w:sz w:val="20"/>
          <w:lang w:val="en-US" w:eastAsia="en-US" w:bidi="ar-SA"/>
        </w:rPr>
        <w:t>Egan</w:t>
      </w:r>
      <w:r>
        <w:rPr>
          <w:rFonts w:ascii="arial" w:eastAsia="arial" w:hAnsi="arial" w:cs="arial"/>
          <w:color w:val="000000"/>
          <w:sz w:val="20"/>
          <w:lang w:val="en-US" w:eastAsia="en-US" w:bidi="ar-SA"/>
        </w:rPr>
        <w:t>, the plaintiff called two expert witnesses to support the MTBI theory of injury; however, two other experts were not called, nor were their reports filed. Counsel knew at the close of the plaintiff's case that the MTBI theory was no longer being pursued. No defence evidence on the issue was called. In the present case, all of the plaintiff's evidence supporting the MTBI theory was called at trial, requiring the defence to call all of its evidence. Plaintiff's counsel did not abandon the MTBI theory until after the defendant's closing argument was underway. The MTBI issue in the present case was more its own "battle" than a lesser "skirmish."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Further, the plaintiff submits that here the MTBI issue ought not to be considered a discrete issue at trial since it was obvious from the outset of trial that he was not advancing such a claim. Here counsel relies on the Opening Statement in which he noted that the case was "not really about a structural brain injury". He says that the only issue was whether Mr. Hussack suffered any long-term damage from the injuries suffered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reject the plaintiff's characterization of the key issues at trial. Other than the issue of whether the defendant Board had breached its duty of care to the plaintiff, the central issue was one of causation -- that is, whether the plaintiff had proven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development of the somatoform disorder. There was no dispute the plaintiff suffered from a somatoform disorder. The defence further conceded the plaintiff suffered ongoing problems related to such a disorder. The only issue was causation. The plaintiff's position was that the somatoform disorder was caused by the injuries suffered in the accident, specifically an MTBI. The defence position was that the injury was no more serious than a mild concussion, but that in any case, the developmental stages of a somatoform disorder pre-existed the accident, and Mr. Hussack Sr.'s acts and omissions, as well as Mr. Hussack's failure to follow the advice of his medical practitioners, contributed to the development of the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Thus, the standard of care applicable to the teacher (and whether it had been breached), the seriousness of the alleged precipitating injury and the causative effect of such injury (in terms of the development of the somatoform disorder) were the key issues at trial. Within the causation issue, the MTBI theory was clearly a discrete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Ultimately, I found that the plaintiff had suffered a mild concussion and that it was the teacher's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gave rise to such an injury) which was the proximate cause of the development of the somatoform disorder. Thus, while the plaintiff failed to prove he had suffered an MTBI, he did succeed in proving that the milder injury led to the development of the somatoform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Secondly, the party seeking apportionment must establish there is a basis on which the trial judge can identify the time attributable to the trial of the particular separate issue in respect of which the unsuccessful party was successful. This requires me to determine which witnesses were called solely to testify on the MTBI issue, and to estimate how much time would have been saved in the testimony of other witnesses who also gave evidence on other points. As set out in Ms. Grubbs' affidavit, a number of witnesses were called by the plaintiff to establish he had suffered an MTBI -- Dr. Hunt, Dr. Krywaniuk, Dr. Ancill and Dr. Longridge. Responding to those claims, the defence called a series of experts and lay witnesses: Dr. Keyes, Dr. Foti, Dr. Joschko, Dr. Westerberg, Dr. Anderson, Dr. Mackay, Nurse Thom and John Simpson.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I accept that the trial would have been shorter had the MTBI issue not been raised, I do not specifically accept Ms. Grubbs' estimate that had the MTBI theory not been advanced, the trial would have been five days shorter. While some of the witnesses may not have been required to testify at all at trial, some of the witnesses would likely have testified regardless of the MTBI issue, since their evidence addressed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For example, while some of Dr. Keyes' evidence was likely unnecessary, his evidence did confirm that the plaintiff's head injury was not a trifling one, but one which in normal circumstances would have required four to six months for a resolution of the symptoms. While that evidence constituted a small part of his evidence, the evidence was important in terms of establishing that there was at least some significant event in the chain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For his part, Dr. Krywaniuk specifically confirmed that the accident was a significant contributing factor in causing the development of the somatoform disorder. His evidence was also significant in terms of addressing the need for a comprehensive rehabilitation program, including the plaintiff's need for a vocational consultant. His evidence was also valuable in terms of opining that Mr. Hussack likely lacked the requisite insight or the judgment to understand what was happening to him at the material time in order to avoid becoming entrenched in the somatoform disorder, thus refuting the claim that Mr. Hussack had failed to mitigate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Joschko provided some important evidence concerning the issue of school refusal and school anxiety, undermining (to a degree) Dr. O'Shaughnessy's opinion that Mr. Hussack's pre-accident school refusal implied an element of anxiety which the literature suggested was associated with high rates of mental disorder or psychiatric illness. Dr. Joschko's evidence also played an important role in assessing the past wage loss claim and whether it could be said that but for the injury, the plaintiff would have completed high school and gone on to post-secondary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Perhaps most significantly, in the course of analyzing the overall development of the plaintiff's symptoms, Dr. Foti testified that it was difficult to unravel the post-concussion symptoms from the somatic symptoms since they were essentially intertwined. In a sense, the plaintiff's allegations of an ever-expanding, ever-increasing constellation of symptoms which he attributed to an MTBI were really a reflection of the development of the somatoform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That said, I accept that there a number of witnesses who would not have been called at all as witnesses and some witnesses whose evidence would have been considerably shorter had the MTBI issue not been raised. I expect that Dr. Hunt would not have been called as a witness (1 day); Dr. Krywaniuk's evidence would be reduced by one-half day to one-quarter day; Dr. Ancill would have testified for half the time allotted (reducing his testimony to 1/4 day); and Dr. Longridge would not have testified (45 mins).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I am satisfied that Dr. Keyes' evidence would have been considerably reduced. Rather than spending an entire day addressing each of the plaintiff's complaints and ruling out each as having some organic basis, I expect Dr. Keyes would have testified for a much shorter period, perhaps no more than an hour. Dr. Foti's evidence would remain; Dr. Joschko's evidence would remain; Dr. Westerberg would not have testified (45 minutes); Dr. Anderson would not have testified (45 minutes); Dr. MacKay would have testified briefly, down from 60 minutes to 20 minutes; Nurse Thom would not have testified (30 minutes); and John Simpson would likely have testified regardless (since he spoke on the issue of Mr. Hussack Sr.'s attitude).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While it is impossible to be exact in predicting how a trial would have unfolded if a particular issue was not pursued, I calculate that the trial would have been three days shorter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Thirdly, the party seeking apportionment must show that apportionment would effect a just result. In this context, I ask whether the plaintiff's pursuit of the allegation he had suffered an MTBI unnecessarily prolonged this trial. Other than Dr. Hunt, none of the plaintiff's own treating physicians or medical consultants supported such a theory of the injury he had suffered. The huge volume of clinical records, medical reports and hospital charts overwhelmingly pointed away from such a theory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Gibbens submitted it was only because the defence expert neurologist, Dr. Keyes, theorized that the plaintiff had suffered no more than a synoptic event (i.e. he had fainted due to pain), that the plaintiff was forced to call Dr. Hunt to prove he had suffered a concussion. This submission might make sense if Dr. Hunt's evidence had been limited to proving the plaintiff had suffered a concussion. However, as I have already noted, Dr. Hunt's evidence went much further. Moreover, quite apart from Dr. Hunt, there was other evidence available to the plaintiff to prove such an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Chan, who examined Mr. Hussack in October 1998 on a neurological consultation requested by his family physician, concluded he had suffered a cerebral concussion and that several months afterward he developed a post-concussion syndrome. Thus, if the challenge was for the plaintiff to prove he had at least suffered a concussion which in turn led to the development of the somatoform disorder, there was no need to call Dr. Hunt's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I have already noted, Dr. Hunt's evidence went far beyond any concussion theory and rested firmly on the theory the plaintiff had suffered a much more serious MTBI -- including a cerebral concussion, a basal skull fracture and a resulting dural tear (leading to a CSF leak). Dr. Hunt's theory entirely ignored the allegation that the plaintiff was suffering from a somatoform disorder, but instead related all of the plaintiff's ongoing complaints to this physiological rather than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these circumstances, in my view, the defendant properly responded and defended the MTBI theory. The defendant was essentially faced with two theories of injury -- the MTBI theory (which Dr. Hunt was satisfied accounted for all of the plaintiff's ongoing symptoms) and the somatoform disorder theory (in which a mild concussion had triggered the development of the psychiatric disorder). If the somatoform disorder theory did not succeed, the alternate theory of injury was still available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these circumstances, it is disingenuous, in my view, for plaintiff's counsel to now submit that the defendant cannot claim costs over an issue "for which there was no battle". While the plaintiff purported to resile from the MTBI theory of injury in his Opening Statement, his counsel nevertheless proceeded to call all of the evidence to prove just such an injury at trial. Thus in my view, regardless of the position expressed in the Opening Statement, proof of the MTBI allegation remained a live battle throughout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my view, there is no question that by raising and continuing to pursue the MTBI issue throughout the trial, the plaintiff unnecessarily prolonged this case. It was the plaintiff who raised the issue of an MTBI and even adjourned the original trial date to allow for further examination and investigation of such an injury. Notwithstanding overwhelming evidence to the contrary, from both his own physicians and the defence medical experts, the plaintiff continued to pursue this allegation of injury throughout the trial. The allegation was not abandoned until midway through defence counsel's closing submissions. In these circumstances, it is only fair to excuse the defendant from paying the plaintiff's costs related to the MTBI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fair apportionment of costs: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Since I have found the circumstances here do justify an apportionment of costs, the remaining issue is to determine a fair apportionment. The defendant submits the plaintiff should be denied (a) his costs associated with five days of trial, and (b) any recovery for the disbursements associated with Dr. Hunt, Dr. Krywaniuk or Dr. Longridge.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the number of days of trial which could have been avoided had the MTBI issue not been pursued by the plaintiff, I have already found that overall the trial would likely have been three days shorter. On this basis, I am satisfied that in the taxation of costs, the plaintiff's Bill of Costs ought to reflect such a reduction in the number of days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On the plaintiff's claim for recovery of the disbursements related to his experts, the parties agree that my finding that the plaintiff ought not to have pursued the MTBI issue at trial does not determine the plaintiff's right to recover those disbursements. Instead, whether an expert report disbursement will be allowed must be judged by the situation at the time the expense was incurred. Where an expert report is found inadmissible at trial or even where the report is not ultimately served on the opposing party prior to trial, the disbursements related to such a report may nevertheless be recoverable so long as the costs of the expert report were reasonably incurred in contemplation of, or in preparation for, the litigation. On taxation it is an error in principle for the registrar to focus on the usefulness of an expert's report to a trier of fact rather than on whether, at the time it was commissioned, it could have been justified as a proper expenditure to fully and properly prepare the case for trial: </w:t>
      </w:r>
      <w:r>
        <w:rPr>
          <w:rFonts w:ascii="arial" w:eastAsia="arial" w:hAnsi="arial" w:cs="arial"/>
          <w:i/>
          <w:color w:val="000000"/>
          <w:sz w:val="20"/>
          <w:lang w:val="en-US" w:eastAsia="en-US" w:bidi="ar-SA"/>
        </w:rPr>
        <w:t>Morrissette v. Smith</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[1990] B.C.J. No. 193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I noted earlier, Dr. Krywaniuk's evidence touched on the issues of causation, rehabilitation and mitigation. In my view, it was reasonable for counsel to have retained him and to have him testify at trial. Dr. Longridge's evidence was only called as a result of the MTBI theory advanced by Dr. Hunt. I accept that given the opinion advanced by Dr. Hunt, it may well have been appropriate for the plaintiff's counsel to at least seek a report from Dr. Longridge to address the plaintiff's complaints of audio vestibular problems. Thus the disbursements related to both the preparation of Dr. Krywaniuk's report and his attendance at trial will be allowed. Regarding Dr. Longridge, only the fees related to preparation of his report will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defence submission is most intensely focused on Dr. Hunt, who the defence says assumed the role of an advocate rather than an expert. The defence complains that Dr. Hunt's report was based on incomplete and inaccurate facts and assumptions, that he failed to properly review either the family doctor's records, the Hospital emergency records, or the numerous specialists' reports prior to preparing his report, and that his theory of a basal skull fracture and CSF leak was not supported by any of the emergency physicians or the treating physicians who subsequently examined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it is not determinative on this issue of costs, it remains that Dr. Hunt's opinion was of no significance in the assessment of the plaintiff's injuries. It was commissioned after the defence service of Dr. O'Shaughnessy's report providing the diagnosis of somatoform disorder. While I accept that it may well have been reasonable for plaintiff's counsel to retain Dr. Hunt to specifically address whether there was any continuing foundation for the MTBI theory to be advanced at trial (rather than presuming the plaintiff was suffering a purely psychogenic injury), following the preparation of that report, I reject the notion it was appropriate to then call Dr. Hunt's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will not broadly characterize Dr. Hunt as a biased advocate for the plaintiff. The problem, in my view, was not advocacy but rather something close to reckless arrogance on his part. His report was not based on any thorough analysis of the plaintiff's history (as revealed in the various clinical records and hospital charts). Dr. Hunt advanced the MTBI theory which, by the date of trial, was entirely discounted by both the plaintiff's own physicians and the defence physicians. Dr. Hunt simply insisted that all of these professionals had missed the diagnosis since they lacked what he believed to be his very superior diagnostic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I noted earlier, adducing this evidence and calling Dr. Hunt to testify at trial unnecessarily prolonged the trial. Although I will allow the disbursement associated with the initial preparation of the report (notwithstanding its many deficiencies), the defendant will not be required to pay the disbursement associated with Dr. Hunt's attendance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Further, the defendant submits the plaintiff should reimburse the defendant for the following costs: the fees of Dr. Keyes, Dr. Foti, Dr. Joschko, Dr. Westerberg, Dr. Anderson, and Dr. MacKay. The plaintiff opposes any such apportionment on the grounds that some of those defence experts provided evidence which ultimately supported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my view, the defence should not be reimbursed for the costs of the reports provided by Dr. Keyes, Dr. Foti, Dr. Joschko, Dr. Westerberg, or Dr. Anderson. All of these reports were commissioned to respond to the MTBI claim. As I noted earlier, the plaintiff should be entitled to recover the cost of Dr. Hunt's report. However, the defence should not be burdened with the fees of calling the various doctors at trial. Some did provide evidence which assisted the plaintiff's claim, but some would never have been called but for the plaintiff's pursuit of the MTBI issue - Dr. Westerberg and Dr. Anderson. As to Dr. MacKay, I believe that as the Emergency physician on site he would have been called regardless to discuss the initial head injury. The plaintiff should reimburse the defendant for the fees of Dr. Westerberg and Dr. Anderson to attend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Appropriate scale of costs: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submits that the appropriate scale of costs is Scale B while the plaintiff submits the appropriate scale is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Appendix B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established a new tariff system for assessing party and party costs under which costs are to be assessed in accordance with a scale of difficulty. The relevant factors to be considered when addressing the issue of difficulty are the length of trial, the complexity of the issues involved, the number and complexity of the pre-trial applications, whether or not the action was hard fought with little or nothing being conceded along the way, the number and length of the Examinations for Discovery, the number and complexity of the expert reports and the extent and effort required in the collection and proof of facts (</w:t>
      </w:r>
      <w:r>
        <w:rPr>
          <w:rFonts w:ascii="arial" w:eastAsia="arial" w:hAnsi="arial" w:cs="arial"/>
          <w:i/>
          <w:color w:val="000000"/>
          <w:sz w:val="20"/>
          <w:lang w:val="en-US" w:eastAsia="en-US" w:bidi="ar-SA"/>
        </w:rPr>
        <w:t>Mort v. Board of School Trustees of School Board No. 63 (Saanich)</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2001 BCSC 1473</w:t>
        </w:r>
      </w:hyperlink>
      <w:r>
        <w:rPr>
          <w:rFonts w:ascii="arial" w:eastAsia="arial" w:hAnsi="arial" w:cs="arial"/>
          <w:color w:val="000000"/>
          <w:sz w:val="20"/>
          <w:lang w:val="en-US" w:eastAsia="en-US" w:bidi="ar-SA"/>
        </w:rPr>
        <w:t>,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trial required 20 days of evidence and 3 days of argument. As I noted earlier, had the MTBI theory not been advanced, the case would have been close to three days shorter and the written submissions (at least on the defendant's part) would have been much shorter. As to the extent of the effort involved in the collection of evidence, while there were a large number of medical and school records in this matter, the majority were collected pursuant to authorizations which required no particular effort. In the context of a personal injury trial, the amount of documentation was within the normal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have already commented on the issues involved. The liability issue (i.e. whether the physical education teacher breached his duty of care) was not particularly complex. The law on the issue of liability and the standard of care was not complex. There was one plaintiff and one defendant. Most of the historical facts introduced through a long list of defence witnesses required little if any cross-examination by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were only four pre-trial applications, none of which was complex:</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application to adjourn the trial and the defendant's cross-application to compel the plaintiff to attend an independent medical examination ("IME") at Dr. Keyes office (one day);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application to compel the plaintiff to attend Dr. Anderson's IME (one day);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defence application to amend the Statement of Defence to plead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(half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was a single examination for discovery of a defence representative for a half day. The defendant examined the plaintiff for discovery on four occasions -- one full day and three half days (one such discovery lasting only 1.5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I noted earlier, the defendant conceded from the time of the delivery of Dr. O'Shaughnessy's report that the plaintiff suffered from a somatoform disorder, leaving causation as the only issue. The plaintiff, however, would not resile from pursuing the allegation that he had suffered an MTBI until the defence closing submissions were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relied on nine experts while the defendant relied on twelve experts. As I have already noted, had the plaintiff not pursued the MTBI issue, a number of the experts on both sides would not have had to be called, or at least the time the experts took to testify would have been considerably shortened.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my view, the only aspect of this action which was particularly difficult or complex concerned the unusual nature of the injury suffered by the plaintiff and the legal and factual analysis underlying proof of the causation of the somatoform disorder. That said, I am not persuaded that this factor, in and of itself, results in a finding that this case was of "more than ordinary difficulty" justifying an order for costs under Scale C. I conclude that, applying the factors in </w:t>
      </w:r>
      <w:r>
        <w:rPr>
          <w:rFonts w:ascii="arial" w:eastAsia="arial" w:hAnsi="arial" w:cs="arial"/>
          <w:i/>
          <w:color w:val="000000"/>
          <w:sz w:val="20"/>
          <w:lang w:val="en-US" w:eastAsia="en-US" w:bidi="ar-SA"/>
        </w:rPr>
        <w:t>Mort</w:t>
      </w:r>
      <w:r>
        <w:rPr>
          <w:rFonts w:ascii="arial" w:eastAsia="arial" w:hAnsi="arial" w:cs="arial"/>
          <w:color w:val="000000"/>
          <w:sz w:val="20"/>
          <w:lang w:val="en-US" w:eastAsia="en-US" w:bidi="ar-SA"/>
        </w:rPr>
        <w:t>, costs in this case should be taxed under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Conclusion: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plaintiff's Bill of Costs, the number of days at trial will be reduced by three. The plaintiff's disbursements related to both the preparation of Dr. Krywaniuk's report and his attendance at trial will be allowed. Regarding Dr. Longridge and Dr. Hunt, the plaintiff will be allowed to recover as taxable disbursements, the fees related to preparation of their reports will be allowed, but the defendant will not be required to pay the disbursement associated with their attendance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will reimburse the defendant for the fees of Dr. Westerberg and Dr. Anderson to attend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appropriate scale of costs in this case is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 BOYD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Konnert v. Buonassisi, [2020] I.L.R. para. M-3188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Hinkson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September 27,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Court File Nos. M164472, M1812710</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[2020] I.L.R. para. M-3188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[2019] B.C.J. No. 1830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2019 BCSC 1648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Kimberly Martha Konnert v. James Samuele Buonassisi and Nissan Canada Inc.; Kimberly Martha Konnert v. Collin George Hepburn, Josephine Amanda Plunkett and Katherine Thaxter</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2" w:name="Keywords_7"/>
      <w:bookmarkEnd w:id="72"/>
      <w:r>
        <w:rPr>
          <w:rFonts w:ascii="arial" w:eastAsia="arial" w:hAnsi="arial" w:cs="arial"/>
          <w:b/>
          <w:color w:val="000000"/>
          <w:sz w:val="20"/>
          <w:lang w:val="en-US" w:eastAsia="en-US" w:bidi="ar-SA"/>
        </w:rPr>
        <w:t>Tort, motor vehicle — Personal injury damages — Headaches — Pre-existing injuries — Plaintiff was involved in three motor vehicle accidents, in December 2014, January 2017, and June 2017 — Plaintiff had pre-existing headaches, ongoing neck and back pain, jaw tension, and anxiety — Plaintiff worked at marketing agency from 2008 to 2010, as brand manager from 2010 to 2015, and as senior marketing manager from 2015 to 2017 — Plaintiff left jobs citing work stress and failure to accommodate her — In 2017, plaintiff started her own digital marketing company — Plaintiff claimed she experienced chronic pain, anxiety, neck, back, jaw, shoulder, and hip pain, increased anxiety, and debilitating migraine headaches — Plaintiff brought action for damages related to personal injuries — Court found accidents caused aggravation of pre-existing neck, shoulder, and back pain — Court did not find jaw pain differed from pre-existing pain — Court did not find plaintiff's psychological challenges could be attributed to any of accidents in more than de minimus way — Plaintiff's headaches worsened due to accidents but had stabilized — Plaintiff was largely able to return to pre-accident activities — Court awarded $90,000 in non-pecuniary damages — Court did not accept that plaintiff left work due to lack of accommodations — Court awarded $52,846 in past lost income — Plaintiff was entitled to two years' income to address acceleration of her deterioration caused by three accidents — Court awarded $150,000 for future loss of income — Court awarded costs of future care of $15,000 and loss of housekeeping capacity costs of $10,000 — Action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3" w:name="Case Summary_7"/>
            <w:bookmarkEnd w:id="73"/>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involved in three motor vehicle accidents, in December 2014, January 2017, and June 2017. The defendants admitted liability. At the time of the first accident, the plaintiff was 34 years old. The plaintiff had headaches since childhood and suffered from ongoing neck and back pain, jaw tension, and anxiety leading to panic attacks after a motor vehicle accident from the early 2000s and a head injury from 2008. The plaintiff held a degree in political science and in marketing and communication. She worked at a marketing agency from 2008 to 2010, as the brand manager for one of the agency's clients from 2010 to 2015, and as a senior marketing manager for another company from 2015 to 2017. She cited work stress or lack of accommodation as a reason for leaving her jobs. In 2017, she started her own digital marketing company. The plaintiff took three weeks off work after the first accident. She claimed that she currently experienced chronic pain, anxiety, neck tightness and pain, mid- and lower-back pain, pain in her jaw, left-shoulder pain, hip pain, increased anxiety, and debilitating migraine headaches with light sensitivity. The plaintiff brought an action for damages related to her personal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4" w:name="Holdings of Court_7"/>
            <w:bookmarkEnd w:id="74"/>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found that the accidents caused an aggravation of pre-existing neck, shoulder, and back pain. The Court did not find that the jaw pain differed from the pre-existing jaw issues. The Court did not find that the plaintiff's psychological challenges could be attributed to any of the accidents in more than a</w:t>
            </w:r>
            <w:r>
              <w:rPr>
                <w:rFonts w:ascii="arial" w:eastAsia="arial" w:hAnsi="arial" w:cs="arial"/>
                <w:i/>
                <w:color w:val="000000"/>
                <w:sz w:val="20"/>
                <w:lang w:val="en-US" w:eastAsia="en-US" w:bidi="ar-SA"/>
              </w:rPr>
              <w:t xml:space="preserve"> de minimus</w:t>
            </w:r>
            <w:r>
              <w:rPr>
                <w:rFonts w:ascii="arial" w:eastAsia="arial" w:hAnsi="arial" w:cs="arial"/>
                <w:color w:val="000000"/>
                <w:sz w:val="20"/>
                <w:lang w:val="en-US" w:eastAsia="en-US" w:bidi="ar-SA"/>
              </w:rPr>
              <w:t xml:space="preserve"> way. The Court found that the plaintiff's headaches worsened due to the three accidents but had stabilized. While the plaintiff's recreational activities were curtailed, this was in part due to the plaintiff now having an infant and a husband. The plaintiff was largely able to return to her pre-accident activities. The Court awarded $90,000 for her non-pecuniary damages. The Court found that the plaintiff left her first employer to advance her career and widen her work experience in the marketing industry. The Court did not accept that the plaintiff left due to lack of accommodations at work. The Court found that the plaintiff would have chosen to start her own business even without the accidents. The Court awarded $52,846 in past lost income. The Court found that the plaintiff was entitled to the equivalent of two years' income to address the acceleration of her deterioration caused by the three accidents, using an average of her salaries from the three post-accident employers. The Court awarded $150,000 for future loss of earnings. The plaintiff was further entitled to costs of future care of $15,000, loss of housekeeping capacity costs of $10,000, and special damages of $8,000. The total award was $325,846.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5" w:name="Counsel_13"/>
      <w:bookmarkEnd w:id="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S.W. Hood and L.H. Wang for the plaintiff; M.J. Straw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6" w:name="Judgment_12"/>
      <w:bookmarkEnd w:id="76"/>
      <w:r>
        <w:pict>
          <v:line id="_x0000_s1082" style="position:absolute;z-index:2517749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7" w:name="C.E. HINKSON C.J.S.C._0"/>
            <w:bookmarkEnd w:id="77"/>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two actions arise as a result of three successive motor vehicle accidents in which the plaintiff was involved on December 30, 2014, January 7, 2017 and June 21, 2017 ("the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action is with respect to the accident on December 30, 2014 and the second is with respect to the accident on January 7, 2017 and June 21,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two actions were heard together pursuant to the consent order of Master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was admitted by the defendants in both actions. Counsel for the defendants agreed that in the assessment of damages, it would be unnecessary to apportion the damages as between the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thus to be determined are the extent to which the plaintiff's current condition differs from the condition that she would have been in but for the injuries sustained in the three accidents, and the damages to be awarded as a consequence of those differences.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must establish that her alleged damage, loss, or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Where a court must assess a change in the plaintiff's condition following an accident, the legal principles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provide a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Supreme Court of Canada examined the relationship between injury causation and apportionment of damages between multiple causes (whether tortious and non-tortious causes, or multiple tortious causes). The key issue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was whether the plaintiff's injury (a non-tortious back injury following two earlier motor vehicle accidents) should be apportioned between the tortious and non-tortious causes, where both events were considered to be necessary to create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Writing for the Court, Mr. Justice Major held that, "[i]t has long been established that a defendant is liable for any injuries caused or contributed to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the defendant's conduct is found to be a cause of the injury, the presence of other non-tortious contributing causes does not reduce the extent of the defendant's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Abbott v. Gerges</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2014 BCSC 1329</w:t>
        </w:r>
      </w:hyperlink>
      <w:r>
        <w:rPr>
          <w:rFonts w:ascii="arial" w:eastAsia="arial" w:hAnsi="arial" w:cs="arial"/>
          <w:color w:val="000000"/>
          <w:sz w:val="20"/>
          <w:lang w:val="en-US" w:eastAsia="en-US" w:bidi="ar-SA"/>
        </w:rPr>
        <w:t xml:space="preserve"> at para. 55, Madam Justice Warren succinctly summarized the treatment of a pre-existing condition in the context of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fundamental principle in assessing tort damages is that the quantum should be that which is required to place the plaintiff in her original position; that is, the position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32. This requires a determination of the plaintiff's position after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an assessment of what the original position would have been. The difference between these positions represents the quantum of the defendants' liability: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PLAINTIFF PRIOR TO THE THREE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Konnert attended high school in Vancouver and excelled academically. She had particular interest in drama, theatre, movies and arts. She graduated from the University of British Columbia with a degree in political science in 2002, and she obtained a degree in marketing and communication from the British Columbia Institute of Technology ("BCIT")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a part of her BCIT program, Ms. Konnert was placed in an internship at a private marketing agency. She was hired as a full-time employee by the agency after she graduated. She worked there from 2008 to 2010. She has been involved in what she describes as market branding for most of the time following her graduation from BCIT.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2010, the British Columbia Lottery Corporation ("BCLC"), one of the agency's clients who worked with Ms. Konnert, recruited and encouraged her to apply for its brand manager position. Ms. Konnert successfully obtained this position and worked at BCLC from 2010 to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trial, the plaintiff was 39-years-old and the mother of an 11-month-old child.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Plaintiff's Health 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Prior to the accident of December 30, 2014, the plaintiff faced some health challenges. She had experienced some form of headaches since she was a child. Sometime in the early 2000s, she was involved in a collision when her vehicle was rear ended, resulting in neck and back pain. She fell at her home on September 7, 2008, sustaining a head injury. Thereafter she began to experience migraine type headaches in addition to the headaches that she had had since childhood. She suffered from ongoing neck and back pain, jaw tension, anxiety leading to panic attacks, and regular headaches of both the migrainous and non-migrainous type. She was prescribed medication and consulted a social worker, Ms. Anna Cahill, to address her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Notwithstanding her health challenges, the plaintiff engaged in hot yoga, swimming, paddle boarding, and on a few occasions hiked and snowshoed. She was a strong swimmer. She socialized with a variety of friends, and she was regarded by some as a "mother hen" and by others as an organizer of group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Konnert gave evidence of having missed three weeks from work in or around 2010 due to panic attacks that she experienced due to stress from work. Dr. Rozaliya Kim was the plaintiff's family physician in the spring of 2014. She did not give evidence but, in her records at that time, she noted that Ms. Konnert experienced depression and panic attacks beginning in January 2014 and that by April 2014, they were occurring twice per week. Dr. Kim prescribed the medication Cipralex to Ms. Konnert to deal with these attacks. It was around that time that the plaintiff began to see Ms. Cahill for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records of Awaken Health, a massage therapy clinic, indicate that as of May 2, 2014, the plaintiff had neck, back and shoulder pain "for a long time" that was aggravated by sitting, stress, computer time, and swimming.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Konnert gave evidence that she attended massage therapy regularly prior to the first accident. She saw a chiropractor while working at her first marketing agency between 2008 and 2010 and used her extended health benefits for massages and chiropractic treatments. She used Advil and Tylenol only during flare-ups of pain, but did not use them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two years prior to the December 30, 2014, she attended massage therapy seven times, acupuncture one time, and counselling eight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slipped and fell at work on December 8, 2014, suffering injuries to her knees and wrists and an aggravation of her existing back pain. She received massage and acupuncture treatments for these injuries, but did not take any time off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have been asked to determine whether Ms. Konnert should be considered to have had a thin or a crumbling skull, using the language referred to by Major J.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The plaintiff contends that she fits the former description, while the defendants contend that the latter description more appropriately fits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contend that the plaintiff's "original position" must necessarily include her pre-existing and ongoing conditions of anxiety (including her history of panic attacks), constant neck, mid, and lower back pain, and regular and migraine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reasons that I outline below, I find that the plaintiff was a combination of thin and crumbling skull, and would have still experienced some of her present difficulties had none of the three accidents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Konnert testified that on December 30, 2014, as she was returning home, she approached an intersection where she came to a complete stop for the red light. While sitting in her car and waiting for the light to change colour, her foot was on the brake, her right arm was on the steering wheel and her left arm was resting on the window. She felt an impact in the back of the car propelling her forward and causing her vehicle to contact the vehicle in front of her. Ms. Konnert felt a rush of adrenaline and experienced immediate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Konnert gave evidence that the driver of the vehicle in front of her wanted to assess damage to the rear of his vehicle, and after identifying there was no visible damage to the rear bumper of his own vehicle, that driver left the scene. After exchanging information with the defendant Buonassisi, who was in the vehicle behind her, Ms. Konnert drove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accident of January 7, 2017, when the plaintiff's vehicle struck another vehicle on its left side. Ms. Konnert said that in the moment leading up to the impact, she applied her brake, braced herself and attempted to slow down, but was unable to avoid the impact. Her seatbelt locked in place due to her sudden deceleration and she recalled pain in her left shoulder and hips due to the seatbelt after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Konnert gave evidence that in the accident of June 21, 2017, the traffic ahead of her stopped suddenly. She came to a complete stop, but the vehicle behind her was unable to stop, and rear-ended her vehicle but did not cause her vehicle to contact any vehicle in front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gave evidence that at the moment of impact, she felt like seeing herself being propelled forward and tried to brace herself. She spent the rest of the day icing and heating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assert that each of the three accidents were of a relatively minor nature. They rely upon photographs of the involved vehicles which do not show significant vehicle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defendants did not tender any evidence. While they do not contend that it was impossible for Ms. Konnert to have suffered any injury as a result of the three accidents, they submit that the post-accident photographs of the involved vehicles can and should be taken into account as discussed by Mr. Justice Smith in </w:t>
      </w:r>
      <w:r>
        <w:rPr>
          <w:rFonts w:ascii="arial" w:eastAsia="arial" w:hAnsi="arial" w:cs="arial"/>
          <w:i/>
          <w:color w:val="000000"/>
          <w:sz w:val="20"/>
          <w:lang w:val="en-US" w:eastAsia="en-US" w:bidi="ar-SA"/>
        </w:rPr>
        <w:t>Cahoon v. Brideaux</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2010 BCCA 228</w:t>
        </w:r>
      </w:hyperlink>
      <w:r>
        <w:rPr>
          <w:rFonts w:ascii="arial" w:eastAsia="arial" w:hAnsi="arial" w:cs="arial"/>
          <w:color w:val="000000"/>
          <w:sz w:val="20"/>
          <w:lang w:val="en-US" w:eastAsia="en-US" w:bidi="ar-SA"/>
        </w:rPr>
        <w:t>, at para.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Human experience and logic, qualities for which juries are particularly valued, are the essence of common sense. They suggest there is a relationship between the force of an impact between two vehicles and the resulting damage to the vehicles. Thus, evidence of minimal damage makes it more likely the force of the impact was minimal (Fact A). Human experience and logic also suggest there is a relationship between force exerted on the human body and injury caused by the force. Thus, evidence of minimal force applied to the human body tends to make it more probable that the resulting injury would not be serious (Fact B). It follows that the evidence of vehicle damage was relevant on this issue and the trial judge did not err in instructing the jury that they could use it as circumstantial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am not prepared to assess the severity of the impacts based upon photographs of the vehicles involved. The various defendants could have been called to describe the forces of impact, but were not. The danger in relying on the extent of vehicle damage to determine force of impact was the subject of comment by Madam Justice Fisher in </w:t>
      </w:r>
      <w:r>
        <w:rPr>
          <w:rFonts w:ascii="arial" w:eastAsia="arial" w:hAnsi="arial" w:cs="arial"/>
          <w:i/>
          <w:color w:val="000000"/>
          <w:sz w:val="20"/>
          <w:lang w:val="en-US" w:eastAsia="en-US" w:bidi="ar-SA"/>
        </w:rPr>
        <w:t>Greenway-Brown v. MacKenzie</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2019 BCCA 137</w:t>
        </w:r>
      </w:hyperlink>
      <w:r>
        <w:rPr>
          <w:rFonts w:ascii="arial" w:eastAsia="arial" w:hAnsi="arial" w:cs="arial"/>
          <w:color w:val="000000"/>
          <w:sz w:val="20"/>
          <w:lang w:val="en-US" w:eastAsia="en-US" w:bidi="ar-SA"/>
        </w:rPr>
        <w:t xml:space="preserve"> at paras. 29 - 32: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trial judge did not believe that the appellant could suffer the same "relatively serious" symptoms, and suffer them "instantaneously" in five "extremely minor" accidents. In this regard, he noted that there was no medical evidence to explain this instantaneous onset of symptoms or how the symptoms were consistent with an accident of slight impact. However, as the appellant submits, there was no medical evidence to suggest this was improbable. It is apparent here that the judge's assumption about the relationship between vehicle damage and minor impact, and injury, was a significant factor in his assessment of the appellant's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This is not to say that the severity of impact cannot be a relevant factor in assessing evidence of injury, but it is one factor, which must be grounded in evidence, not speculation. In my view, the judge's assumption, unsupported by evidence, was an error in principle that permeated his approach to the evidence and his assessment of the appellant's overall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danger in relying on the extent of vehicle damage to determine force of impact was the subject of comment by Madam Justice Fisher in </w:t>
      </w:r>
      <w:r>
        <w:rPr>
          <w:rFonts w:ascii="arial" w:eastAsia="arial" w:hAnsi="arial" w:cs="arial"/>
          <w:i/>
          <w:color w:val="000000"/>
          <w:sz w:val="20"/>
          <w:lang w:val="en-US" w:eastAsia="en-US" w:bidi="ar-SA"/>
        </w:rPr>
        <w:t>Greenway-Brown v. MacKenzie</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2019 BCCA 137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Greenway-Brown</w:t>
      </w:r>
      <w:r>
        <w:rPr>
          <w:rFonts w:ascii="arial" w:eastAsia="arial" w:hAnsi="arial" w:cs="arial"/>
          <w:color w:val="000000"/>
          <w:sz w:val="20"/>
          <w:lang w:val="en-US" w:eastAsia="en-US" w:bidi="ar-SA"/>
        </w:rPr>
        <w:t>]. At paras. 29-30, Fisher JA found that the trial judge made an error in principle by assuming, without evidence, that the plaintiff could not suffer "relatively serious" symptoms in five "extremely minor" accidents.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w:t>
      </w:r>
      <w:r>
        <w:rPr>
          <w:rFonts w:ascii="arial" w:eastAsia="arial" w:hAnsi="arial" w:cs="arial"/>
          <w:i/>
          <w:color w:val="000000"/>
          <w:sz w:val="20"/>
          <w:lang w:val="en-US" w:eastAsia="en-US" w:bidi="ar-SA"/>
        </w:rPr>
        <w:t>Greenway-Brown</w:t>
      </w:r>
      <w:r>
        <w:rPr>
          <w:rFonts w:ascii="arial" w:eastAsia="arial" w:hAnsi="arial" w:cs="arial"/>
          <w:color w:val="000000"/>
          <w:sz w:val="20"/>
          <w:lang w:val="en-US" w:eastAsia="en-US" w:bidi="ar-SA"/>
        </w:rPr>
        <w:t xml:space="preserve"> at para. 27 makes it clear that the presence and extent of injuries must be determined on the basis of the evidentiary record. In the absence of evidence from any of the defendants, I am left with the uncontradicted evidence of the plaintiff as to the forces of the impacts she experienced in each of the accidents. I am satisfied that given her physical condition at the times that each accident occurred, the impacts were sufficient to have caused her some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absence of evidence from any of the defendants, I am left with the uncontradicted evidence of the plaintiff as to the forces of the impacts she experienced in each of the accidents. I am satisfied that given her physical condition at the times that each accident occurred, the impacts were sufficient to have caused her some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PLAINTIFF'S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the accident of December 30, 2014, Ms. Konnert had been employed at BCLC for four years as a brand manager. She managed two corporate brands for BCLC, Game Sense and Responsible Gambling. She was responsible for website development, television advertisement, and organizing various responsible gambling conferences and tours. She worked full time at 37.5 hours per week, making an annual salary of $71,686.62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Konnert testified that her intention prior to the accident of December 30, 2014 was to grow her career as an employee of BCLC and slowly rise up the rank to the management level. She denied any intention to start her own business before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was impressed by one aspect of the plaintiff's employment history, and that was her attribution of fault to others when she felt that she was not properly accommodated. I accept that she needed some accommodations, but I find that her willingness to blame the three accidents for her workplace challenges was consistent with her unwillingness to accept responsibility for her role in her work history, that resulted in an overstatement of the role that the three accidents played in that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October 2015, Ms. Konnert decided to leave BCLC, and did so on the 23rd of that month. She said her departure was due to the increasing work stress associated with the year long corporate restructure and her employer's lack of understanding of her role and ability to contribute. Ms. Konnert stated that the work stress made her physical pain more intense, and she left BCLC to join Escents Aromatherapy ("Escents") on November 2, 2015, pursuing an opportunity for professional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Her position at Escents was senior marketing manager. She managed the promotions calendar for both the online stores and physical stores. She worked in a large in-house team with designers and interns reporting to her. She also liaised with public relation and advertising agencies to launch an in-firm campaign, a social media campaign and email marketing. She was paid an annual salary of $81,000 plus insurance and employment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the end of March 2017, Ms. Konnert made a decision to leave Escents. It was her evidence that she did so due to the stress associated with the work environment and the lack of accommodations for her chronic pain and headaches. She also wanted to take control of her work environment, incorporating an ergonomic set up, frequent breaks and flexible hours. She gave evidence that she wanted to manage her stress level and get her symptoms under control. Ms. Konnert conceded that she found the management at Escents to be "challenging" and admitted that a number of people, including Ms. Lisa Moore, had left the company around the same time due to disagreements with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By the time that Ms. Konnert left her job at Escents, she had been back to full-time work for over a year and a half since returning to BCLC in August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Ms. Konnert created her own company, Elevate Branding ("Elevate"), in April 2017. She has been working as the sole employee of the company since then. Elevate is a digital marketing company. It assists businesses to improve their digital presence online by,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creating websites, improving and maintaining websites, performing copyright and search engine optimization writing, and updating social media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Konnert had no clients lined up for July 2017. She gave evidence that she set aside that period to establish and brand her own company prior to the accident of June 21, 2017. When that accident occurred, she decided to scale back her work and rest during the month of July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Notwithstanding her decision to create her own company, in July or August 2017, the plaintiff said that she came across a part-time job posting for Hub Cycling ("Hub"), a non-profit organization advocating for cycling and bicycle riders. She applied for, and was hired in, the part-time role of director for communication on August 1, 2017. Her duties included attending media interviews, managing the organization's website and liaising between customers, volunteer groups and government agencies. The salary for this part-time position of 32 hours per week was $60,000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Ms. Konnert started at Hub, she worked four eight-hour days per week. She spent Mondays, Tuesdays, Thursdays and Fridays in the office. She planned to set aside Wednesdays to build her freelance business. However, she gave evidence that her plan did not work out, as she ended up spending her Wednesdays recuperating from headaches resulting from office work on Mondays and Tuesdays.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gave evidence that her experience at Hub indicated to her that she was not able to work in an office environment in light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Konnert left Hub on October 26, 2017. She testified that, after leaving, she dedicated her full attention to Elevate. She contracted back with Hub and worked on other projects. Since she was self-employed at Elevate, she was able to manage her time on the computer, manage the duration of sitting at a desk, control the lighting and the noise level in her environment, set her own schedule, and attend treatment during flexible work hours. She also had the flexibility to rest during the onset of her headaches. Ms. Konnert reported a significant improvement in her symptoms, pain and stress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Konnert testified that prior to starting at Hub Cycling, from April to June 2017, she worked five to six hours per day at Elevate. After leaving Hub Cycling, she worked two to four hours per day at Elevate prior to winding down in the summer of 2018 in anticipation for the birth of her son. She stated that she was cognizant of her physical limitations and planned her workload to avoid aggravation of her headaches and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THE PLAINTIFF'S CONDITION AFTER THE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Konnert was treated by her family physician, Dr. Kim, for injuries arising from the accident of December 30, 2014. Although she was not called to give evidence at trial, Dr. Kim's records were filed in evidence. They indicated that she recommended Ms. Konnert take two weeks off from work at BCLC, followed by a gradual return to work program of four hours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Konnert gave evidence that she spent most of the first week after the December 30, 2014 accident resting. She took a total of three weeks off work after the first accident, including her one week of pre-scheduled vacation. She subsequently started gradual return to work, working four hours per day depending on her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said that when she returned to work, part time, she experienced physical pain with sitting and being in the office environment, and said she had trouble focusing and controlling her emotions. In addition, she said that she suffered from intense headaches and nausea, and was unable to eat due to nausea. She struggled with headaches, migraines, and light sensitivity. She had a sit and stand desk, but both sitting and standing at her desk caused physical discomfort. She found frequent breaks to be helpful and would leave her desk once in a while to stretch. She gave evidence that she had trouble focusing and accessing words. Ms. Konnert admitted that some days were better than others, but she was aware of her limitations. If she pushed herself too hard one day, she would not be able to work the day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Konnert gave evidence that she would sometimes show up to work with a baseball cap and sunglasses to accommodate her sensitivity to light and prevent the onset of her headaches. She spent a significant amount of time in the windowless first aid room with the lights turned off to address her headaches and sometimes ended up leaving for home 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Konnert received short term disability with Great West Life ("GWL") using BCLC's employment benefits, which ended in May 2015 when she was still working reduced hours. GWL has a subrogation agreement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continued to work reduced hours at BCLC until August 15,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accept that the plaintiff experienced a temporary aggravation of her pre-existing symptoms in the accident of December 30, 2014, and missed time from work at BCLC as a result. They contend, however, that after returning to full time work in August 2015, she continued to work at her full capacity for another year and a half, the majority of which time was spent at Escents. By Ms. Konnert's own account, Escents involved longer hours than BCLC and an unaccommodating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This time period also overlapped with the January 7, 2017 accident, but that accident did not require Ms. Konnert to miss any time from work. Ms. Konnert testified that prior to the second accident; she had ongoing restriction and pain. She was attending massage and physiotherapy regularly to address her physical condition and had established a rhythm when this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She agreed during her cross-examination that she had constant pain prior to this accident but stated that after this accident, her range of motion in her left shoulder became more limited to the point that she could not scratch her back. She admitted that her shoulder was bothering her before that accident, but said that the reduced range of motion became more evident after that accident. She also said that thereafter, she experienced an aggravation of her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gave evidence that her work at Escents was rendered more difficult after the January 7, 2017 accident. She said that her employer's lack of accommodation of an ergonomic setup made her physical pain less manageable. Despite requesting ergonomic accommodations from her manager at Escents, she was only allowed to identify and use a more comfortable chair out of existing chairs in the office. She concluded that there was no budget to purchase new equipment at her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Despite the scheduling difficulties at Escents, Ms. Konnert continued to attend massage therapy, physiotherapy and active rehabilitation regularly. She also attended acupuncture. She gave evidence that to address her pain, she visited a naturopathic physician and said that she was prescribed medical marijuana.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defendants submit that the evidence does not support Ms. Konnert's argument that she was forced to leave her employment at Escents in March 2017 due to ongoing symptoms from the accidents. They contend that the evidence is clear that Ms. Konnert left for a variety of unrelated reasons, including displeasure with the work environment and management of the company, an increase in commute time, and a desire to start her own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Konnert gave evidence that the frequency and need for her participation in active rehabilitation increased after the second accident. She said that the lack of flexible hours at Escents made scheduling active rehabilitation appointments challenging.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do not accept the plaintiff's assertion that her rehabilitation was, or could have been, adversely affected by her working arrangements in any serious way at Escents. While she may have faced some challenges in this regard, Ms. Konnert did not impress me as someone who could be bullied or constrained by an employer. In fact, during the 16 months that she worked at Escents, she went to 14 massage therapy sessions, 21 physiotherapy sessions, three acupuncture sessions, ten physiotherapy sessions, and eight counselling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Konnert testified that her migraine headaches were debilitating after the three accidents. She said her headaches used to be close to daily at Hub Cycling and she suffered from migraines every week. She recalled that she had to meet a deadline while working at home once, when she experienced onset of migraines. Instead of resting, she attempted to push through and ended up throwing up due to nausea.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Konnert gave evidence that her headaches, jaw pain and physical pain were debilitating and constant while working at Hub Cycling. She said that she would work in the dark in the office if she was the only one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She gave evidence that she went to massage therapy and had the therapist working on her jaw and that the only substance that offered her pain relief was medical marijuana. However, she could not use marijuana for pain while at work. In light of her symptoms, Ms. Konnert further reduced her hours from 32 hours per week to 24 hours per week with her doctor's advice, working Mondays through Thursdays.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Konnert described her colleagues at Hub Cycling as a lovely group of people, but said that she was unable to cope with her symptoms while being in an office environment. In her words, the continuation in an office setting was not sustainable. In October 2017, she and the company mutually decided not to continue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Konnert was working exclusively for Elevate when the accident of June 21, 2017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submit that the evidence does not support a finding of anything more than a temporary and minor aggravation of her symptoms due to the accident of June 21,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THE MEDICAL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Dr. Raphael Chow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Raphael Chow is a physiatrist who practices in Ontario. He saw the plaintiff once on October 18, 2016. He diagnosed her with chronic pains in her neck, mid and lower back, chronic headaches, anxiety, depression and sleep problems as a result of the accident of December 30, 2014. He acknowledged that she had some problems prior to that date, but expressed his view that the first accident exacerbated those problems. He mistakenly assumed that Ms. Konnert had suffered a concussion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Chow concluded that Ms. Konnert has functional limitations because of ongoing chronic neck and back pain and pain with physical activities. He concluded that she will be "disabled in performing tasks or jobs that require activities at and beyond the mid-frequent rate and physical demand tasks at and beyond the light-medium physical demand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Chow opined that the plaintiff's prognosis is guarded, since it was going on two years following the accident and she had ongoing chronic pains. He gave the opinion that the plaintiff would be predisposed now to degenerative changes in her spine, especially in her cervical spine. He expressed the view that it would take a further six months before a final outcome could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Chow concluded that if her workplace was accommodating, Ms. Konnert was able to do her job as a marketing manager. He understood that her job involved sedentary physical demand tasks including prolonged sitting, frequent standing and walking and neck and trunk movements which would exceed her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Chow said that he expects further deterioration in the plaintiff's functional abilities and increasing symptoms with the aging process. He opined that, when the plaintiff is in her mid-50s or early 60s, she will be unable to perform tasks beyond the occasional rate and physical demand tasks beyond the sedentary-light physical demand level. He said that, should the plaintiff need to find a new job in the future, she would require a vocational assessment and rehabilitation, a transferable skills analysis and a labor market survey to determine the appropriate job suitable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cross-examination, Dr. Chow confirmed that the plaintiff reported her pain levels prior to December 30, 2014, to him. He agreed that, assuming the same pain scale was being used, these would represent her pre-accident baseline.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his report, Dr. Chow wrote that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has a history of neck and back pain before the accident in question and this has been aggravated by the accident of December 30, 2014. Had the accident not occurred I would have expected that she would continue to have intermittent neck pain, back pain, and headache and would have experienced a gradual deterioration of her functional abilities with increasing symptoms with the passage of time and the aging process. The subject accident accelerated this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Chow agreed in cross-examination that even if the accident of December 30, 2014 had not occurred, he would expect the plaintiff to continue to have intermittent pain. This is what he assumed was the frequency of her pain prior to that accident. He agreed that, if he were to assume that she had constant pain prior to that accident, then his expectation would be for constant pain to have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also agreed that his prognosis of "guarded" would have applied to her prognosis prior to the accident of December 30, 2014, given the chronicity of her symptoms by that time, and that all of the treatment recommendations included in his report would have then been appropriate for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Dr. Leslie Kiraly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Leslie Kiraly is a psychiatrist who practices in Ontario. He saw the plaintiff on one occasion on June 8, 2018. He diagnosed her with an adjustment disorder with anxiety and depressed mood, somatic symptom disorder and possible post-concussion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Kiraly considered that by the time he saw her, her improvements had plateaued. Given the chronicity of her reported symptoms, Dr. Kiraly concluded that her prognosis was guarded, and that in future, she might worsen. He said that the plaintiff is at risk for relapse, and could be at risk for more serious sequelae if exposed to further head injuries or significant emotional stressors. Dr. Kiraly expressed the view that the plaintiff remains at risk of developing a further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Kiraly noted that as the plaintiff was having difficulties in her work, she chose consultative work because of her discomforts. He expressed his view that it is quite likely that her working life will be cut short due to exacerbations of her pain and mood symptoms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approach the evidence of Dr. Kiraly with some reticence. Like Dr. Chow, Dr. Kiraly mistakenly assumed that the plaintiff had sustained a concussion in the first accident. Unlike Dr. Chow, Dr. Kiraly resisted conceding this error in cross-examination, despite admitting that the necessary criteria for the diagnosis of a concussion were not all present.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Dr. Gordon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Gordon Robinson is a neurologist, practicing in Vancouver, with particular expertise in headache disorders. He saw the plaintiff once on January 31,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Robinson acknowledged the plaintiff's prior problems with headaches, but he confirmed that at the time he saw her; she did not have any functional limitations and was working part time. He noted that her headaches have improved. He opined that this improvement may be related to her pregnancy and that she would probably return to her headache difficulties following delivery or cessation of breastfeeding.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his report, Dr. Robinson wrote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headaches have continued to improve. She may go up to a week without headache or have headache daily. Her headaches are mainly mild to moderate in severity and can be on either side of her head. She may experience 'shooting pain' in her right forehead, temple and retro-orbital regions. At other times her headaches will be generalized.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Konnert reported to Dr. Robinson that the frequency of her mild to moderate headaches increased as a result of the third accident, as did the discomfort in her neck, mid-back, and low back. He also noted that she did not recall experiencing severe headaches after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Robinson diagnosed Ms. Konnert with soft tissue injuries to her neck, back, left shoulder and hip and persistent post traumatic headaches related to her soft tissue neck injury. He deferred to the opinions of others more expert than him with respect to her non-headache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Robinson said that while he did not believe that the accidents could be held wholly to blame for her headache condition, her prior issues likely made her more susceptible to further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Robinson confirmed that stress and lack of sleep are both aggravating factors for the plaintiff's headaches. He agreed that the plaintiff's headaches are related to the soft tissue injury to her neck and that usually if the neck pain were to improve, in most cases he would expect to see corresponding improvement with the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Robinson was advised by Ms. Konnert that she had not been able to return to work full time without an increase in her headaches, neck and back pain. On that basis, he concluded that her work will probably continue to be challenging for her unless there is improvement in her pain, especially involving her neck and back. He opines that she will probably require flexible work hours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While Dr. Robinson said that the plaintiff's prognosis for headache improvement is reasonably good if she attends the recommended treatments such as Botox injections, it is possible that she will return to the frequency and severity of her headaches prior to the accidents within the next two to three years. He qualified his prognosis, stating that he may have been more optimistic than he should have been in that regard due to the fact that she was pregnant.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Dr. Sujay Mehta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Sujay Mehta is a specialist in oral dental medicine, practicing in Vancouver. He saw the plaintiff once on January 15, 2018. He diagnosed the plaintiff with "faint temporomandibular joint clicking sounds consistent with disc displacement, joint pains or arthralgia of the temporomandibular joint, muscular pain of myalgia to the jaw muscle and a history of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Mehta expressed his opinion that the plaintiff's jaw complaints and headaches have limited and most likely will continue to limit her ability to work for a company. While he noted that jaw pains alone will not prevent the plaintiff from working, he opined that the jaw pains combined with her other pains will impact her concentration, focus, overall pain levels and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his opinion, the plaintiff's prognosis is guarded as her jaw complaints have not improved. He noted that her prognosis was difficult to predict because she has had multiple accidents, multiple pains of an ongoing nature, and because of the strong interplay between headache and jaw pains.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Mehta was candid in conceding that he was unaware of certain elements of the plaintiff's medical history at the time of his assessment, for instance, of the plaintiff's history of headaches and migraines. He admitted that more records respecting the plaintiff's pre-accident history of jaw problems would be important in considering causation. He was not provided with the pre-accident dental records of the plaintiff's treating dentist.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For example, Dr. Mehta was unaware that the plaintiff had been in an earlier rear-end motor vehicle accident in the early 2000s, which he agreed would be considered an "acceleration/deceleration type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reported that she had clicking, grinding and clenching of her jaw. In his report, Dr. Mehta stated that "he is not convinced the jaw pain was a concern prior to the 2014 MVC", concluding that "the jaw complaints of muscle myalgia and arthralgia of the temporomandibular joint are most likely a result of the motor vehicle accident dated 7 January 2017". During cross-examination, Dr. Mehta stated that he reached this conclusion on the basis that there were no jaw complaints prior to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However, there were jaw complaints prior to 2017. Dr. Chow testified in cross-examination that the plaintiff reported having had some jaw pain prior to December 30,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When shown Dr. Chow's clinical records dated September 12, 2016, indicating clenching teeth and "lots of jaw tension", Dr. Mehta agreed that would qualify as a jaw related complaint. He agreed further that it was hard to make much of it without information regarding the plaintiff's pre-accident jaw issues, which he did not have beyond the plaintiff's report that she had clicking and tension, but no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THE 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Kimberley Steinbart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Kimberley Steinbart and the plaintiff were friends and former co-workers at BCLC. She described the plaintiff as a great friend, connected, talkative and stated that she got along with people. Her energy level was good and high before the December 30, 2014 accident. She had a good attitude and no social limitations. She was not aware of any issues with her mood before that accident. Her impressions of the plaintiff were that she was very friendly and easy going, easy to talk to and their personalities meshed.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Steinbart observed the plaintiff wearing sunglasses and caps and that she requested a sit and stand desk. Prior to obtaining a sit and stand desk, Ms. Steinbart recalled observing the plaintiff attempt to achieve the same effect with boxes. After the accident of December 30, 2014, they were not really close working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During the plaintiff's gradual return to work and thereafter, Ms. Steinbart continued to observe the plaintiff using adaptations and accommodations. She would often have to leave work 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Steinbart gave evidence that a corporate shuffle began before the accident of December 30, 2014, disbanding the corporate team. Their own director took early retirement and a co-worker left. The plaintiff's role was absorbed into the communications team and the plaintiff was or felt left behind. Ms. Steinbart observed a change in the plaintiff and that she had a hard time coping with the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Steinbart described the plaintiff as now being more reserved, quieter and less likely to want to go out and less adventurous. Ms. Steinbart expressed her opinion that physically, the plaintiff is not in as good shape as she once was and quite a bit slower walking on hills than she used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Steinbart is still employed at BCLC as the manager of Player Health Advancement and Outreach. She gave birth to a daughter on June 18, 2017, and admitted that her availability for social outings was reduced thereafter. She is aware that the plaintiff had a baby in the last year and agreed that availability with a young child is limited.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Jennifer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Jennifer MacDonald is trained as a graphic designer. She was the online marketing manager overseeing e-commerce at Escents. She and Ms. Konnert worked together at Escents for a year and a half. They were on the marketing team together. Ms. MacDonald described the plaintiff as focused, organized, good at her job and on task. They had office cubicles beside each other. The noise level there was not too overwhelming, but there were people chatting, on the phone, and they could be heard where she and the plaintiff were situated.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MacDonald thought that the working environment was fairly bright. She described the plaintiff as careful moving, guarding her neck when sitting at her desk. She observed the plaintiff guarding her eyes and staying at her desk and keeping things quiet. The plaintiff would also close conference room doors around her. Ms. MacDonald gave evidence that the office manager had her own lighting above her desk adjusted.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MacDonald worked at Escents for ten years with the same owner. She remembered the working environment as challenging with a lot of changes and that they were moving offices when she left. Frustrated with her role at the company and its relocation, Ms. MacDonald left. She last saw the plaintiff in the summer of 2017 at a group get together for Escents.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Marjory Ditmars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Marjory Ditmars was a friend of the plaintiff prior to the accident of December 30, 2014. The two women had a falling out sometime after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Ditmars described the plaintiff as upbeat and friendly prior to the December 30, 2014 accident. She said that the plaintiff organized activities and was positive and a supportive friend. Ms. Ditmars did not recall any mood issues or physical limitations. She saw the plaintiff about once a week in the year before the December 30, 2014 accident. The plaintiff often asked Ms. Ditmars to go swimming with her before the accidents. The plaintiff would swim for over an hour. Ms. Ditmars described the plaintiff as a competent swimmer.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They resumed swimming in the summer of 2015. The plaintiff was now reduced to a shorter swim and would take frequent breaks. Ms. Ditmars observed that the plaintiff needed a snorkel and fins then. Before the summer of 2016, the plaintiff would swim up to 45 minutes on a good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biggest change that Ms. Ditmars noticed was that the plaintiff would cancel things on short notice complaining of headaches, pains or a bad sleep. Before the accident of December 30, 2014, the plaintiff could participate in a variety of activities but now she has a low mood. Further, Ms. Ditmars says that the plaintiff has become socially dull. She has seen her only two to three times since their falling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Caroline Wakefield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Caroline Wakefield worked with the plaintiff at BCLC and formed a friendship with her. She gave evidence that she relied on the plaintiff, as the plaintiff paid attention to details and asked questions that she did not consider addressing. She said that the plaintiff knew what to do, knew the corporation inside out, knew the industry and was willing to help the team. Ms. Wakefield described the plaintiff as very professional and quite enjoyable to work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Wakefield did not notice any problems with the plaintiff's ability to get the work done. She did not observe any work limitations. In the summer of 2013, they both were accepted into the Emerging Leaders Program so that they could be trained in the hope that they would advance their careers with BCLC. Ms. Wakefield and the plaintiff were accountability progress partners who worked closely together and developed a friendship during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Wakefield recently started her own communications consulting business for those same reasons that the plaintiff says caused her to start her business. Her evidence was that she expects to soon be able to make as much money as she did at BCLC but with reduced hours. Ms. Konnert reported something similar to Mr. Emnacen, an occupational therapist, during his evaluation. In that report, Mr. Emnacen states: "Ms. Konnert does not make the same level of income as she did when working for her previous employers, however, she stated she eventually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Wakefield testified that the plaintiff's work quality was always excellent. The plaintiff had the ability to narrow in on things with perception and focus on details rather than just focusing on deadlines. The plaintiff was very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was Ms. Wakefield's evidence that when the plaintiff returned to working full time at BCLC, the plaintiff continued with accommodations, but she observed the plaintiff's symptoms apparently getting worse and she required more breaks. Ms. Wakefield saw more of a mood change and a lot of anxiety. She observed the plaintiff struggling at work and considered that her energy level was getting lower. She looked more deflated, hunched over in her shoulders, and looked exhausted. She was not as happy or bubbly as she was before the December 30, 2014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Wakefield first recalled the plaintiff considering starting her own business in 2017. In the summer of 2017, they chatted quite a bit in person or over the phone. They also talked about the plaintiff taking a job at Hub Cycling, but she wanted to work on her own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comparing the plaintiff before and after the December 30, 2014 accident, Ms. Wakefield stated that she noticed a change in her energy and personality. She described a lack of light in the plaintiff's eye. She said that the plaintiff is not outgoing anymore and that she is more weighted down in a sense. Ms. Wakefield stated that the last time she saw the plaintiff was in September 2018. The plaintiff was not the same as she was when they first met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plaintiff did not call any of her treating professionals to give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I therefore turn next to the records of those treating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submits that the subjective complaints in clinical records in this case are out of court statements which should not be admitted for the truth of their contents, and that the proper use of the clinical records is limited to challenging the plaintiff's credibility and challenging the foundation of expert opinions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defendants asked me to draw an adverse inference due to the plaintiff's failure to call two of her family physicians or her counsellor. I understand that those potential witnesses were known to counsel for the defendants long before trial, and that their records were produced to counsel for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support for this request was said to be the decision of Mr. Justice Myers in </w:t>
      </w:r>
      <w:r>
        <w:rPr>
          <w:rFonts w:ascii="arial" w:eastAsia="arial" w:hAnsi="arial" w:cs="arial"/>
          <w:i/>
          <w:color w:val="000000"/>
          <w:sz w:val="20"/>
          <w:lang w:val="en-US" w:eastAsia="en-US" w:bidi="ar-SA"/>
        </w:rPr>
        <w:t>Brar v. Ismail</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2018 BCSC 1487</w:t>
        </w:r>
      </w:hyperlink>
      <w:r>
        <w:rPr>
          <w:rFonts w:ascii="arial" w:eastAsia="arial" w:hAnsi="arial" w:cs="arial"/>
          <w:color w:val="000000"/>
          <w:sz w:val="20"/>
          <w:lang w:val="en-US" w:eastAsia="en-US" w:bidi="ar-SA"/>
        </w:rPr>
        <w:t xml:space="preserve"> at paras. 10-12, where Myers J. agreed to advise a jury that they could draw an adverse inference against the plaintiff for not calling her treating psychiatrist, as he concluded that the defendants could not have obtained the psychiatrist's opinion even if they had subpoenaed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Edwards v. Parkinson's Heating</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2018 BCSC 593</w:t>
        </w:r>
      </w:hyperlink>
      <w:r>
        <w:rPr>
          <w:rFonts w:ascii="arial" w:eastAsia="arial" w:hAnsi="arial" w:cs="arial"/>
          <w:color w:val="000000"/>
          <w:sz w:val="20"/>
          <w:lang w:val="en-US" w:eastAsia="en-US" w:bidi="ar-SA"/>
        </w:rPr>
        <w:t>, I was asked to draw a similar inference against a party who failed to call an employee at trial. I declined to do so, explaining at paras. 59 - 60: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w:t>
      </w:r>
      <w:r>
        <w:rPr>
          <w:rFonts w:ascii="arial" w:eastAsia="arial" w:hAnsi="arial" w:cs="arial"/>
          <w:i/>
          <w:color w:val="000000"/>
          <w:sz w:val="20"/>
          <w:lang w:val="en-US" w:eastAsia="en-US" w:bidi="ar-SA"/>
        </w:rPr>
        <w:t>Barker v. McQuahe</w:t>
      </w:r>
      <w:r>
        <w:rPr>
          <w:rFonts w:ascii="arial" w:eastAsia="arial" w:hAnsi="arial" w:cs="arial"/>
          <w:color w:val="000000"/>
          <w:sz w:val="20"/>
          <w:lang w:val="en-US" w:eastAsia="en-US" w:bidi="ar-SA"/>
        </w:rPr>
        <w:t xml:space="preserve">, [1964] 49 W.W.R. 685 (B.C.C.A.)] was relied upon in a number of cases that succeeded it, but in my view, the application of the case was weakened, if not overcome by the line of authorities that began with </w:t>
      </w:r>
      <w:r>
        <w:rPr>
          <w:rFonts w:ascii="arial" w:eastAsia="arial" w:hAnsi="arial" w:cs="arial"/>
          <w:i/>
          <w:color w:val="000000"/>
          <w:sz w:val="20"/>
          <w:lang w:val="en-US" w:eastAsia="en-US" w:bidi="ar-SA"/>
        </w:rPr>
        <w:t>Swirski v. Hachey</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[1995] B.C.J. No. 2686</w:t>
        </w:r>
      </w:hyperlink>
      <w:r>
        <w:rPr>
          <w:rFonts w:ascii="arial" w:eastAsia="arial" w:hAnsi="arial" w:cs="arial"/>
          <w:color w:val="000000"/>
          <w:sz w:val="20"/>
          <w:lang w:val="en-US" w:eastAsia="en-US" w:bidi="ar-SA"/>
        </w:rPr>
        <w:t xml:space="preserve"> (S.C.). There, Mr. Justice Wilkinson held at para. 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summarize:</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doctor-patient confidentiality attaching to the plaintiff's treating doctors concerning information relevant to the claims made herein for purposes of this action.</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counsel in this case are at liberty to discuss such matters with the plaintiff's said physicians in the absence of the plaintiff or her counsel.</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Province, the commencement of an action for damages for injury is a waiver of doctor-patient confidentiality for medical matters relevant to and bearing upon matters raised in the action.</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province such waiver also constitutes as a matter of law an implied authorization to the physicians for the release of such information for purposes of the litigation.</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privilege, the only basis for imposing any restriction on such discussion would be the risk of inadvertent release of irrelevant (and thus still confidential) information.</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future cases (unless and until this decision has been overruled) it is not necessary for defence counsel to apply for approval to discuss the case with the plaintiff's physicians, but as a matter of practice in preparing the case for the court, general notice should be given to the plaintiff of an intention to seek informal discussions with named medical treatment givers. The notice should not be given until the limits of relevance and confidentiality have been set with reference to documents.</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will then be on the plaintiff to make application to bar or restrict such interviews.</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decision in no way compels plaintiffs' treating doctors to take part in such meetings. They may do so or not as they wish and may impose such conditions as they wish, just as any other witness may do.</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and future cases, where deletions have been made in doctors' medical records, copies of the amended records should be supplied by defendants' counsel and the doctors' attention drawn to information still regarded as confidential. The Professional Conduct Handbook ought to be followed.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After this decision, the practice that evolved was for defence counsel in personal injury cases to engage in discussions with treating doctors, either by consent, or pursuant to a court order, rendering the reasoning in </w:t>
      </w:r>
      <w:r>
        <w:rPr>
          <w:rFonts w:ascii="arial" w:eastAsia="arial" w:hAnsi="arial" w:cs="arial"/>
          <w:i/>
          <w:color w:val="000000"/>
          <w:sz w:val="20"/>
          <w:lang w:val="en-US" w:eastAsia="en-US" w:bidi="ar-SA"/>
        </w:rPr>
        <w:t>Barker</w:t>
      </w:r>
      <w:r>
        <w:rPr>
          <w:rFonts w:ascii="arial" w:eastAsia="arial" w:hAnsi="arial" w:cs="arial"/>
          <w:color w:val="000000"/>
          <w:sz w:val="20"/>
          <w:lang w:val="en-US" w:eastAsia="en-US" w:bidi="ar-SA"/>
        </w:rPr>
        <w:t xml:space="preserve"> no longer apposite.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For the reasons that I expressed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I am not prepared to draw an adverse inference against the plaintiff for failing to call her two family practitioners, her dentist, or her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That said, given the plaintiff's choice not to call her family doctors and others as witnesses, I am not prepared to restrict the use of the clinical records as the plaintiff proposed. The document agreement between the parties in this case included the following provisions: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that purports to have been made or kept by a physician or other medical or therapeutic caregiver or by a hospital or other medical or therapeutic institution is admissible into evidence on the agreed bases that (subject to proof to the contrary):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original document was made and kept in the usual and ordinary course of the business of that person or institution ("the Business");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any fact or statement recorded in the document that is stated expressly or by implication to have been personally observed or heard by the maker of the document, that person had a duty, as part of the usual and ordinary course of his or her Business, either to record the observed fact or statement or to communicate it to someone else to record;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in the usual and ordinary course of that person's Business to record the observed fact or statement at the time it was observed or heard, or within a reasonable time thereafter.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any observed fact or statement referred to above in paragraph 3:</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record of any such observed fact that is not a statement is admissible 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of that fact;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record of any such statement is admissible 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that the statement was made but not for the truth of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find that the records of the plaintiff's treating professionals were records made as described in these paragraphs of the document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Given the document agreement and the approach to medical records determined by the Supreme Court of Canada in </w:t>
      </w:r>
      <w:r>
        <w:rPr>
          <w:rFonts w:ascii="arial" w:eastAsia="arial" w:hAnsi="arial" w:cs="arial"/>
          <w:i/>
          <w:color w:val="000000"/>
          <w:sz w:val="20"/>
          <w:lang w:val="en-US" w:eastAsia="en-US" w:bidi="ar-SA"/>
        </w:rPr>
        <w:t>Ares v. Venner</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[1970] S.C.R. 608</w:t>
        </w:r>
      </w:hyperlink>
      <w:r>
        <w:rPr>
          <w:rFonts w:ascii="arial" w:eastAsia="arial" w:hAnsi="arial" w:cs="arial"/>
          <w:color w:val="000000"/>
          <w:sz w:val="20"/>
          <w:lang w:val="en-US" w:eastAsia="en-US" w:bidi="ar-SA"/>
        </w:rPr>
        <w:t xml:space="preserve">, I find that the records of the plaintiff's treating professionals, made contemporaneously by individuals having a personal knowledge of the matters then being recorded and under a duty to make the entry or record, should be received in evidence 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of the facts stated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CONCLUSIONS ON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defendants contend that the plaintiff's evidence as to the sequelae from the three accidents is at best exaggerated, and should not be accepted. They referred me to the decision of </w:t>
      </w:r>
      <w:r>
        <w:rPr>
          <w:rFonts w:ascii="arial" w:eastAsia="arial" w:hAnsi="arial" w:cs="arial"/>
          <w:i/>
          <w:color w:val="000000"/>
          <w:sz w:val="20"/>
          <w:lang w:val="en-US" w:eastAsia="en-US" w:bidi="ar-SA"/>
        </w:rPr>
        <w:t>Vienneau v. Dhaliwal</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2019 BCSC 1260</w:t>
        </w:r>
      </w:hyperlink>
      <w:r>
        <w:rPr>
          <w:rFonts w:ascii="arial" w:eastAsia="arial" w:hAnsi="arial" w:cs="arial"/>
          <w:color w:val="000000"/>
          <w:sz w:val="20"/>
          <w:lang w:val="en-US" w:eastAsia="en-US" w:bidi="ar-SA"/>
        </w:rPr>
        <w:t>, where Mr. Justice Hori described the importance of the assessment of a plaintiff's credibility in cases where the injuries alleged are inherently subjective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At para. 81, Hori J. found that the plaintiff in that case "was, at times, evasive in her answers and not responsive to questions on cross-examination. The evidence given by the plaintiff at trial and the information that she has provided to her treatment providers leads me to conclude that the plaintiff is susceptible to overstating her symptoms and amplifying the effect that the injuries have had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formed a similar impression of the plaintiff in this case, although I do not find that she deliberately attempted to mislead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is fair to say, as the defendants do, that Ms. Konnert was argumentative and evasive throughout some of her cross-examination and showed a somewhat selective memory. At times, she was able to recall specific details of the severity and frequency of various symptoms or treatments over certain time periods from several years ago. At other times, she was unable to remember, or even narrow down, the timing of events that she says took place within the last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She attempted to explain away portions of the clinical records and expert reports when they appeared to contradict her narrative. She was reluctant to accept the accuracy of some of the statements attributed to her by her treating professionals, although she ultimately conceded that if the statements were recorded, she was unable to disagree that she had made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am not persuaded that the defendants' failure to attempt to impeach Ms. Konnert by reference to a transcript from her examination for discovery is a reason to find her credible. She was successfully impeached by references to the clinical records, and the consistency between her evidence on examination for discovery and at trial may be more attributable to what I find was a rather rote version of events than an indication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have mentioned above that I accept the plaintiff's unchallenged evidence about the forces of the impacts experienced by her in each of the accidents. Unlike her evidence as to the forces of impact, the plaintiff's evidence as to her pre and post accident condition can be considered in the light of her medical records and the information she provided to her treating professionals that I have discussed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Where the plaintiff has a pre-existing condition, it is useful to bear in mind the comments of Mr. Justice Skolrood in </w:t>
      </w:r>
      <w:r>
        <w:rPr>
          <w:rFonts w:ascii="arial" w:eastAsia="arial" w:hAnsi="arial" w:cs="arial"/>
          <w:i/>
          <w:color w:val="000000"/>
          <w:sz w:val="20"/>
          <w:lang w:val="en-US" w:eastAsia="en-US" w:bidi="ar-SA"/>
        </w:rPr>
        <w:t>Raikou v. Spencer</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2014 BCSC 1</w:t>
        </w:r>
      </w:hyperlink>
      <w:r>
        <w:rPr>
          <w:rFonts w:ascii="arial" w:eastAsia="arial" w:hAnsi="arial" w:cs="arial"/>
          <w:color w:val="000000"/>
          <w:sz w:val="20"/>
          <w:lang w:val="en-US" w:eastAsia="en-US" w:bidi="ar-SA"/>
        </w:rPr>
        <w:t xml:space="preserve">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627"/>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as here, a plaintiff has pre-existing conditions, the court must consider the relationship of those conditions to the current complaints. A defendant tortfeasor is liable for all injuries caused by the tort even if those injuries are more severe than might otherwise be the case due to the pre-existing condition (the "thin skull rule"). However, the defendant is liable only for the injuries actually caused by the accident and not for any effects of the pre-existing condition that the plaintiff would have experienced in any event (the "crumbling skull rule"). Put another way, the defendant is liable for the additional damage but not the pre-existing damage (</w:t>
            </w:r>
            <w:r>
              <w:rPr>
                <w:rFonts w:ascii="arial" w:eastAsia="arial" w:hAnsi="arial" w:cs="arial"/>
                <w:i/>
                <w:color w:val="000000"/>
                <w:sz w:val="18"/>
                <w:lang w:val="en-US" w:eastAsia="en-US" w:bidi="ar-SA"/>
              </w:rPr>
              <w:t>Athey</w:t>
            </w:r>
            <w:r>
              <w:rPr>
                <w:rFonts w:ascii="arial" w:eastAsia="arial" w:hAnsi="arial" w:cs="arial"/>
                <w:color w:val="000000"/>
                <w:sz w:val="18"/>
                <w:lang w:val="en-US" w:eastAsia="en-US" w:bidi="ar-SA"/>
              </w:rPr>
              <w:t>, at paras. 34-35).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Konnert found out that she was pregnant in January 2018 and gave birth to her son on September 17, 2018. She testified that during pregnancy, with the hormonal and physical changes, her headaches and migraines were less frequent and less severe, but her physical pain was more intense and she was unable to use pain medications or medical marijuana for the well-being of her fetus. She remains off pain medications and medical marijuana presently because she is breastfeeding.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Konnert concedes that she had some pre-existing neck and back pains as well as intermitted headaches and migraines, but maintains that all were well-managed before the accidents. She asserts that since the accidents, she now finds herself living with chronic pain, aggravated anxiety, and headaches that are present even when she is not working and fatigued.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At present, the plaintiff claims that she suffers from constant neck tightness and pain with limited range of motion and occasional locking up, constant mid and low back pain, aggravated by holding her infant and prone to seizing up on occasion, tightness and fluctuating pain in her jaw, left shoulder pain, hip pain and increased anxiety. She also complains of debilitating migraine headaches one to two times per month with light sensitivity and inability to use a computer screen and headaches two days per month triggered by stress and overuse of computers.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She said that now her headache patterns have become unpredictable. She tries to manage the symptoms by wearing a baseball cap and sunglasses in the early stage of headache onset, but the severity of her headache symptoms are truly unpredictable. She has noted significant improvement in her migrainous and non-migrainous headaches since leaving the office environment and starting at Elevate.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Konnert testified that she used to be a strong swimmer but has been struggling to rebuild her swimming endurance since the accidents. Before the accidents, she was able to swim for 2km, while her endurance is now down to 250 meters due to neck, shoulder and back pain. She also uses a snorkel when swimming now to avoid turning her neck. She does not enjoy hiking or snowshoeing anymore due to pain in the hips. She does not ride a bicycle for transportation or as a form of exercise because it aggravates her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She stated that she continues to attend massage therapy, chiropractic treatment and has a new referral for physiotherapy that she plans to proceed with. She follows up with her current family physician, Dr. Curry. She maintains daily walking exercises to manage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While Ms. Konnert gave evidence of an increase in her symptoms during her time working for Hub, the clinical records put to her from that time are consistent with her pre-accident history of physical impairment caused by stress, which Dr. Chow and Dr. Robinson agreed could be an aggravating factor for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accept that Ms. Konnert sustained repetitive physical trauma as a result of each of the three accidents. Since the accident of December 30, 2014, her symptoms would improve over time and through rehabilitation, only to have the progress set back again by the January 7, 2017 and June 21, 2017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accept that as a result of the three accidents, Ms. Konnert experienced an aggravation of her pre-existing neck, shoulder, and back pain. Although Ms. Konnert also complained of a significant increase in her jaw pain, more intense and different from her pre-existing jaw issues, I am not persuaded that any such symptomatology has been proven to have been caused by the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 am not persuaded that her psychological challenges can be attributed to any of the accidents in more than a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While I accept that Ms. Konnert's condition has been negatively affected by the accidents, I find that she has exaggerated the effects thereof. As with her employment history, Ms. Konnert chooses to find fault with others for the challenges that confront her. I do not accept that she is as incapacitated as she contends or that her condition before the accidents was as positive as she presented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addition, as Dr. Chow testified, even without the accidents, Ms. Konnert would have faced increasing physical difficulties due to her condition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It was Ms. Konnert's evidence that she found the financial stability associated with an office job very appealing, but she is concerned about her ability to work in an office setting. She finds her present-day limited computer usage to be bothersome. Further, she testified that flexible work opportunities such as remote work or part-time hours usually do not exist for someone with her level of experience. The positions offering remote work or part-time hours are several levels below her qualifications with significantly lower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Konnert expressed anxiety about her future earning capacity given her injuries and limitations. She stated that her experience at Hub demonstrated that she could not even work four days a week for six hours per day in an office environment. After attending the eight-hour functional capacity assessment in spring 2018, Ms. Konnert suffered from headaches for two to three days thereafter. She stated that since the December 30, 2014 accident, every time she tries to push her physical limitations, she is met with headaches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Konnert asserts that she has become more socially and emotionally isolated, as many of her social contacts were grounded in various recreational activities and gatherings with friends which now rarely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Konnert testified that after the accidents, but prior to having her baby, she did not go out as much after work with friends or colleagues due to pain associated with prolonged sitting and concentration issues in loud public environments. Post-accidents, she found dating to be challenging. Ms. Konnert recalled one occasion while out on a date at a public establishment; she was unable to comprehend the words her date was saying. Further, her desire to go out has diminished, as she does not want to be perceived as a burden to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Notwithstanding these challenges, Ms. Konnert seems to have overcome the hurdles she identified with dating and now has a partner and a child. As Ms. Steinbart explained in her evidence, and as a matter of common sense, Ms. Konnert's marriage and the birth of her son may curtail the activities which she has previously participated in, but those are the realities of life for everyone. They are not exclusively the result of her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Konnert says that her family-based activities and interpersonal relationships have also been negatively affected and curtailed as a result of her injuries. She gave evidence that prior to the accidents, she was an independent professional woman with savings, who supported herself and paid for her own mortgage but she is now dependent on her husband, financially. She says that she struggles with the changes in her independence, and that puts a strain on her marital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Konnert's husband was not called as a witness at trial. Her counsel advised me that this was because he is uncomfortable speaking in public. I do not accept that this justifies his failure to give evidence. Absent his evidence, I am not prepared to accept that the plaintiff's marital relationship is strained.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find that Ms. Konnert's migrainous and non-migrainous headaches worsened due to the three accidents, but have now stabilized. She may, however, experience a further increase in these headaches in future, but I find that with the treatment proposed by Dr. Robinson, they will be managed.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also find that Ms. Konnert's recreational activities were interfered with as a result of the three accidents, but not as greatly as she said. I find that the addition of a child and partner in her life will constrain her recreational activities, and that other than that, she is largely able to return to the activities she enjoyed prior to the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accept that she has made various vocational and avocational adaptations for her physical condition following each of the accidents, and that her accident-related injuries continue to affect her functional ability to pursue gainful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Madam Justice Kirkpatrick provided a useful list of factors to be considered in the assessment of non-pecuniary damages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45-46. I will not repeat them, but accept that many of the factors that Kirkpatrick J.A. identified are applicable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 contends that she should receive non-pecuniary damages in the range of $110,000 to $150,000. She relies on the awards for this head of damages in the following decisions: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Chavez-Salinas v. Tower</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2017 BCSC 2068</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Chavez-Salinas</w:t>
      </w:r>
      <w:r>
        <w:rPr>
          <w:rFonts w:ascii="arial" w:eastAsia="arial" w:hAnsi="arial" w:cs="arial"/>
          <w:color w:val="000000"/>
          <w:sz w:val="20"/>
          <w:lang w:val="en-US" w:eastAsia="en-US" w:bidi="ar-SA"/>
        </w:rPr>
        <w: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Cornish v. Khunkhun</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2015 BCSC 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Cornish</w:t>
      </w:r>
      <w:r>
        <w:rPr>
          <w:rFonts w:ascii="arial" w:eastAsia="arial" w:hAnsi="arial" w:cs="arial"/>
          <w:color w:val="000000"/>
          <w:sz w:val="20"/>
          <w:lang w:val="en-US" w:eastAsia="en-US" w:bidi="ar-SA"/>
        </w:rPr>
        <w: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Eccleston</w:t>
      </w:r>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Kelly v. Kalra</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2019 BCSC 1305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Morgan v. Scott</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2012 BCSC 1237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Tourand v. Charette</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2015 BCSC 2165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Tourand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Chavez-Salinas</w:t>
      </w:r>
      <w:r>
        <w:rPr>
          <w:rFonts w:ascii="arial" w:eastAsia="arial" w:hAnsi="arial" w:cs="arial"/>
          <w:color w:val="000000"/>
          <w:sz w:val="20"/>
          <w:lang w:val="en-US" w:eastAsia="en-US" w:bidi="ar-SA"/>
        </w:rPr>
        <w:t>, the plaintiff had pre-existing degenerative disc disease which was substantially asymptomatic. The degenerative changes to her spine were found to be progressive and likely to have detrimentally affected her in the future even without the accident. As a result of the accident, she suffered minor low back, neck and upper back symptoms from a whiplash type injury. As a result of the accident, the plaintiff re-activated her pre-existing psychological condition, which manifested in chronic pain, as well as depression and psychosis.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Justice Armstrong found that there were a number of treatments that, when pursued by the plaintiff, were likely to improve her condition. Given that the plaintiff's pre-existing conditions might have become symptomatic without the accident, Armstrong J. assessed her non-pecuniary damages at $180,000.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Cornish</w:t>
      </w:r>
      <w:r>
        <w:rPr>
          <w:rFonts w:ascii="arial" w:eastAsia="arial" w:hAnsi="arial" w:cs="arial"/>
          <w:color w:val="000000"/>
          <w:sz w:val="20"/>
          <w:lang w:val="en-US" w:eastAsia="en-US" w:bidi="ar-SA"/>
        </w:rPr>
        <w:t>, the plaintiff suffered from a major depressive disorder and somatic symptom disorder that resulted in her experiencing chronic pain. Her injuries had had a significant impact on her enjoyment of life. Her current psychological condition was found to have been caused by the accident, which was also found to have aggravated her physical condition causing her chronic pain. Mr. Justice Skolrood awarded her $160,000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Eccleston</w:t>
      </w:r>
      <w:r>
        <w:rPr>
          <w:rFonts w:ascii="arial" w:eastAsia="arial" w:hAnsi="arial" w:cs="arial"/>
          <w:color w:val="000000"/>
          <w:sz w:val="20"/>
          <w:lang w:val="en-US" w:eastAsia="en-US" w:bidi="ar-SA"/>
        </w:rPr>
        <w:t>, the plaintiff suffered a moderate soft tissue injury and continued to suffer from chronic pain and depression. Mr. Justice Barrow found that she had a predisposition to psychological issues and somatoform pain conditions, and found that there was a measurable risk of this predisposition coming into force in a manner that would have detrimentally affected her regardless of the accident. Barrow J. awarded her $120,000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 the plaintiff suffered from upper back pain before she was involved in a motor vehicle accident. She developed chronic pain in her neck, shoulders and back, as a result of the accident, which led to sleep disturbance, anxiety and depression. Her injuries affected her ability to work, but she was able to continue working as a licensed nurse practitioner on a full-time basis. Mr. Justice Affleck awarded her $120,000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the plaintiff suffered from chronic pain in his neck, low back and joints, chronic obstructive lung disorder and emphysema before he was involved in a motor vehicle accident. He also struggled with depression, anxiety, headaches, and sleeping problems, and had been on a disability pension for some 15 years before the accident. Mr. Justice Voith found that, as a result of the accident, his physical pain changed from "on and off" to enduring in nature and had become markedly more severe. He transformed from a generally positive, outgoing, and confident person into one that was reclusive, without energy and suffered from consistent depression of significant severity. Voith J. awarded him $100,000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Tourand</w:t>
      </w:r>
      <w:r>
        <w:rPr>
          <w:rFonts w:ascii="arial" w:eastAsia="arial" w:hAnsi="arial" w:cs="arial"/>
          <w:color w:val="000000"/>
          <w:sz w:val="20"/>
          <w:lang w:val="en-US" w:eastAsia="en-US" w:bidi="ar-SA"/>
        </w:rPr>
        <w:t>, the plaintiff suffered from neck, shoulder and back pain for which she saw a chiropractor approximately 65 times before the motor vehicle accident that gave rise to her claim. She also received massage treatments for shoulder pain before the same accident. Mr. Justice Joyce found that prior to the accident the plaintiff was not experiencing the kind of chronic pain and symptomology in her neck and low back that she has experienced since the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Joyce J. concluded that while she had some pre-existing degenerative changes in her neck and low back, her current symptoms were not due simply to the progression of that degeneration, but were due to either an aggravation of a pre-existing condition or to trauma that made symptomatic that which was not previously symptomatic. He concluded that prior to the accident in issue, she had been a physically active, social person, who enjoyed life and was enjoyable to live with and be around, but the accident negatively impacted her ability to enjoy physical activity and perform former household management tasks to the same extent as before, and had led to difficulty sleeping, depression and had affected her marital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On the other hand, Joyce J. found that she was not incapacitated, and continued to manage most of her household chores with moderation and careful sequencing of the tasks, and that it was probable that the plaintiff's physical capacity and general well-being would improve if she became more active. In the result, Ms. Tourand was awarded $100,000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defendants contend that the appropriate range for Ms. Konnert's non-pecuniary damages is between $50,000 and $60,000. They rely upon the non-pecuniary damage awards in the following decisions:</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Smith v. Evashkevich</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2016 BCSC 1228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MacDonald v. Kemp</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2014 BCSC 1079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Siddall v. Bencherif</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2016 BCSC 1662</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Siddall</w:t>
      </w:r>
      <w:r>
        <w:rPr>
          <w:rFonts w:ascii="arial" w:eastAsia="arial" w:hAnsi="arial" w:cs="arial"/>
          <w:color w:val="000000"/>
          <w:sz w:val="20"/>
          <w:lang w:val="en-US" w:eastAsia="en-US" w:bidi="ar-SA"/>
        </w:rPr>
        <w:t>];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Neyman v. Wouterse</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2013 BCSC 741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Neyman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a 34-year-old man suffered from neck, back and shoulder pain and anxiety as a result of a motor vehicle accident. After the accident, he could not do many things that he could before, and his business was not as successful as it had been before the accident. While there were flare-ups from his soft tissue injuries, he managed the symptoms well and did not miss work because of them. He did not golf or snowboard like he did before the accident and was more withdrawn in his relationships. He had general anxiety as a result of the chronic nature of the symptoms. He could continue to work at his current position, although he might need help with heavier lifting in the future. Mr. Justice Steeves awarded him non-pecuniary damages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MacDonald</w:t>
      </w:r>
      <w:r>
        <w:rPr>
          <w:rFonts w:ascii="arial" w:eastAsia="arial" w:hAnsi="arial" w:cs="arial"/>
          <w:color w:val="000000"/>
          <w:sz w:val="20"/>
          <w:lang w:val="en-US" w:eastAsia="en-US" w:bidi="ar-SA"/>
        </w:rPr>
        <w:t>, a 25-year-old female, who had no prior injuries, suffered soft tissue injuries to her neck, shoulders and back as a result of a motor vehicle collision. She underwent massage, physiotherapy and acupuncture. She took pain medication and exercised to increase her strength. Her injuries did not require her to take any time off work. She was able to pursue most of her pre-accident activities, but at a lower level than before as she was less strong and lacked stamina. Mr. Justice Baird awarded her $55,000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Siddall</w:t>
      </w:r>
      <w:r>
        <w:rPr>
          <w:rFonts w:ascii="arial" w:eastAsia="arial" w:hAnsi="arial" w:cs="arial"/>
          <w:color w:val="000000"/>
          <w:sz w:val="20"/>
          <w:lang w:val="en-US" w:eastAsia="en-US" w:bidi="ar-SA"/>
        </w:rPr>
        <w:t>, a 36-year-old visual artist who suffered from anxiety and depression most of her teenage and adult life was involved in two motor vehicle collisions. Mr. Justice G.C. Weatherill found that the first accident exacerbated her pre-existing physical symptoms of headaches as well as pain in her neck, shoulders and low back and caused episodes of renewed anxiety including panic attacks. The physical symptoms from the first accident were found to have resolved within several months but increased symptoms of anxiety continued until a new relationship began to flourish. The second accident again exacerbated pre-existing pain symptoms for no more than several weeks and also exacerbated the plaintiff's anxiety symptoms which became conflated with her pre-accident anxiety and other psychological issues. Although he found that she was not a credible witness, Weatherill J. awarded her $60,000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Neyman</w:t>
      </w:r>
      <w:r>
        <w:rPr>
          <w:rFonts w:ascii="arial" w:eastAsia="arial" w:hAnsi="arial" w:cs="arial"/>
          <w:color w:val="000000"/>
          <w:sz w:val="20"/>
          <w:lang w:val="en-US" w:eastAsia="en-US" w:bidi="ar-SA"/>
        </w:rPr>
        <w:t>, a 31-year-old woman with pre-existing neck and upper back symptoms as well as headaches and anxiety, sustained injuries to her neck, upper back, lower back, and hip pain as a result of a motor vehicle accident. Mr. Justice Walker found that she was not a credible witness, but concluded that the accident caused the plaintiff low back and left hip pain and aggravated her pre-existing neck and upper back pain, headaches and substantially aggravated her pre-existing general anxiety disorder. Walker J. awarded her $60,000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consider that the exacerbation of Ms. Konnert's pre-accident back pain, and headaches are more profound than the injuries sustained by the plaintiffs in the decisions relied upon by the defendants, but take from the evidence of Drs. Chow and Robinson that there would have been further deterioration in her functional abilities and increasing symptoms with the aging process, regardless if the accidents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the result, I conclude that the accidents have accelerated the progression of those challenges for the plaintiff. I award her the sum of $90,000 for her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defendants assert that the plaintiff has failed to mitigate her loss. While I am not persuaded that she has, as she asserts, been diligent in following the treatment recommendations made by her physicians, I find that it was not always convenient for her to attend her treating professionals. Although she could have made greater efforts to do so, I conclude that her condition was not as serious as she asserts following each of the accidents, and therefore decline to find that she failed to mitigate her loss by not attending her treating professionals more often than she did.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plaintiff asserts that because earning capacity, both past and future, is a capital asset, the test for the assessment of past income loss is the same as that for the assessment of future loss of earning capacity. She says that she has demonstrated that the injuries she suffered in the accidents impaired her ability to earn income, and that there is a real and substantial possibility that she suffered a pecuniary loss. The authority for this assertion can be found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36-37 and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paras. 30-31.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As between her past and future loss of earning opportunities, Ms. Konnert asserts that this can really be looked at as the same issue on a continuum as she continued to demonstrate functional and vocational deficits directly related to the injuries sustained in the accidents, causing a significant diminishment in her "capital asset" as a direct consequence of the myriad of injuries and limitations she has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Thus, she argues that she would have continued with her established earning trend as an employee and been entitled to employment benefits, health benefits and potentially a pension should she have remained at BCLC. She contends that she would not be working in a part-time capacity either as an employee or as a self-employed consultant and thus would have continued on with her path to potentially rise up to management level in an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For the reasons that I will set out below, I do not accept the continuum picture painted by Ms. Konnert and will assess her claim for income loss to the date of trial separately from her claim for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Konnert argues that she has had an ongoing diminished capacity to work in an office setting since the accident of December 30, 2014, due to physical pain, headaches, and light and sound sensitivities. I do not accept that her difficulties are as great as she described, and will address her work situation for each of the years since the December 30, 2014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Given the subrogation agreement with Great West Life, Ms. Konnert calculates her total net wage loss in 2015 at $4,628 (applying 32% deduction for personal income taxes) plus $9,218, the total of which is $13,846. I award her that sum for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find that she suffered no income loss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 contends that when she returned to full-time work at BCLC on August 15, 2015, her symptoms and limitations did not stop and her productivity decreased as she took frequent breaks from her desk to control her symptoms, and she was rendered less capable to navigate political changes and office restructure within the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am not persuaded that this was the motivation for her leaving BCLC. I conclude that she had no intention of long-term employment with BCLC, and left to advance her career by widening her work experience with a different type of employment within the marketing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Ms. Konnert says that but for the injuries she sustained in the three accidents, she would have otherwise likely continued working as a full-time employee in marketing at an organization similar to BCLC, Escents or Hub. I find that she could have continued to work at BCLC indefinitely, and that BCLC was prepared to and did accommodate her health challenges.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Ms. Konnert says that prior to the accidents, despite her pre-existing pain, headaches, panic attacks and anxiety, she was able to work full-time without missing a significant amount of time from work. I was not provided with any records of the plaintiff's work attendances, but that is incorrect. She was off work for three weeks due to her anxiety issues in 2010, and faced the other health challenges that I have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Ms. Konnert contends her work capacity was further diminished by the trauma and injuries associated with the accident of January 7, 2017, which undid the recovery progress that she had managed to gain. Ms. Konnert asserts this accident aggravated workplace difficulties and was one of the main causes for her ultimate decision to leave Escents.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plaintiff said the office set up at Escents was not ergonomic, and she no longer had the sit and stand desk she had at BCLC and that prolonged sitting at her desk caused her discomfort. She gave evidence that the work hours in the office were strict and she was only entitled to six sick days per year. As a result, she said she found it challenging to take time off to see treatment professionals to continue with massage, physiotherapy and active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find Ms. Konnert learned that Escents was not a job that was to her liking, and it was for this reason she left. While I accept her health challenges made the work at Escents even less desirable, I do not accept that her employer would not permit her to continue with treatments during her tenure there. If her desk was as great an issue for her as she complained of, I find that she could have obtained the same type of desk she had at BCLC, even if it was at her own expense, in order to continue with her employment. Had she done so, I find that the expense might well have been claimable in these proceedings as part of a genuine effort to mitigate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the result, I find that Ms. Konnert suffered no accident-related income loss in 2017, prior to August of that year, when she took the position at Hub, where she worked for three months. I accept her decision to do so was likely premature, given the accident of June 21 of that year, but that employment kept her from experiencing a complete income loss until around the end of October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find that this employment was intended by Ms. Konnert to be temporary, until her own business was up and running, and conclude that it was likely to have ended even without the June 21, 2017 accident by at least the end of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Konnert asserts, and I accept, that after the June 21, 2017 accident, she attempted a three-month long part-time office job as an employee at Hub during which she endured intense headaches, physical pain and jaw pain to the point that she was unable to put in 24 hours per week in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award her the sum of $14,000 net of income tax for 2017, based upon her income at BCLC, and the fact that her employment with Hub was only four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Ms. Konnert said that her symptoms improved significantly soon after leaving Hub and resuming self-employment at Elevate, where she worked on average two to four hours per day prior to winding down her business in anticipation for the birth of her son and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2018, the plaintiff's net income from her business was $13,290.79.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Although she denied any plan to start her own business prior to the accident of December 30, 2014, as early as May 17, 2014, she expressed to Ms. Cahill her intention to start her own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Starting in April 2017, Ms. Konnert took a year and seven months working to grow her own business. I find that she would have chosen to start her own business at or near that time whether any of the accidents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plaintiff's colleague, Ms. Wakefield, followed a similar pattern. She expects to work fewer hours than she did at BCLC, but earn an income commensurate with the income that she earned at BCLC.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There are at least two reasons why the plaintiff's business has not progressed at a similar pace. First, she was compromised in fully pursuing her business plans due to her health challenges following the June 21, 2017 accident and after accepting employment with Hub sooner than she should have done. Second, she became pregnant in December 2017, and made the choice to devote herself to her son for his first year of life starting in September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As I have found that Ms. Konnert would have chosen to work at her own company before her son was conceived, she would have found herself without maternity benefits regardless of any of the accidents. I dismiss her claim for the loss of maternity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Taking into account the birth of her son and the fact that she earned employment income of $13,290.79 in 2018, I find that a fair award for her loss of employment income from October 2017 until the date of trial is the sum of $25,000, net of income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total amount that I award the plaintiff for her past lost income earning claim is therefore $52,846, net of income tax.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It is well recognized in the authorities that the assessment of a claim for loss of income earning capacity is imprecise, and requires an assessment as opposed to a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contends that she established a solid pattern of earning history with an upward trend. I am unable to agree. She entered the workforce after the completion of her degree in marketing and communication from BCIT in 2008 at a significant salary, which increased at moderate amounts until she left BCLC. She did experience a more significant increase in her income in 2016, but it was short 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Based on the medical evidence regarding her functional capacity and her current estimated losses from starting her own business completely in October 2017, the plaintiff submits that an award of $200,000 would be reasonable and appropriate in the circumstances. This amount assumes that Ms. Konnert would still be earning approximately $70,000 per year into the future if she was still working in an office environment as an employee in the marketing field and that she has been working about four hours on average per day before she slowed down in anticipation of her son being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defendants take the position that an appropriate award for the plaintiff's loss of earning capacity based on the capital asset approach would be one year's income at her current expected annual earnings as a self-employed marketing consultant. They submit that $37,500 is an appropriate award, based on double the amount listed on her 2017 income tax return for gross business income. This is the amount, they say, that the plaintiff would have earned through Elevate in the approximately half a year that she was not employed by Escents or Hub Cycling in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Chow was of the opinion in October 2016 that the plaintiff was capable of working at her position as a marketing manager so long as her workplace was accommodating.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functional capacity testing results obtained by Mr. Emnacen did not show a significant functional impairment and Dr. Robinson gave a reasonably favourable, but somewhat guarded prognosis that she could return to her pre-accident level of headache and migraine with certain treatment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Chow testified that the plaintiff faced the prospect of deterioration regardless of the three accidents. I find that his prognosis is likely correct. The question then becomes just when her deterioration would have occurred, but for any of the three accidents and when it will now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Ms. Konnert is now employed as an owner and operator of Elevate. While Drs. Chow and Kiraly expressed in various ways that Ms. Konnert will have ongoing physical, functional and emotional deficits due to her health challenges, I am unable to find that they differ from the challenges that she would have faced had none of the three accidents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find that the plaintiff is entitled to the equivalent of two years' income to address the acceleration of her deterioration caused by the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annual income to be used to calculate this aspect of the plaintiff's claim can be determined using the report of Mr. Darren Benning, an economist who provided various multipliers to be used depending upon the facts that are found to apply in this case. In his report, Mr. Benning took an average of Ms. Konnert's salary from BCLC, Escents and Hub, and calculated her without accident average annual salary to be $70,568 for the year 2017 and $75,299 for the year 2019 after adjusting for inflation.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Based upon these averages, I award Ms. Konnert the sum of $150,000 for her loss of future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Claims for special damages are subject to the standard of reasonableness. As with all pecuniary damages, the principle underlying special damages is full compensation or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Ms. Konnert claims that she has incurred some $18,000 in various out-of-pocket expenses in relation to her accident-related injuries and treatment thereof, including prescriptions, physiotherapy, massage therapy, psychological treatment, as well as other miscellaneous and mileage expenses, the latter being to attend various medical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She concedes that she would likely have incurred some of these expenses even if the three accidents did not occur, such as expenses for massage therapy, counselling and equipment for the care of her son. In the circumstances, Ms. Konnert claims the aggregate total of $15,000 as representing her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defendants accept that the costs of physiotherapy and active rehab treatments were reasonably incurred as recommended to Ms. Konnert by her treatment professionals. They take the position that Ms. Konnert would have continued to seek massage therapy treatments regardless of the three accidents, but accept that a portion of those expenses were reasonably incurred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defendants take the position that Ms. Konnert would have incurred expenses for acupuncture, yoga, chiropractic treatment, a swimming pass, baby equipment, and a cleaner regardless of the accidents. They submit that the appropriate award for special damages is $7,850.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accept the defendants' submission with respect to the plaintiff's claim for special damages, but round up the award under this head of damages to $8,000.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Ms. Konnert gave evidence that at present day, she continues with regular massage therapy and chiropractic treatments to manage her symptoms. She submits that, given that all of the cost of care recommendations are supported by expert evidence, and that there is no expert medical evidence on behalf of the defendants to rebut those opinions, they satisfy the test set out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She submits that an award between $30,000 and $50,000 would be fair and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defendants argue that Ms. Konnert is entitled to a modest amount of future care costs, namely for the treatments outlined in the report of Dr. Robinson. They submit that $10,000 is an appropriate award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Medical support for future care needs must be based upon reliable opinions using correct factual assumptions, before they are helpful in determining those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Dr. Chow made several treatment and management recommendations, including a sleep consultation and study, assessment by a headache specialist, medications such as an anti-depressant, Gabapentin, Lyrica and Botox injections, occupational therapy intervention, physical therapy, pharmacotherapy, including over-the-counter pain medication, non-steroidal anti-inflammatory medication, tricyclic antidepressants and Cymbalta, future consideration of nerve blocks, a multi disciplinary chronic pain program, a kinesiologist guided exercise program and a gym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formed the impression from his evidence that Dr. Chow simply included everything that he could think of that might benefit the plaintiff, regardless of her pre-accident condition. In cross-examination, he conceded that Ms. Konnert would have likely needed at least some of these treatments even before the accidents. In the result, I did not find his recommendations particularly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his report, Dr. Robinson stated that Botox may be helpful for the plaintiff in an attempt to suppress her headaches and that if she has a substantial response to this, she will likely require Botox injections every three months, potentially indefinitely. He did not agree that Ms. Konnert would have required Botox if the accidents did not occur, as her headaches were manageable and were not taking her out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Kiraly recommended continued psychotherapy, access to a personal trainer, a psychiatrist and pharmacotherapy in the form of Cymbalta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Dr. Mehta recommended that Ms. Konnert perform active range of motion exercises, medication for pain reduction, a mouth guard, trigger point injections, Botox and topical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 have found that the causal link between the plaintiff's psychiatric and dental conditions has not been proven, so I reject the recommendations for future care needs of both Dr. Kiraly and Dr. Mehta.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find that the plaintiff will potentially benefit from Botox injections, and has a greater need for them due to the accidents. I find as well that the plaintiff would benefit from occupational therapy and a personal trainer to regain some of her pre-accident stamina and fitness, but reject Dr. Chow's recommendation for a kinesiologist guided exercise program and a gym pass. As I was provided with only a general recommendation for pharmacotherapy, and no specific costs related thereto, I am not able to determine what amount might be needed for such therapy, and decline to make an award therefore.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Doing the best that I can with such limited evidence, I award the plaintiff the sum of $15,000 for future care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Ms. Konnert argues that her capacity to perform household tasks and chores has been reduced as a result of her injuries from the accidents. Since the accidents, Ms. Konnert says that she has had a great deal of difficulty with her household work, particularly cleaning and has struggled to perform both heavy household tasks and basic tasks, such as cleaning bathtubs and vacuuming. She and her partner have hired a cleaner to assist, and in between cleanings, Ms. Konnert's partner does most of the sweeping, mopping, cleaning of the kitchen, recycling, lifting heavier items at home and caring for their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Ms. Konnert submits that an award for loss of housekeeping capacity as a discrete head of damage is warranted and that an award in the amount of $25,000 would be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defendants point to Ms. Konnert's evidence that she continues to complete the majority of her housekeeping tasks, with appropriate help from her partner, and argue that the plaintiff can carry out household chores albeit with some pain and discomfort. They contend that a claim for loss of housekeeping capacity has not been made out since it will have been compensated for within the non-pecuniary damages award (</w:t>
      </w:r>
      <w:r>
        <w:rPr>
          <w:rFonts w:ascii="arial" w:eastAsia="arial" w:hAnsi="arial" w:cs="arial"/>
          <w:i/>
          <w:color w:val="000000"/>
          <w:sz w:val="20"/>
          <w:lang w:val="en-US" w:eastAsia="en-US" w:bidi="ar-SA"/>
        </w:rPr>
        <w:t>Beaudry v. Kishigweb</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2010 BCSC 915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 v. Watson</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2010 BCSC 950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Mr. Emnacen concluded that Ms. Konnert can manage her share of duties with appropriate pacing strategies. To the extent that her housekeeping ability has been impacted by her injuries, this should be reflected in the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 Mr. Justice Wallace, writing for the Court, held that "[i]t would appear from the review of the authorities cited that a claim for nursing and domestic services rendered by members of the injured party's immediate family are allowed where the plaintiff establishes the need for such services as a consequence of the injury, and provided that they are rendered to or on behalf of the plaintiff. It is not necessary that the plaintiff establish that he or she is under any legal or moral liability to pay the amount awarded to the provider of the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While I have found that the plaintiff has largely if not completely recovered from the injuries that she sustained in the three accidents, her ability to perform household duties will be diminished as she deteriorates more rapidly than she would have had the accidents not occurred. She is entitled to an award for this future development. The award must of necessity be somewhat arbitrary. Doing the best that I can to be fair to all of the parties, I award her the sum of $10,000 for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 summary, the damages awarded to the plaintiff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past income:</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$52,846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income earning capacity:</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care:</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 capacity:</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$325,846.00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Luchak v. Taylor, [2003] B.C.J. No. 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28 - 31 and November 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S051129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119 A.C.W.S. (3d) 253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Michael Luchak, plaintiff, and Dana Lynne Taylor and Mohamed Ahmed Shallo,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8" w:name="Keywords_8"/>
      <w:bookmarkEnd w:id="78"/>
      <w:r>
        <w:rPr>
          <w:rFonts w:ascii="arial" w:eastAsia="arial" w:hAnsi="arial" w:cs="arial"/>
          <w:b/>
          <w:color w:val="000000"/>
          <w:sz w:val="20"/>
          <w:lang w:val="en-US" w:eastAsia="en-US" w:bidi="ar-SA"/>
        </w:rPr>
        <w:t>Damages — Limits of compensatory damages — Intervening cause — Damage awards — Injury and death — Psychological injuries — Depression — Post traumatic stress disorder — Emotional reaction causing mental or physical symptoms.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9" w:name="Case Summary_8"/>
            <w:bookmarkEnd w:id="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in an action by Luchak for damages for personal injuries suffered in a motor vehicle accident. Luchak was crossing at a pedestrian crosswalk when he was struck by Taylor's vehicle. Taylor admitted liability for the accident. Luchak was 34 years old. He was married with three children. Luchak was off work for several days following the accident and suffered soft tissue injuries to his back and neck, as well as his arms and legs in the accident. He alleged that he suffered from sexual dysfunction and depression after the accident. Luchak and his wife eventually separated. Luchak was terminated from his employment and had not obtained employment since his termination. Luchak claimed damages for post-traumatic stress disorder and depression.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0" w:name="Holdings of Court_8"/>
            <w:bookmarkEnd w:id="80"/>
            <w:r>
              <w:rPr>
                <w:rFonts w:ascii="arial" w:eastAsia="arial" w:hAnsi="arial" w:cs="arial"/>
                <w:color w:val="000000"/>
                <w:sz w:val="20"/>
                <w:lang w:val="en-US" w:eastAsia="en-US" w:bidi="ar-SA"/>
              </w:rPr>
              <w:t>HELD: Luchak was awarded non-pecuniary damages of $55,000.</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 was not entitled to any amount for past or future wage loss. The evidence did not show that all of the physical, emotional and financial difficulties suffered by Luchak were caused by the accident. He had not demonstrated why he suffered from post-traumatic stress disorder. The depression suffered by Luchak after the accident was minor but only became more serious following his separation from his wife. There were intervening events that broke the chain of causation.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1" w:name="Counsel_14"/>
      <w:bookmarkEnd w:id="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A.J. MacIver, for the plaintiff. B.F. Fraser, Q.C.,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2" w:name="Judgment_13"/>
      <w:bookmarkEnd w:id="82"/>
      <w:r>
        <w:pict>
          <v:line id="_x0000_s1086" style="position:absolute;z-index:2517760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3" w:name="B.M. DAVIES J."/>
            <w:bookmarkEnd w:id="83"/>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judgment concerns the damages suffered by the plaintiff, John Luchak, when he was struck by the defendants' motor vehicle in a pedestrian crosswalk. The incident occurred in Vancouver, British Columbia at the corner of Burrard and Georgia Streets in the late evening of January 21,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Luchak was returning home from work, had been dropped off near the Burrard Street SkyTrain Station by a co-worker and was heading toward that station when he was struck with significant force. Mr. Luchak was taken to St. Paul's hospital nearby, released in the early morning of January 22, 1997 into the care of his wife and driven home to New Westminster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Liability has been admitted and there are no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assessment requires consideration of the following heads of damages claimed by Mr. Luchak:</w:t>
      </w:r>
      <w:r>
        <w:rPr>
          <w:rFonts w:ascii="arial" w:eastAsia="arial" w:hAnsi="arial" w:cs="arial"/>
          <w:sz w:val="20"/>
          <w:lang w:val="en-US" w:eastAsia="en-US" w:bidi="ar-SA"/>
        </w:rPr>
        <w:cr/>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for pain and suffering and loss of enjoyment of life;</w:t>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past and future medication; and</w:t>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Luchak was 34 years old when the collision occurred. He had graduated from high school in 1980 and had worked for British Columbia Hydro from 1979 until 1995. He was married in 1992 and at the time of the accident he and his wife had two sons and one daughter. Their eldest son was his wife's child from a prior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Luchak's medical history prior to the accident was relatively unremarkable. He had, however, suffered a work-related injury which required a C6-7 cervical dissectomy and fusion that was performed in November of 1993 and from which he fully recovered without residual effects. Also, in October of 1996 Mr. Luchak had a non-surgical vasectomy from which he suffered no adverse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his 1993 surgery, Mr. Luchak briefly returned to his work at British Columbia Hydro but was subsequently laid off. He then embarked upon a re-training program in three dimensional (3D) computer animated graphic design at the Vancouver Film School that was sponsored and paid for by Employment Canada. That 3D graphics program was an intensive course of study involving class study and applied project work both on an individual and collaborative basis. Mr. Luchak was a dedicated and successful student and excelled in both individual and team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Luchak graduated from the Vancouver Film School 3D program in 1996. He then went to work for Fearless Entertainment Limited ("Fearless") a start-up software company that was attempting to penetrate the highly competitive "real time strategy" computer games market. Fearless was started by a former student at the Vancouver Film School who knew of Mr. Luchak's work there. Mr. Luchak almost immediately became a "senior" and very proficient 3D graphics designer and modeller with Fearless.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Mr. Luchak became one of its employees, Fearless had a funded contract with a large American computer company for the development of a prototype real time strategy computer game. The evidence establishes that in the computer gaming industry such contracts are very much performance based. A games development company such as Fearless must meet or exceed imposed deadlines or "mileposts" to ensure the continuation of funding. The evidence also establishes that the animators and other members of computer animated games design teams are under intense and constant pressure to meet the imposed milestones. As noted, on the night he was struck by the defendants' vehicle Mr. Luchak had been working late into the evening at Fearless's premises in North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January, 1997, Mr. Luchak was a hard working, dedicated and capable employee. His work and that of his animation team helped Fearless to meet or exceed all expectations and mileposts. Mr. Luchak was a cheerful and likable employee and co-worker who eased tensions that arose in the pressure filled workplace with good humour and appropriate affability.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evidence also establishes that prior to the collision Mr. and Mrs. Luchak were coping reasonably well with the financial and emotional pressures of raising a young family as Mr. Luchak was starting his new career. I am, however, satisfied from the totality of the evidence that both Mr. and Mrs. Luchak downplayed the extent of the financial stress they were under at the beginning of 1997 and also minimized the emotional strain that was associated with the very long hours that Mr. Luchak was required to be away from the family both while at work and while travelling to and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I have noted above, although he was hospitalized after the collision Mr. Luchak was released shortly thereafter into his wife's care. His family physician, Dr. Rashad Dindo, first saw him two days after the collision. At that time Dr. Dindo diagnosed "soft tissue injury of the neck, the back, both arms and both legs following a car accident". He prescribed application of heat to painful areas, gentle stretching and walking, as well as 400 mg. of Advil four times daily. He also advised Mr. Luchak to stay off work for seven to 10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Luchak returned to work five days after the collision. He was still sore from the injuries suffered in the collision and also suffered from persistent headaches but testified that he liked his work, did not want to let his team and employer down and wanted to be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he next saw Dr. Dindo on January 31, 1997 Mr. Luchak was given a prescription for massage therapy for his back and neck as needed and at his next visit, on February 6, 1997, Mr. Luchak reported that he was "feeling better in general ... still having some neck stiffness, back pain and headaches occasionally". He also disclosed, however, that he had had to "limit and discontinue all of his sexual activity due to back pain that was causing problems with his partner and to himself". I emphasize this aspect of Mr. Luchak's self-reporting to Dr. Dindo because of the importance which Mr. Luchak's places upon alleged sexual dysfunction in his damages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he returned to work after the collision, Mr. Luchak still continued to work long hours and still commuted daily between his work in North Vancouver and his home in New Westminster by public transportation. He suffered back pain both at work and during the commute that was, however, relieved somewhat by an Obus Forme. The continuation of massage therapy also helped to control his persistent headaches. In early February, in addition to prescribing continued massage therapy Dr. Dindo referred Mr. Luchak to a kinesiologist for three visits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February 27, 1997 Mr. Luchak told Dr. Dindo that he had resumed sexual activity but also stated that he was "not as active as he used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of Mr. Luchak's employer, his immediate supervisor and a co-worker establishes that after the accident Mr. Luchak's work performance began to deteriorate and that he began to show signs of depression, irritability and anger. His supervisor attributed the deterioration in Mr. Luchak's performance to a lack of focus and resistance to change and eventually another member of Mr. Luchak's 3D graphics design and modelling team began to take on the more difficult tasks that formerly had primarily been Mr. Luchak's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his initial medical-legal opinion dated September 4, 1997 Dr. Dindo reported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received a follow up note from Kincor [the kinesiology practitioners to whom he had referred Mr. Luchak] on April 18, 1997. It described that Mr. Luchak had to discontinue his treatments due to time and travel constraints. He also was having to reduce his activities. This resulted in recurrence of symptoms of headaches, neck and low back pain. On the plus side, the kinesiologist reported good results with the use of the obus forme back rest during his Sky Train travel. The kinesiologist also reported that Mr. Luchak had played a round of 18 holes of golf and three games of hockey as a goalie, two games of which were on the same day which caused some fatigue and significant muscle ache, which he felt were not abnormal for his first golf and hockey games in a couple of years. He did not feel limited in these activities by his current symptoms. The note also reported that Mr. Luchak was discharged unless further treatment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Dindo's clinical notes of Mr. Luchak's visit of May 8, 1997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gentleman is better overall. He has occasional aches and pains and recurrent pains that are controlled with massage therapy. A few days ago, he had sudden shoulder pain on the right side, which is much better now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is having some stress due to work pressures and pressures of having three children. He and his wife have had very little sexual relations since the accident. This, they both attribute to the pain related to the injuries of the accident initially and to lack of time lately and to reduced desire due to the pressure of dealing with difficult children as well. The wife was getting some counselling, but the patient has declined any counselling referral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Dindo's diagnosis of May 8, 1997 was that Mr. Luchak was suffering from: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Impingement syndrome right shoulder. Continued neck problems following an MVA. Stress and anxiety causing interference with sexual relationships with wife.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prescribed massage therapy once or twice a week for a few weeks for symptom control and also gave advice on stress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Mr. Luchak's attendance upon him on August 26, 1997 Dr. Dindo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for the last few weeks has been having headaches, insomnia and irritability. These have all been noticed by people around him.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is also having financial problems, as he has been laid off. He also has been having car problems. The patient has also been unable to get massage therapy due to financial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Dindo's reference to Mr. Luchak having been laid off from work concerned a decision by Fearless's sponsor to withdraw from its funding arrangements and commitments to Fearless notwithstanding that Fearless had met all required mileposts. Mr. Luchak was one of the last employees of Fearless to have his employment terminated when the company closed its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losing his employment with Fearless Mr. Luchak's emotional condition deteriorated badly and he suffered from severe insomnia. Dr. Dindo prescribed an anti-depressant for the first time. Unfortunately, it had side effects that included a lowered libido. He also prescribed Restoril to assist with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September 26, 1997, however, Dr. Dindo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gentleman is improving. He has less stress and anxiety. Co-incidentally, he also has found a job in his preferred field. He is having dizziness with the Serzone 400 mg a day. He doesn't seem to get it when he skips a tablet. He is still having severe insomnia despite the Restoril.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employment referred to by Dr. Luchak was with DigiPen Corporation ("DigiPen") an established computer graphics games company associated with the Nintendo Corporation of Japan. DigiPen had offices in Vancouver, British Columbia and in Redmond, Washington in the United States of 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October 17, 1997 Dr. Dindo recorded in his clinical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reports no dizziness with the Serzone at the new dosage of a total of 300 mg daily in divided dosage as tolerated. The patient is aware of increased irritability around his family. He is having trouble with his sleep and the Chloral Hydrate has not made any difference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is having trouble with his sexual relations with his wife. Apparently, there is a decrease in sexual appetite and some performance difficulties. There is some success, however, in those attempts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is now working with Nintendo and he is happy with his job and is more secure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December 11, 1997, Dr. Dindo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reports an improvement in his anxiety. He is no longer bothered by that at all. His sleeping is one that goes in phases. It is good at times and is bad at times. It seems to be affected mostly by the amount of stress with his wife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sex drive is improving following counselling with his wife, but it is not back to normal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neck is slightly stiff, worse with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January 30, 1998, approximately one year after the collision, Dr. Dindo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is doing well. He has less anxiety and his sex drive has been improving. He is still having some stiffness and pain in the hip abductors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is working full time and is very happy with his job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patient's home situation is a lot better. His sleep has been better recently, although he never has any good sleep at the best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Unfortunately, Mr. Luchak's improving condition suffered a severe setback in March of 1998 as problems in his family life came to a disastrous culmination.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Dr. Dindo's reports indicate and as Mr. and Mrs. Luchak's evidence affirms, child-rearing difficulties and marital discord came to the fore in the months following the collision. Mr. Luchak asserts that those problems all arose as a consequence of his inability to enjoy family life and assist with the care of the children due to his pain and suffering as well as his lack of sexual appetite caused by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Both Mr. and Mrs. Luchak testified that Mr. Luchak became a disinterested father who was self-absorbed and less willing to assist Mrs. Luchak with daily family activities and that their sexual relationship deteriorated both physically and emotionally.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of both Mr. and Mrs. Luchak (as confirmed by the notes of their marriage counsellor, Mr. Ed Wigmore) also, however, establishes that Mr. and Mrs Luchak were at the same time experiencing severe problems in dealing with their eldest son who was diagnosed as having Attention Deficit Hyperactivity Disorder. While Mr. Luchak asserts that these problems with their son arose from Mr. Luchak's inability to communicate and associate with him as he had prior to the accident because of pain and stress, that assertion is unsubstantiated by any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discloses that as a consequence of the behavioural problems he was exhibiting, Mr. and Mrs. Luchak's eldest son eventually left their home to reside with Mrs. Luchak's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and Mrs. Luchak sought parental counselling assistance from Mr. Wigmore to deal with issues concerning their eldest son and this counselling eventually came to include marital relationship counselling. Significantly, the relationship counselling disclosed serious issues of marital discord that preceded Mr. Luchak's accident and his subsequent recovery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Finally, in March of 1998, while attempting to deal with the relationship issues with her eldest son and marital issues with Mr. Luchak, Mrs. Luchak attempted suicide. After that tragic and traumatic event, Mr. and Mrs. Luchak's family life never returned to normalcy and in May of 1998 they separated.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Luchak then moved out of the family home to an apartment nearby and was emotionally devastated by the loss of his family and marriage. His employment with DigiPen as a 3D graphics designer continued, however, and he was able to provide financial support to Mrs. Luchak and the children until the end of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January of 1999, as a consequence of the continuing financial pressures that he faced after separation, Mr. Luchak determined to take a job with DigiPen in Redmond, Washington at the increased salary of approximately US$40,000. He then began to commute on weekends to visit his children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establishes that although Mr. Luchak's 3D animation skills were not as strong in his new employment as they had previously been and although he was very unhappy both with his home situation and the constant travel to see his children he remained a valued employee. He did, however, begin to drink to excess and gained considerable weight from an unhealthy diet.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in December of 1999 Mr. Luchak decided to return to Canada to be closer to his children by returning to work at DigiPen's Vancouver offices. He was then employed at a lower salary of CDN$48,000 and also suffered adverse tax consequences by returning to Canada before he had been out of the country for one full calendar year. Mr. Luchak attributes that tax loss to the collision and its impact upon his life. He asserts that it was caused by his failed marriage and his improvident move to the United States all of which he says arose as a consequence of the effects of the injuries he suffered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February 16, 2000, on the recommendations of his lawyer, Mr. Luchak consulted a psychiatrist. Dr. Paul Devlin has seen Mr. Luchak frequently since February, 2000 and delivered three medical-legal opinions on Mr. Luchak's behalf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April, 2000, DigiPen was purchased by Nintendo Software Canada Inc. ("Nintendo Canada") and Mr. Luchak's employment as a "3D Production Artist 1" at a salary of CDN$48,000 and his eligibility for bonuses was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August 9, 2001, Mr. Luchak complained to Dr. Dindo that he had progressively been suffering from diminishing libido and diminishing ability to maintain an erection. Dr. Dindo prescribed four tablets of Viagra and also ordered blood work including thyroid and hormone checks.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August 20, 2001, Dr. Dindo recorded in his clinical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came back and I reviewed his blood test results, which were all within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reports that he did not have to try Viagra, as he attempted having intercourse with his girlfriend and was successful without having to use any medication. He felt a lot better after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discussion, it was decided that he continue on the current course and return for follow up if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August 24, 2001, Nintendo Canada shut down its Canadian operations and terminated Mr. Luchak's employment. Mr. Luchak was one of the last of Nintendo Canada's employees to be laid off and the company provided employment termination compensation to him based upon five months notice ending January 31,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termination of his employment by Nintendo Canada was devastating to Mr. Luchak and he has not since returned to work. In his opinion dated March 15, 2002, Dr. Devlin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aforementioned, I have continued to see Mr. Luchak approximately every two weeks. The situation unfortunately has gone from bad to worse. He was laid off from his company, which effectively closed its Canadian division in the wake of the terrorism in September 2001. He has had little success in finding another job, as the whole industry appears to be in severe recession. He has been attempting to use this time to develop a top-notch demo tape with which to secure further employment. He is extremely worried about this as the industry moves very quickly and some of the software that he had available to him is already out of date in a few months. He has a difficulty maintaining social contact with some of the companies with whom he previously enjoyed good social relations and which he felt would provide an entry point to another job. For example, he played seniors no contact hockey. He has in fact been physically quite ill over the last three months beginning around Christmas of 2001 he developed abdominal pain and discomfort. This continued and proved to be very difficult to diagnose. He finally arrived at my office for an appointment in February, was extremely ill. I took him directly to Emergency and he was admitted to a surgical ward for approximately five or six days during which significant investigations occurred. Unfortunately as yet no cause of his abdominal discomfort has been elucidated other than the possibility of colitis. He is naturally quite worried about this and it has interrupted his work on his demo tape and any other job finding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mentioned that in November he attempted to secure employment as a warehouse man with Revenue Canada and was quite deflated when he could not get that job. He wanted to try to secure any job as insurance so that he could continue to honor his financial commitments in terms of payments to his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Finances at this point are quite strained. He is worried about the immediate future. He is worried that the career in the video game industry is slipping away, that his skills are deteriorating and that he has lost position in the industry.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reviewing his work history it is clear that when he returned from Redmond, Washington to be close to his family that this was a significant backwards step in an industry that is notoriously aggressive and fast moving. He also suffered considerable financial regression because of that move. Had he stayed in Washington and continued working in that job he would a) be a lot more secure in his industry and b) considerably higher paid than he was at the time of his termination from his last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March of 2002 it was determined that Mr. Luchak was suffering from irritable bowel syndrome. Further, in April of 2002, Mr. Luchak was diagnosed with a C7 disc separation that required fusion in July of 2002 but was entirely unrelated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of the date of trial Mr. Luchak remained unemployed and had not completed the demonstration tape alluded to by Dr. Devlin. He testified that he considered that he was not now employable as a 3D graphic artist and that he requires re-training to allow him to become employable. He has suggested that the appropriate re-training would allow him to start a new career as a web designer. He wishes to attend a course of study offered by the Vancouver Film School requiring 48 weeks of study at a cost of approximately $25,000 plus living expenses. He submits that this proposed course of study and his living expenses should be paid for by the defendants because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he says caused the erosion of his 3D animation skills. He asserts that the new course of study and career path would allow him to utilize his existing skills as a relatively capable 2D graphic artist and allow him to eventually gain employment benefits similar to those he enjoyed while employed by Nintendo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AND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difficult question that arises in this case is that of the extent to which the serious emotional and financial difficulties suffered by Mr. Luchak since the January, 1997 motor vehicle collision were caused by that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leading case on causation in personal injury matters is the decision of the Supreme Court of Canada in Athey v. Leonati </w:t>
      </w:r>
      <w:hyperlink r:id="rId95"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xml:space="preserve"> which held that a plaintiff must establish on a balance of probabilities that his or her injuries were caused or substantially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Court also stated that the general but not conclusive test for causation is the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Of further concern in the circumstances of this case is the question of whether intervening acts have broken the chain of legal causation. In Yoshikawa v. Yu </w:t>
      </w:r>
      <w:hyperlink r:id="rId495"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 Lambert J.A. (concurring in result) considered the effect of issues of proximate cause (sometimes referred to as remoteness of damages) and intervening acts as principles to be addressed in assessing damages. At p. 328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other important principle, for the purposes of this case, as a principle applicable in dealing with questions of proximate cause, is the principle that a new intervening act, occurring after the defendant's wrongful act, may give such a pronounced new impetus or deflection to the chain of causation that the original wrongful act of the defendant is no longer regarded as a sufficient cause upon which to rest legal liability. That principle is sometimes referred to as involving the occurrence of a novus actus interveniens.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application of the principle relating to intervening acts involves the difficult task of finding the facts correctly on the basis of the evidence. It also requires a very nice judgment in balancing the causes of the psychological symptoms in order to decide whether the causes arising from the plaintiff's own pre-existing subjective state and the plaintiff's own individual conduct as well as from other sources such as the advice and actions of family, friends and healers, have had an independent new impetus or deflection on the existing chain of causation flowing through the defendant's wrongful act, to such an extent that the defendant's wrongful act must be regarded as a cause-in-fact for which no legal recovery is permitted. At that point, the defendant's wrongful act would no longer be a sufficient "proximate cause" in law. An example of a case where the cause-in-fact test was met, but the proximate cause test was not met because the plaintiff's psychological symptoms were brought about by his own new acts after the accident and by his grief, so that the chain of causation was given a new impetus and deflection by his own acts which therefore constituted an intervening causative force, is to be found in Beecham v. Hughes </w:t>
      </w:r>
      <w:hyperlink r:id="rId496" w:history="1">
        <w:r>
          <w:rPr>
            <w:rFonts w:ascii="arial" w:eastAsia="arial" w:hAnsi="arial" w:cs="arial"/>
            <w:i/>
            <w:color w:val="0077CC"/>
            <w:sz w:val="20"/>
            <w:u w:val="single"/>
            <w:shd w:val="clear" w:color="auto" w:fill="FFFFFF"/>
            <w:lang w:val="en-US" w:eastAsia="en-US" w:bidi="ar-SA"/>
          </w:rPr>
          <w:t>(1988), 27 B.C.L.R. (2d) 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Athey, the Supreme Court of Canada addressed the issue of the effect of intervening acts upon an award of damages, at pp. 242-243,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respondents also sought to draw an analogy with cases where an unrelated event such as a disease or non-tortious accident, occurs after the plaintiff is injured. One such case was Jobling v. Associated Dairies Ltd., [1981] 2 All E.R. 752 (H.L.), in which the defendant negligently caused the plaintiff to suffer a back injury. Before the trial took place, it was discovered that the plaintiff had a condition, completely unrelated to the accident, which would have proved totally disabling in a few years. Damages were reduced accordingly. In Penner v. Mitchell </w:t>
      </w:r>
      <w:hyperlink r:id="rId497" w:history="1">
        <w:r>
          <w:rPr>
            <w:rFonts w:ascii="arial" w:eastAsia="arial" w:hAnsi="arial" w:cs="arial"/>
            <w:i/>
            <w:color w:val="0077CC"/>
            <w:sz w:val="20"/>
            <w:u w:val="single"/>
            <w:shd w:val="clear" w:color="auto" w:fill="FFFFFF"/>
            <w:lang w:val="en-US" w:eastAsia="en-US" w:bidi="ar-SA"/>
          </w:rPr>
          <w:t>(1978), 89 D.L.R. (3d) 343</w:t>
        </w:r>
      </w:hyperlink>
      <w:r>
        <w:rPr>
          <w:rFonts w:ascii="arial" w:eastAsia="arial" w:hAnsi="arial" w:cs="arial"/>
          <w:color w:val="000000"/>
          <w:sz w:val="20"/>
          <w:lang w:val="en-US" w:eastAsia="en-US" w:bidi="ar-SA"/>
        </w:rPr>
        <w:t xml:space="preserve"> (Alta. C.A.), damages for loss of income for 13 months were reduced because the plaintiff had a heart condition, unrelated to the accident, which would have caused her to miss three months of work in any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understand these cases, and to see why they are not applicable to the present situation, one need only consider first principles.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better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 In the cases referred to above, the intervening event was unrelated to the tort and therefore affected the plaintiff's "original position". The net loss was therefore not as great as it might have otherwise seemed, so damages were reduced to reflect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Against that legal analysis I turn to my determination of the extent to which Mr. Luchak's present condition was caused or substantially contributed to by the collision of January 21, 1997 and the defendants'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my assessment of the appropriate compensation to be awarded to him under each head of damages he has claimed.</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for pain and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Luchak seeks compensation under this head of damages for the admitted physical injuries he suffered as a consequence of the collision; for the effects of alleged post-traumatic stress syndrome and an alleged major clinical depression from which he says he still continues to suffer; for alleged sexual dysfunction and the loss of his marriage and the continuing emotional consequences of that break-up; and, for continuing insomnia and for irritable bowel syndrome diagnosed in March of 2002 and its continuing consequences. His counsel has submitted that the appropriate award of compensation for all of those alleged non-pecuniary losses is from $100,000 to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for the defendants acknowledges that Mr. Luchak suffered soft tissue injuries to his neck and back and some bruising in the collision. Mr. Fraser submits that the injuries suffered were in the mild to moderate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also acknowledge that Mr. Luchak experienced pain and suffering for a period of up to approximately one year from those injuries and from associated headaches. They acknowledge that his suffering and loss of enjoyment of life included some discomfort at work, at leisure and while commuting. They also admit that the evidence establishes that for some months following the collision Mr. Luchak suffered from some loss of concentration that affected his work performance, some sleeplessness and some restriction of his sexual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also submit, however, that Mr. Luchak has not established that the collision caused either post-traumatic stress or a major clinical depression. They also submit that Mr. Luchak had largely recovered from the injuries suffered in the collision by the end of January, 1998. They argue that Mr. Luchak's depression after that date, his marriage break-up, his insomnia and any sexual dysfunction from which he may have suffered after March of 1998 were not caused or substantially contributed to by the collision but rather by intervening causes that broke the chain of causation. Mr. Fraser submitted that an appropriate award for Mr. Luchak's non-pecuniary losses is from $40,000 to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that the totality of the evidence does not establish on a balance of probabilities that all of the many physical, emotional and financial difficulties that have befallen Mr. Luchak since 1997 have their roots in the collision of January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Dindo's clinical observations and Mr. Luchak's self-reporting assessments establish that Mr. Luchak suffered soft tissue issues to his neck and back as well as mild to moderate bruising. Mr Luchak also suffered from moderate to severe headaches for a period of at least two months and considerable back discomfort for a further period of time that affected his work and his ability to concentrate. He also required an Obus Forme for some months to relieve the pain caused by work and travel. The evidence further establishes that for many months only frequent massage and kinesiology treatments and the continued use of medication provided significant relief to Mr. Luchak.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Given the length of time that Mr. Luchak suffered persistent headaches and back pain from his collision-related injuries I am satisfied that the soft tissue injuries he suffered in the collision were in the moderate to severe range that had some effect lasting for approximately one year. I also find, however, that his condition gradually but steadily improved during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to the extent of that gradual improvement, the evidence establishes that by mid-April of 1997 Mr. Luchak was able to participate in some sports with the occasional flare-up and that by August of 1997 he was able to drive a forklift while he was laid off by Fearless but before gaining his new employment with DigiPen.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Luchak has not established on a balance of probabilities that he suffered from post-traumatic stress syndrome as a consequence of the collision. Although he did suffer from some flashbacks for approximately two weeks after the collision, he did not report anxiety attacks or recurrent dreams to Dr. Dindo. Also, on May 8, 1997 Mr. Luchak himself attributed his stress to work and to family pressures. Significantly, at that time Mr. Luchak was working in a pressure filled work environment, while suffering residual pain and lack of ability to concentrate caused by the accident. Issues with his eldest son and underlying marital discord issues also contributed to the stress he was under and to lack of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do not accept Dr. Devlin's opinion that Mr. Luchak suffered from either post-traumatic stress syndrome or a major depression caused by the accident or that he continues to suffer from a post-traumatic stress disorder. I find that Dr. Devlin's analysis amounts to little more than an acceptance of Mr. Luchak's theories of causation with little or no independent analysis. I find it telling in that regard that Dr. Devlin did not see Mr. Luchak until after Mr. Luchak had returned from the United States and was suffering the disastrous effects of that protracted dislocation from his family. Where Dr. Devlin's opinions differ from those of Dr. Levin, proffered on behalf of the defendants, I prefer those of Dr. Levin. I find that Dr. Levin's analysis did not suffer from partiality, appropriately considered all aspects of Mr. Luchak's circumstances after the collision and most importantly, included consideration of Mr. Wigmore's highly relevant parental and marital counselling notes. Significantly, those same notes were not considered by Dr. Devlin.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After considering all of the evidence including the medical opinions of the three physicians who testified before me, I have determined that Dr. Dindo's conclusion that Mr. Luchak suffered a reactive depression following the collision is the most reliable medical opinion. I also find that the reactive depression was of a minor form, contributed to not only by the collision but also by financial, work and family circumstances and was treatable with relatively low dosages of anti-depressants.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also find that after December of 1997, once finding new employment with DigiPen in his chosen career, Mr. Luchak did reasonably well in all aspects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Luchak's more serious depression and emotional difficulties arose after his wife's attempted suicide in March of 1998 and his subsequent separation from her and his family. All of those difficulties were exacerbated by his financially and emotionally disastrous move to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also not satisfied that the irritable bowel syndrome suffered by Mr. Luchak that was diagnosed in March of 2002 more than five years after the collision was caused or substantially contributed to by the collision. The symptoms arose only after the loss of his employment with Nintendo in 2001 and his inability to find new employment. Mr. Luchak's work and his ability to support his family are extremely important to him and the loss of his employment and the consequent diminution of his ability to support his children are by far the more probable of any non-organic causes of the irritable bowel syndrome than any lingering effects of the motor vehicle collision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Further, Mr. Luchak has not established on a balance of probabilities that his marriage break-up and subsequent emotional difficulties were caused by the motor vehicle collision. Mr. Wigmore's counselling notes establish that the marital difficulties and the difficulties with Mr. and Mrs. Luchak's eldest son pre-dated the collision. Dr. Dindo's notes also establish that prior to March, 1998, Mr. Luchak had largely recovered from the effects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find that Mrs. Luchak's attempted suicide, the marriage separation that followed and Mr. Luchak's move to the United States were all intervening events that broke the chain of legal causation concerning those injuries for which the defendants must compensate Mr. Luchak because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Finally, Mr. Luchak has not proven on a balance of probabilities that he has suffered or now suffers from sexual dysfunction as a consequence of the motor vehicle collision or that any sexual dysfunction was the proximate cause of the break-up of his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Luchak has never been diagnosed by his treating physician, Dr. Dindo, as suffering from impotency and has been able to achieve an erection without medical assistance. While I accept that Mr. Luchak had less interest in sexual activity in the months following the accident, the evidence also establishes that by December of 1997 his sexual relations with his wife were much better. While causation need not be established with scientific precision, I am not persuaded on the totality of the evidence that any continuing lack of sexual appetite or libido after March of 1998 was caused or substantially contributed to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Mr. Luchak's submissions relating to the alleged loss of his marriage due to his own assessment of his diminished sexual prowess resulting from the accident and his wife's subsequent reaction are remarkably similar to those made by the plaintiff in Antell and Ozolins v. Simons, </w:t>
      </w:r>
      <w:hyperlink r:id="rId498" w:history="1">
        <w:r>
          <w:rPr>
            <w:rFonts w:ascii="arial" w:eastAsia="arial" w:hAnsi="arial" w:cs="arial"/>
            <w:i/>
            <w:color w:val="0077CC"/>
            <w:sz w:val="20"/>
            <w:u w:val="single"/>
            <w:shd w:val="clear" w:color="auto" w:fill="FFFFFF"/>
            <w:lang w:val="en-US" w:eastAsia="en-US" w:bidi="ar-SA"/>
          </w:rPr>
          <w:t>[1976] 6 W.W.R. 202</w:t>
        </w:r>
      </w:hyperlink>
      <w:r>
        <w:rPr>
          <w:rFonts w:ascii="arial" w:eastAsia="arial" w:hAnsi="arial" w:cs="arial"/>
          <w:color w:val="000000"/>
          <w:sz w:val="20"/>
          <w:lang w:val="en-US" w:eastAsia="en-US" w:bidi="ar-SA"/>
        </w:rPr>
        <w:t xml:space="preserve">. In that case, the plaintiff claimed that the injuries she suffered in a motor vehicle accident had caused her husband to leave her because of her inability to engage in sexual relations. Aikins J. determined that the husband's behaviour was not a reasonably foreseeable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my view, to the extent that there is any evidentiary support for Mr. Luchak's allegations that his lack of libido caused the marriage break-up, I am satisfied that such consequences were not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find that in all of the circumstances the appropriate compensation for the pain and suffering and loss of enjoyment of life suffered by Mr. Luchak is an award of $55,000. I base that award on the moderate to severe back and neck soft tissue injuries he received in the accident that greatly affected his life for a period of approximately one year. I include in that award damages for depression and sleeplessness and any loss of sexual appetite that he suffered prior to March, 1998.</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Luchak's counsel submitted that the defendants are liable for Mr. Luchak's loss of wages after the termination of his employment with Nintendo Canada effective January 31, 2002, because he has been unable to find employment since then due to his allegedly eroded skills as a 3D graphic production artist. For those reasons that I will discuss with regard to Mr. Luchak's claim for loss of future earning capacity, I find that Mr. Luchak has not proven that the defendants are responsible for any past loss of wages or benefits as alleged.</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Luchak says that his computer and artistic skills as a graphics artist and his ability to concentrate on the intricate and time consuming tasks of computer animation modelling have been so eroded by the consequences of the January, 1997 collision that he is no longer employable as a 3D graphic production artist.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I have noted above, Mr. Luchak now seeks re-training as a web designer through a course of study offered by the Vancouver Film School which he says will utilize his existing skills as a relatively capable 2D graphic artist and also allow him to obtain employment benefits similar to those he enjoyed while employed by Nintendo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evidence does establish that Mr. Luchak's skills as a 3D graphic artist have deteriorated since 1997. I accept his own evidence and that of his employer, co-worker and two supervisors that, as a 3D artist, he is no longer as advanced as he was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evidence also establishes, however, that Mr. Luchak was able to perform as a 3D graphic designer for almost five years after the collision with three different companies in a highly competitive and stressful marketplace. Further, his employment was never terminated because of his lack of ability to perform his work. He was referred to as a "valuable employee" by DigiPen while working in the United States and was one of the last employees of both Fearless and Nintendo Canada to be laid off when those organizations shut down their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evidence further establishes that the pay scale for a capable two dimensional (2D) graphic production artist is similar to that of a capable 3D artist. I accordingly do not accept that Mr. Luchak has proven that he requires re-training in the new field that he now suggests would be an appropriate career for him because of any lingering effects of the collision or that he should be compensated for the costs of the purchase of a computer or art supplies or an art school course to improve his job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all of those circumstances, Mr. Luchak has failed to prove that any loss of skill or ability to concentrate that he may have suffered after January of 1998 was caused or substantially contributed to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Although Mr. Luchak's work did suffer immediately following the accident he did not lose any employment income as a consequence of that short period of time. He was steadily and gainfully employed in his chosen career for almost five years after the accident and there is no medical opinion before the court which suggests that any functional disability from which Mr. Luchak may suffer is in any way permanent.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past and future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Luchak seeks reimbursement for medication prescribed by Dr. Dindo and Dr. Devlin for which he has not been compensated to date. He seeks compensation for Tryptophan prescribed by Dr. Devlin for sleeplessness, Modulon and Dicetel prescribed by Dr. Dindo in relation to irritable bowel syndrome and Viagra once prescribed by Dr. Dindo in relation to alleged erectile dysfunction issues. He also seeks compensation for the future costs associated with his anticipated need to use those drugs. His total claim exceeds $65,000, of which the cost of Viagra comprises approximately $32,000.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Luchak has not established on a balance of probabilities that his irritable bowel syndrome was caused by the collision. He has also not proven that his recent sleeplessness (for which Dr. Devlin prescribed Tryptophan only after Mr. Luchak lost his employment with Nintendo Canada) was caused or substantially contributed to by the collision. Further, the evidence does not establish on a balance of probabilities that Mr. Luchak suffers from erectile dysfunction or that any present lack of sexual appetite was caused or substantially contributed to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all of those circumstances I find that Mr. Luchak has failed to prove that any need for the medications for which he now seeks compensation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Luchak also has advanced claims for: the cost of replacing lost extended medical and dental benefits and vacation benefits related to the termination of his employment with Nintendo Canada; the cost associated with the penalty imposed upon him by Revenue Canada for returning from the United States after 11 months rather than one year; the loss of the opportunity to contribute toward a Registered Retirement Savings Plan; and costs related to transportation and parking for his attendances at doctors' offices.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Luchak has failed to prove that any of the special damages he now claims were reasonably foreseeable or were caused or substantially contributed to by the collision except for those expenses for attendance at doctors' offices which he submitted in the amount of $100. That amount was not contested by the defendants and I accordingly award Special Damages in the amount of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defendants will pay to the plaintiff $55,000 as non-pecuniary damages and $100 inclusive of interest as Special Damages. All other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Unless there are matters of which I am unaware the plaintiff is entitled to the costs of this proceeding on Scale 3. If any matters of costs require further consideration, counsel may make arrangements through the Registry to speak to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Ma v. Haniak, [2017] B.C.J. No. 635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15-19, 22-26, 29, March 1-2,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M122025, M133802, M132280, M132800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635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549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Yin Yin Ma, Plaintiff, and Maria Haniak, William Haniak and Terry Hales, Defendants And between Yin Yin Ma, Plaintiff, and James R. Vansanten, Defendant And between Hla Shwe-Haung, Plaintiff, and Bryan Terry Hales and James R. Vansanten, Defendants And between Hla Din, Plaintiff, and James R. Vansanten,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(570 paras.)</w:t>
      </w:r>
    </w:p>
    <w:p>
      <w:pPr>
        <w:jc w:val="both"/>
        <w:rPr>
          <w:rFonts w:ascii="arial" w:eastAsia="arial" w:hAnsi="arial" w:cs="arial"/>
          <w:sz w:val="20"/>
          <w:lang w:val="en-US" w:eastAsia="en-US" w:bidi="ar-SA"/>
        </w:rPr>
      </w:pPr>
      <w:bookmarkStart w:id="84" w:name="Counsel_15"/>
      <w:bookmarkEnd w:id="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8"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Yin Yin Ma appearing in person: Y. 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Hla (Huang) Maung appearing in person: H. Maung.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Hla Din appearing in person: H. 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Maria Haniak and William Haniak and Terry Hales and James R. Vansanten: R.W. Morasiewicz and J.R. Bradbury.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5" w:name="Judgment_14"/>
      <w:bookmarkEnd w:id="85"/>
      <w:r>
        <w:pict>
          <v:line id="_x0000_s1089" style="position:absolute;z-index:25172684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Corrigenda were received from the Court April 5, 2017; the changes are not indicated. This document contains the amended text.]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6" w:name="T.C. ARMSTRONG J."/>
            <w:bookmarkEnd w:id="86"/>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Yin Yin Ma ("Ms. Ma") was in a car accident in September 2007. She was involved in two other car accidents in 2009 with her brother Hla Shwe Maung. Liability for these collisions is admitted by the defendants and the trial concerned the assessment of damages payable to both plaintiffs, each of whom contends that they suffer from incapacitating and permanent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Ma has asked the court to award her approximately $175,000 for non-pecuniary damages, $243,000 in past wage loss, $616,000 for impaired earning capacity, $409,000 in future care costs, $20,000 in housekeeping expenses and $12,000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Maung seeks damages of $438,772 which includes $100,000 for non-pecuniary damages, $97,127 for past wage loss, $100,524 for future wage loss, $20,000 for housekeeping expenses, $1,320 for special damages and $109,800 for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overarching issue in this case is the reliability and credibility of the plaintiffs. The defendants argue that the plaintiffs' testimony concerning the nature and extent of their injuries and losses is exaggerated and not supported by objective evidence. The defendants contend that the plaintiffs are not credible or reliable and the evidence does not support the measure of damages claimed by each of them. They say the plaintiffs are entitled to very modest damages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were born in Burma. This caused some confusion in the names used by each at trial. In some places Mr. Maung's surname is "Haung"; and in other documents, he is referred to as "Din". He is generally known as Mr. Maung and it was understood that he would be referred to as Mr. Maung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Similarly, in some places Ms. Ma's surname appears as "Din" but it is understood that her surname, for the purposes of this trial and these reasons is "Ma".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Ma's first accident ("MVA #1") occurred on September 1, 2007 as she was driving a motor vehicle westbound on Seymour Avenue approaching Como Lake Avenue in Coquitlam. At the time, she and her brother were working on their newspaper delivery business although Mr. Maung was not in the car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she drove toward Como Lake Avenue, a vehicle driven by the defendant Maria Haniak backed out of a driveway into Como Lake Avenue and collided with the plaintiff's car. Ms. Ma said it was a forceful impact which pushed her body against the left side of her vehicle. She immediately felt pain in her left hip, ribs, shoulder, arm and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Immediately following the impact, Ms. Ma became dizzy and experienced blindness lasting for 30 to 60 seconds and blurry vision. She said the collision had made a loud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Maung arrived quickly at the scene and tried unsuccessfully to open Ms. Ma's driver's side door. Eventually, Ms. Ma crawled across the driver's seat and out the passenger side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called 9-1-1 but was told that if no one was seriously injured she should obtain the details of the other driver and they would not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Ma spoke with the driver of the other car who told her that she had simply not seen her before impact. Ms. Ma was able to drive her vehicle away from the scene and eventually made it to her home, which was located approximately five minutes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Ma's vehicle sustained driver's door damage costing $2,700 to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arriving at home, Ms. Ma felt the pain in her left rib cage, shoulder, neck and knees was worsening. She was examined by a physician at North Road Medical Centre, a walk-in medical clinic, who recommended she take medications, use ice and perform exercises and stretches to deal with her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attended for physiotherapy treatments and consumed pain relief medications. Notwithstanding these interventions, she continued to suffer pain in all parts of her body including, left shoulder, back, arms, hands, knees and legs. She also suffered insomnia concentration and memory problems and sensitivity to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this accident, Ms. Ma saw Dr. B. Tyler, a chiropractor and informed her that she had been stopped at the time of impact; she now says this was a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Ma continued to attend at North Road Medical Centre for about six or seven months after which she began seeing Dr. Wozny at Care Point Medical Centre on Clarke Road in Coquitlam, 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Accident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second accident on May 6, 2009 ("MVA #2"), both Ms. Ma and Mr. Maung were in their vehicle when it was struck from behind by the defendant Terry Hales' vehicle at the intersection of Robinson Avenue and Clarke Road in Coquitlam. Ms. Ma was driving; she testified that she was "thrusted violently back and forth." Although the damage to the rear of their Mazda MPV did not appear to be extensive, the cost of repair was $3,395.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said that after the collision, her door would not open but Mr. Maung was able to exit the car and speak with a person from the other car. She and Mr. Maung were eventually able to leave the scene of the collision. They continued on with their newspaper delivery work and after finishing the last two drop offs they drove to their home. Later they travelled to the Care Point Medical Centre where they were seen by a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Ma described the second accident as the most serious of the three incidents because her neck, upper shoulder and chest became extremely painful. Her right knee was injured hitting the dashboard and right ankle twisted. She did not describe the right knee injury in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Maung described being in the front seat of their MPV beside his sister when MVA #2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recalled that they were stopped when the impact occurred and described a forceful hit from behind that pushed their vehicle three to four feet forward. He believes he was rendered unconscious for about 30 seconds after hearing the "big noise". He also said he was blinded for about 30 seconds after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he regained consciousness, he observed smoke coming from the car behind. Three teenagers exited the vehicle and knocked on their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got out of the car and noticed one of a group of teenagers had a bloody nose.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Maung told the teenagers that he was having pain and would call the police. Although he described the other car as a total wreck, the teenage boys left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Maung said he hit his head with the loop of his seatbelt and that his right elbow and right knee hit the side of the car. He said he had a scar on the right side of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arriving at home, he noticed his pain was intensifying and asked his brother to take them to a local medical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this clinic, they saw a Dr. Kriik. Mr. Maung said he told the doctor that he hit his head with the seatbelt. He also stated he had right elbow and knee pain from being hit inside the car. He did not inform the doctor that he was temporarily blinded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doctor examined him and prescribed medications and said that she would refer the plaintiff to other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had a bump on his head. The doctor told him to come back 15 days later.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Accident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parties were in the third accident on December 16, 2009 ("MVA #3"). This was a parking lot collision. The plaintiffs were in the same Mazda MPV when it was struck from behind twice. Ms. Ma said she was "thrusted violently back and forth" from the impact. On this occasion, the damage to Ms. Ma's vehicle was negligible and cost $800 to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Maung testified that he and his sister were lined up in a parking lot waiting to access the local food bank when another vehicle came from seven or eight feet behind them and hit their car. Their vehicle was moved one foot forward. He said that this vehicle backed up and came towards them again striking the rear end of their car a second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time, he was sitting in the middle seat of their Mazda and did not contact any part of the inside on impact. He said that his pain in his low back increased incredibly. He cannot raise his right arm and could not raise his left arm due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said he had pain in his entire body from the MVA #2; it was worse after MVA #3 and he returned to see Dr. Kriik.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said because his knee pain from MVA #2 was aggravated by MVA #3, his doctor prescribed a cane to help with his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also had a black scar on his head but was told by Dr. Kriik it was not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Ma's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Ma is 50 years of age. She was born in Burma in 1966 and completed Grade 10 before attending university. Toward the end of her university education, she fled to Thailand with her family before receiving any university degree due to political unrest in Burma. They succeeded in immigrating to Canada in 1990.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Education and Employment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Burma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Given the magnitude of Ms. Ma's claim for economic losses, the defendants focused on her academic achievements and certain inconsistencies related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Ma testified that she began studying English in elementary school and continued to study English in secondary school. She commenced her university education majoring in English in 1983 and stopped in 1988 when she moved to Thailand. She testified that she completed her Bachelor of Arts degree ("BA") in 1986 - 1987 but left before finishing her final exams. Initially, she could not recall why she studied until 1988 if she had already obtained her 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measure of her success as an English student can be judged by the fact that on arriving in Canada she was ill-equipped to function in an English-speaking country and was required to take English as a Second Language classes to prepare her for Canadian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significant that, although Ms. Ma had majored in English through her university education in Burma she was unable to complete a questionnaire for a psychiatric assessment for this litigation because of her poor reading comprehension.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Initially, Ms. Ma asserted that she achieved a BA from the Rangoon Arts and Science University (now the University of Rangoon).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was cross-examined on this evidence concerning post-secondary education. At a 2011 examination for discovery, she conceded that she had not finished her four-year degree program because there was a student uprising and the schools were closed. She altered her testimony and said she had qualified for this degree but she left Burma a few months' shy of completing her degree program. At trial, Ms. Ma resiled from this testimony; she said she was in the final year of her five-year honours program and simply did not complete the fifth year. Thus she said she had finished all of the requirements to qualify for a 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cross-examination, she was confronted with her examination for discovery evidence concerning her claim to have obtained a BA: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261 Q. So you didn't in fact get a Bachelor of Arts?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 but I can say I got it, because I was in my honours class, and I was studying more than the other students.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262 Q. How can you say you have it, when you didn't get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But I assume, like, it was like almost done, that's what I assume, right? But I was just waiting for the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tried to explain this anomaly in her evidence by suggesting that she was and had forgotten that she was actually in an honours program and that once she had completed her second year of the honours program she was qualified to receive a BA. On the whole of this evidence, the plaintiff is simply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During the trial, Ms. Ma produced a certificate from the University of Rangoon that confirmed her BA. Ms. Ma came into possession of this certificate because her brother in Burma told her he had attended at the University to find records, found her records and the university produced this document. She was confident he had spoken with staff at the University but her evidence was hearsay and quite unreliable. This document was not admissible at trial as evidence that Ms. Ma had obtained a 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was unable to explain why the photograph on this document is a current picture of Ms. Ma notwithstanding that she was in her 20s when attending university. Also, the document appears to have been created in April 2015 but translated in November 2015 although it relates to her university attendance in Burma in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further cross-examination, the plaintiff was confronted with an application she had made to the Ministry of Human Resources to obtain social assistance in January 2003 in which she had declared her highest level of education as high school and some post-secondary. She specifically excluded mention of her BA. She explained her understanding that the question was directed at the level of education she had received in Canada. On the whole, her explanation and testimony on this point is completely unbelievable.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Again, in May 2009 the plaintiff reported to the Ministry of Housing and Social Development that she did not have a diploma or BA from a post-secondary institution. She repeated her explanation that, in filling out the form, she focused only on her educational history in Canada. Again, on this point the plaintiff is not credible.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Ma has lived with her mother, sister and brothers since coming to Canada. Her father died within three months of a cancer diagnosis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Ma has never married. Before the accidents, she provided care for her father until his death in November 2014 because he suffered from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Shortly after she arrived in Canada in 1990, she obtained employment in an industrial laundry factory where she worked for two months. She worked briefly at a Shoppers Drug Mart store. Her longest held job was in a soap factory on Vancouver Island where she worked for 13 months. In the soap factory, she lifted heavy boxes weighing more than 40 pounds. She worked with her brother who helped her lift the boxes. Because she could not do the heavy lifting herself, she was ultimately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Next, she obtained some work picking berries in the Fraser Valley. She also took upgrading courses at the University of the Fraser Valley between 1991 and 1994. She testified that she took a bookkeeping course but did not complete the course because it was "not the right course for me". She completed some courses and not others. Overall, her evidence concerning attendance at University of the Fraser Valley and explanations of reasons for not completing or withdrawing from courses was not rational or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Eventually, she started sewing crafts to help her sister who was working as a seamstress.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She studied chemistry, math, physics and biology at Douglas College between 1991 and 1997. Her educational goal was to become a medical doctor. She achieved lower than average marks and failed or withdrew from several courses and did not achieve any diploma or other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Simon Fraser University in 1998, she failed her Biology course and withdrew from several others including calculus.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She also considered a career in pharmacy but was told she lacked the necessary experience to get into that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Between March and September 2000 she was enrolled at Sprott-Shaw College and qualified as a pharmacy technician. She left her first pharmacy job because of unpleasant working conditions and then could not find another pharmacy technician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She then decided to become a registered nurse and took one course at BCIT in 2002 in the hopes of qualifying for that program. She was not chosen for the nursing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After being rejected by the nursing school, the plaintiff decided to pursue an accounting career and in 2003 attended British Columbia Open University where she took two accounting courses; she failed the second of two courses and did not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testified that she wanted to become an accountant and believed she could achieve a Certified General Accountant ("CGA") designation. Under cross-examination, the plaintiff confirmed she was aware that to qualify as a CGA, she was required to have a Canadian university degree and to complete certain accounting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Nonetheless, she enrolled at an Ontario business school known as the Granton Institute of Technology ("Granton") in 2004 and continued studies there until 2008. She believed this program would equip her to become a CGA.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Granton was a less expensive alternative for the plaintiff to pursue some accounting training and she believed that if she successfully completed the Granton program, the British Columbia CGA ("BC CGA") association would recognize that program as meeting a prerequisite to obtaining a CGA.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She did not make any specific inquiry of the BC CGA association concerning the requirements to achieve a CGA designation. She testified that she intended to complete her four levels of accounting and would have done so but for the accident. She said if she upgraded her education by taking 19 courses, she would have been qualified to achieve a CGA. She acknowledged that she lacked the practical experience required to qualify for a CGA designation but believed she would have acquired the prerequisites if she had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face of all of the circumstances surrounding the plaintiff's previous education, failed efforts at local universities and colleges, and in the absence of any practical experience, I find that the plaintiff was unlikely to ever succeed academically in Canada to achieve a university degree, a CGA or any other accounting designation.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2005/2006, Ms. Ma worked in a jewelry business. She did not make much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enrolled in the real estate trading services licensing course at the Sauder School of Business at UBC in March 2007. She completed four of 20 required assignments but was suspended for failing to complete all 20 assignments within the one-year anniversary of her registration in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She had completed only four or five of the 20 assignments before the September accident. Thus, there were 16 assignments remaining that were required to be completed by March 2008 for her to be qualified to sell real estate. It is reasonably clear that Ms. Ma was unlikely to have successfully completed the UBC real estate course regardless of her involvement in the car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She testified that she was hoping to become a realtor after completing the UBC course but that she never intended to become a bank clerk. She had apparently informed Mr. Kevin Turnbull, an economist who provided a report concerning her future income prospects that she was planning to pursue work as a bank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From 2000 to 2007, Ms. Ma received provincial government assistance as her sole source of income. She contends that she was studying throughout this time and, provided she took less than three courses, was entitled to continue receiving government assistance while studying.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She confirmed that in 1997 her only income was $2,478 from social assistance. In 1998, she received $2,500, in 1999, she received $4,118, in 2000, she received $6,085, in 2001, she received $6,120 and in $2002-$6576. In 2002, she also received $1,432 for work in a food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2003, she received social assistance income of $6,570 and T4 income of $1,432. In 2003, her social assistance income was $5,510 and in 2004, it was $1,530. She had virtually no income in 2005, 2006 and 2007. In 2008, she had T4 income of $3,974 and in 2009, she had social assistance income of $4,847. In 2010, her social assistance income was $7,040 and in 2011, it was $7,705.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following table illustrates Ms. Ma's income from business and social assistance between 1997 and 2010 as reported in her tax returns at Exhibit 2, Tabs 9 and 15:</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90" type="#_x0000_t75" style="width:432.06pt;height:375.05pt">
            <v:imagedata r:id="rId506"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She testified that she pursued no other work up to 2007 because education was her priority; but she recognized that she had an obligation to the social services Ministry to look for work during this time. She said she diligently looked for work but was unable to find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Between 2003 and 2007 Ms. Ma's records reflect that her only income came from social assistance. She said because of a misunderstanding she had not reported her 2007 newspaper delivery income with her 2007 income tax return. Thus she reported the entirety of her 2007 and 2008 income in 2008. Ms. Ma made the inquiries and obtained the contracts to deliver newspapers beginning in March 2007. She managed the financial part of this delivery business. In July 2007, Ms. Ma was the principal contact when she and her brother commenced working for Tri-City News as independent contractors delivering local newspapers to other paper carriers; their contract was in her name. This work involved driving for six to seven hours per day and walking for another three to four hours per day. Between July 2007 and May 2009 they earned $35,297.16. In August 2007, Ms. Ma and her brother obtained extra work with Post-Media Network Inc. also delivering newspapers. She and her brother worked Mondays, Wednesdays and Fridays but one newspaper reduced their work days from three to two days prior to MVA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She said this work generated gross income of $400 to 500 per month until they stopped working in May 2009. This evidence does not correspond with the income tax returns indicating taxable income at three times the level described by her and Mr. Maung.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Two days before MVA #2, Ms. Ma wrote two letters to the newspapers asking permission to take four months off work. She said that the change was necessary because of pain in her knees, back and ankles caused in MVA #1. She also asked to have the name under which they did business changed to her father's name. Thereafter any payments were to go to her father. She said her brother wanted to continue the delivery business. She also said that her father and sister had helped in the newspaper delivery business. The newspaper changed the name of the person responsible for her contract but they did not continue delivering newspapers after MVA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my view it is significant that Ms. Ma did not decide to report the newspaper delivery income until after the accident. It is most likely that she realized that her past and future income loss claims would be jeopardized if that income was not reported. It is also significant that Mr. Maung did not report any of their income on his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She said that if they earned less than $250 per month each she believed they were not required to report that income to Canada Revenue or to Social Services. On this point, the plaintiff's evidence does not correspond with her obligation to report all income to Canada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Between March 2007 and December 2008, the average monthly income was $1475. Thus, her explanation that she was not required to report income of $250 per month to Canada Revenue is inconsistent with the fact that they were earning $1475 per month which was well above the amount she knew should have been reported to Canada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Ma also confirmed she had no pensionable earnings reported to CPP from 1993 to 2013 as reflected in her CPP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She testified that she now receives disability income from the provincial government and has not held employment since MVA #2 because of the symptoms she claims were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She said that after the accidents, her ability to concentrate was diminished after 10-15 minutes of studying. Her headaches, light sensitivity and drowsiness interfered with her studies. She eventually discontinued those courses.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 and Post Accident Health and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Ma testified that before MVA #1, she was healthy, energetic and physically active. She was only 40 years of age and regularly engaged in studies including her effort to become a real estate agent and to obtain a CGA designation. She was physically able to deliver newspapers. She could run and walk longer distances and enjoyed outdoor activities with her family. She enjoyed cooking and was capable of performing all of the domestic chores in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She did not take any medications and had no need to attend a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Ma had been involved in a prior motor vehicle accident in 2001 but denied any ongoing neck problems prior to MVA #1. Her testimony on this part was contradicted by Dr. Craig, a physiatrist whose evidence is referred to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She testified that she had suffered temporary blindness after MVA #1 and was frightened about this loss of vision. Subsequently she also developed blurry vision but never asked for a doctor's assistance in assessing these symptoms; she refused to see an ophthalmologist recommended by her family doctor in a response to her complaints of vision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After MVA #1, she had pain in her left ribs, left shoulder, left arm, left elbow and left neck and she had pain in her chest which seems to interfere with her breathing. She had left-side knee pain which was painful enough to interfere with her ability to walk and drive. She took one week off and then returned to the paper delivery business. After the accident, she relied on her brother to do the heavy lifting of newspapers because she was unable to move the large newspaper bundles due to her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Over the first four months after MVA #1, she had trouble with headaches and stress which interfered with her driving and walking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Within a few days of MVA #1 she had pain when raising her hands. In those early days forward bending and heavy lifting were not possible for her due to pain. She could still carry some newspapers but could not lift bundles of papers; bending was the most aggravating physical activity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Although she said she had been blinded for 30 to 60 seconds immediately after the first impact she could not explain why the doctor's notes did not reflect the fact she had become momentarily blind after impact and the first physician to assess her after the accident was not called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She declined referrals to both eye care professionals because she had decided her interrupted vision was the result of a concussion and not an eye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She followed her doctor's advice to take one week off work after MVA #1 and returned to the newspaper delivery business. She was driving but relied on her brother to do most of the heavy lifting and loading.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She continued to have pain in her neck, ribs and chest (from the seatbelt strain) and arm. The pain in her chest has continued to the present and she finds deep breathing and coughing causes pain in the left side of the rib cage, neck and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She continued going to North Road Medical Centre and was directed to obtain an X-ray of her chest. Later she was advised to obtain a bone scan which was completed at Burnaby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By June or July 2008, the plaintiff had been seen by Dr. Wozny at Care Point Medical Centre in Coquitlam. At that clinic, she was apparently diagnosed with a mild head injury and soft-tissue injuries. The doctor originally prescribed Tylenol 3 and then recommended she take Gabapentin. She found that Gabapentin made her drowsy but the doctor advised her to continue the medication because it would assist her sleep. Dr. Wozny did not provide opinion evidence at this trial but testified about her interactions with Ms. 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After MVA #2, the plaintiff continued experiencing pain in all parts of her body including the neck, back, arms and shoulder. She had additional pain in her wrist and fingers (more on the left side than the right). Since then she said she has had pain in her entire body. She identified specific injuries to her left elbow, left rib, left knee and left wrist. Gradually, she started feeling pain on both sides of her body. She said that the left knee pain caused instability. She went on to develop severe headaches to the extent that she cannot tolerate bright sunlight.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She also complained about this light sensitivity in 2011 and was advised to see an optometrist and ophthalmologist but declined to see either eye care professionals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After the second accident, she used a cane because of the pain in her left knee; this was prescribed by Dr. Northey. She said the cane gave her greater stability. She said that her light sensitivity would lead to headaches. The glare from her computer screen would also exacerbate her headaches. She was becoming distressed and depressed and began seeing a psychologist, Dr. Rachel Malory. She was advised to stay active even though she was in severe pain; Dr. Malory said if you do not get out of bed your condition will worsen. Ms. Ma continued to see a physiotherapist and chiropractor but her neck became stiffer and headaches continued without improvement and pain in all of her body was reaching a level of 9/10 at its worst. She stayed in bed and was not exercising; she attributes her 35 to 40 pound weight increase to her failure to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Her doctor recommended pool exercising but she found that the chlorine caused headaches. She said she installed a pool at her home to allow her to be in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She was afraid that her balance was deteriorating and began using her father's walker. She said it helped her extend the distance she could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After MVA #3, she felt increased pain in her neck and shoulder and all parts of her body worsened. She also received sleep medications which helped for some years but eventually became ineffective. She then started Melatonin.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She described MVA #3 as a contributing factor to her pain continuing into 2011. At her 2011 discovery she said she was having left neck and shoulder pain at a level between eight and nine on the scale referred to below. She estimated her pain in the right shoulder at a level between seven and ten. She confirmed that her pain was at sometimes "unimaginable or unspeakable" but was not sufficient to motivate her to commit suicide. She reiterated that these pain levels occurred in her low back, shoulders, left hand, fingers, right forearm, left bicep, right bicep, chest, right hip, left buttock, right buttock, left thigh, right thigh, right shin, left ankle, left foot, cheeks and eyebrows.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Ma testified that the three accidents have caused her severe pain in virtually every part of her body, including her eyebrows and is always horrible and excruciating. She claims that when she moves, the pain can become unimaginable, torturous and unspeakable. She said the pain in many areas of her body is at levels of 8, 9 or even 10/10 based on the scale described in the ratings she adopted as accurately describing her condition. These include the following:</w:t>
      </w:r>
      <w:r>
        <w:rPr>
          <w:rFonts w:ascii="arial" w:eastAsia="arial" w:hAnsi="arial" w:cs="arial"/>
          <w:sz w:val="20"/>
          <w:lang w:val="en-US" w:eastAsia="en-US" w:bidi="ar-SA"/>
        </w:rPr>
        <w:cr/>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Utterly horrible defined as pain so intense you can no longer think clearly at all, and have often undergone severe personality change if the pain has been present for a long time. Suicide is frequently contemplated and sometimes tried. Comparable to childbirth or a real bad migraine headache.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Excruciating unbearable defined as pain so intense you cannot tolerate it and demand pain killers or surgery, no matter what the side effects or risk. If this doesn't work, suicide is frequent since there is no more joy in life whatsoever. Comparable to throat cancer.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Unimaginable/unspeakable defined as pain so intense you will go unconscious shortly. Most people have never experienced this level of pain. Those who have suffered a severe accident, such as a crushed hand, and lost consciousness as a result of the pain and not blood loss, have experienced level 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These pain ratings were important because they formed a foundation for assessing Ms. Ma's evidence about her personal pain perceptions. Often, these ratings have minimal value because the benchmarks and interpretations are too vague. In this case, these pain ratings are very helpful because they were adopted by her as reflecting her pain experiences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At trial, Ms. Ma stated that when she attended her examination for discovery she felt her answers were elicited as a result of counsel "tricking me" because counsel was in possession of surveillance video (referred to later) that had not been disclosed to her. Her reference to trickery suggested that, if she had known about the surveillance video from August 9, 2011 at the August 19 discovery, she would have given different answers. This raises further questions about the truthfulness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Overall, Ms. Ma claims to be virtually incapable of any physical activity because of severe, constant and unrelenting pain at many times since the three accidents and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Before MVA #1, she lived an independent life and was able to care for herself; she would shower every two or three days and would wash her own hair. Since that accident, she has been able to shower only once per week because of shoulder and neck pain. She is unable to dry her own hair and relies on her family to help her perform that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She requires family members to help her wash her back when showering and uses a shower seat and other shower aids. She said sitting in the shower is less painful. She cannot bend properly and uses a grab bar to exit the bathtub.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She feels the injuries have affected her overall health because she has significant pain and is unable to exercise and struggles with her weight which has increased resulting from her inability to exercise and affects her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She is depressed and upset at being put off her career goal of becoming a CGA and a realtor.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She became bankrupt in April 2010 because she could not pay outstanding debts of approximately $72,000 incurred mostly on her credit cards. She said that she was making her credit card payments before MVA #2 but could not continue paying when she stopped delivering newspapers. She was discharged from bankruptcy one year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Counsel informed the court that the trustee in bankruptcy did not have any interest in Ms. Ma's potential recovery of past wage loss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Video Surveillance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defendants tendered video surveillance of Ms. Ma from 2007, 2009 and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September 21, 2007, Ms. Ma was observed working with her brother in their newspaper delivery business. Mr. Maung is seen loading the car with the newspapers. She appears to move without any restrictions in her range of movement and appears to be flexible and capable of moving bundles of newspapers. Although she shows no overt signs of pain, it is not possible to ascertain her actual condition from the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Ma was able to crouch down, reach in and manually rearrange paper in her car and move several paper bundles.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Maung appears physically capable of moving bundles of newspapers to the vehicle from nearby pallets.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Between October 29, 2009 and November 2, 2009, Ms. Ma was observed and filmed by a private investigator. She was seen driving, entering and exiting her Mazda MPV without any apparent difficulty. Her movements seemed unrestricted and flexible; she carried a cane but did not use the cane to stabilize her walking or support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August 2011, more than one-and-a-half years after MVA #3, Ms. Ma was observed and filmed by a private investigator; the recording lasts between 30 and 40 minutes of film.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At Ms. Ma's examination for discovery, she testified that she suffered pain when carrying things. She said she avoided carrying items and used the basket on her walker when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Nevertheless, on August 9, 2011 Ms. Ma was attending an appointment with Dr. Magrega and used her walker when entering and leaving the office. Later that day she is seen walking and carrying items at a McDonald's restaurant without any apparent limitation or need for assistance. On that day Ms. Ma is seen exiting her vehicle and walking towards a restaurant with a normal gait, moving at a normal speed and without the benefit of a walker or wheelchair. She collects food from a counter and carries a tray with a drink on top and a separate bag to a table inside the restaurant; she then walks outside to her car carrying a drink and a bag for a person in the vehicle. Ms. Ma's comportment in this video is significantly different than her comportment at trial. At trial, she used a walker to move in the room and to the witness box. She did not demonstrate the marked flexibility and physical movement that appears on the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What is observed on the video demonstrates significantly less restricted movement than she described in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She testified that when using the sliding doors to enter her van, she suffered severe pain and relied on family members and a cane to open and close the doors when possible. On the date of the video, she is seen freely opening and closing the doors, leaning in and delivering food to others who had not come into the restaurant. The video of the plaintiff was dramatically different from her self-described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She testified that if she bumped into a person while being out and about, she would experience excruciating pain; she is seen to be bumped while in the restaurant lineup and shows no evidence of excruciating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the video, she was clearly functioning without evidence of pain or limitation in her movement. She walked briskly and without the use of a cane or walker. Her facial expression showed no evidence of pain or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except that surreptitious video presentations of injured plaintiffs can be misleading; in the circumstances of this case I am satisfied that Ms. Ma's physical movements on August 9, 2011 were entirely incongruous with her testimony concerning her physical ability and dexterity at the time and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Her only explanation for the apparent differences between her testimony and the video presentation was that she was "tricked" at the discovery. She also said that the limitations in her ability to move or walk distances without a walker do not become apparent until she has been active for approximately ten minutes.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Ma tendered the medical opinions of other experts including: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William Craig, Physiatrist, report dated February 10, 2010;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Peter Joy, Psychologist, report dated March 24, 2011;</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 Charkhsaz, family doctor, reports dated May 5, 2011 and November 20, 2015;</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Russell McNeil, Occupational Therapist, a functional capacity evaluation and cost of future care report dated May 5, 2011;</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Rachel Richards, Physiotherapist, who examined Ms. Ma between summer 2009 and February 2010;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Turnbull, Economist, reports dated August 12, 2011, August 11, 2011, November 18, 2015 and November 19,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relied on medical opinions and other experts as follows:</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Marc Boyle, Orthopedic Surgeon, report dated February 3, 2010 with addendum dated December 4, 2014 and rebuttal report dated December 13, 2015;</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 Lamba, Psychiatrist, report dated May 6, 2011, addendum dated July 11, 2011, addendum dated August 21, 2011 and addendum dated December 31, 2015;</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Dennis Magrega, Registered Psychologist, vocational assessment report dated August 22, 2011;</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Wayne Enright, Occupational Therapist, report dated October 29, 2012 dealing with the plaintiff's functional abilities and limitations;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Mark Gosling, Economic Consultant, loss of earnings analysis report dated December 31,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Ma was treated by a number of physicians and other specialists who have not provided opinion evidence. After the first accident, she was treated by Dr. Wozny at Care Point Medical Clinic beginning in January 2008. He testified about his interactions with the plaintiff but did not give any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One of his repeated recommendations to Ms. Ma was to discontinue use of a cane. He was encouraging her to maintain her activity level. He believed that her range of motion capacity for shoulder checks, while driving, was almost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He indicated that in 2009, Ms. Ma was capable of giving an extensive detailed history of her progress up to the accidents but not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Ma said that she had taken advice from a Psychologist, Dr. Rachel Malory who seems to have advised and treated Ms. Ma for several months beginning in April 2009. She described some important advice received from Dr. Malory but no opinion evidence was presented nor did she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She was treated by Dr. Northey, Dr. Marianne Russell and others at North Road Medical Centre; none of those practitioners were called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She was also treated by Dr. Beverly Tyler, a Chiropractor and Kinesiologist. She did not provide an opinion nor was she called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will consider each of these reports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 Witnesses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Craig assessed the plaintiff once on January 27, 2010. He concluded that Ms. Ma had developed a chronic pain disorder as a result of the three MVAs, but declined to comment on the cause of Ms. Ma's associated mood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Craig said that Ms. Ma told him that when MVA #1 occurred, she was still experiencing neck pain from her 2001 accident. At trial, the plaintiff denied making this statement. She cross-examined Dr. Craig on this point but he did not resile from his testimony that she had told him about her continuing neck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He testified that she was at a slight risk of experiencing complicated recovery due to the 2001 MVA. He felt that her prognosis for a complete recovery was unlikely and expected she would continue to experience chronic pain for several years. He believed she was unemployable and required management of her psychological issues. He also remarked that:</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her first interview, she told Dr. Craig that she had never had problems with lifting heavy objects in the past. She did not tell him that in her position with Vancouver Island Products, she was unable to do the heavy lifting and this limitation had led to her termination from that job. He reviewed a CL-19 report from Ms. Ma's treating doctor, including his findings that she had no pain limitations in her cervical, thoracic or lumbar spines and was objectively normal.</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observed her physical capabilities as being greater than her perceived abilities. At the time of his report, Ms. Ma was not participating in any recreational activities. She needed to exercise to recover from her soft tissue injuries but was only receiving passive therapies such as chiropractic treatments and had become severely deconditioned.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that the plaintiff was becoming severely deconditioned. He saw no physical contraindications of her performing her daily living and household tasks without any adaptive aids or assistance but noted she appeared reluctant to become more active. He underlined the fact that she did not require the use of any adaptive aids and needed to begin regular physical activity and needed to be weaned off of passive therapies such as chiropractic treatments. In cross-examination, Dr. Craig opined that Ms. Ma's use of the walker might actually be harming her. He vigorously recommended against using walking aids which he stated could cause bad posture, exacerbate neck and back pain and lead to leg weakness. He noted that other treating physicians had made similar recommendations.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suggested that she met the diagnostic criteria for fibromyalgia based on her report of pain at diagnostically significant tender points and her professed sleep disruption. This opinion was based entirely on her own report of symptoms when he was pressing one of the commonly known trigger points. However, he was also concerned that she might be suffering from a somatoform disorder.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Peter Joy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Joy is a Registered Psychologist. He was qualified to give evidence in the field of assessment, treatment, diagnosis, prognosis of chronic pain conditions and work capacity of his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Joy performed a psychological-legal assessment of Ms. Ma on February 2, 2011. He based his opinion on facts and assumptions obtained from a clinical interview of Ms. Ma, standardized psychological testing, review of medical legal materials provided by her lawyer's office and relevant literature.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He reviewed Ms. Ma's North Road Medical Centre clinical records, Care Point Medical Centre clinical records, Care View Medical clinical records, Max Fit Movement Institute records, Back in Motion physiotherapy records, Tri-City Psychology Services clinical records, chiropractic records, William Craig's IME report and Dr. Mark Boyle's IME report. Not all of these records were referenced or described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Joy opined that Ms. Ma suffered a somatoform disorder Not Otherwise Specified ("NOS"). He said a NOS diagnosis is given when a patient's presentation conforms to general guidelines for a mental disorder in a diagnostic class but that patient's symptomatic picture does not meet the criteria for any specific disorders. Under cross-examination, Dr. Joy conceded that Ms. Ma's symptoms did not qualify as somatoform disorder NOS because her symptoms had lasted for more than six months; thus she did not meet to the DSM criteria for somatoform disorder (NOS).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his report, Dr. Joy considered a differential diagnosis of conversion disorder but did not consider that she might be malingering or have a factitious disorder. He added that he did not know enough about Ms. Ma's past traumas to opine on the diagnosis of conversion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Joy was concerned about Ms. Ma's claim of poor memory. When tested, she was found to have a perfect memory score consistent with her very detailed history of her accidents, symptoms and treatment over four years since MVA #1. After he reviewed the memory tests with Ms. Ma, she changed her claim and said she had a poor short-term memory which was contrary to his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Joy also observed that Ms. Ma's pain readings were somewhat higher than expected given her presentation when he assessed her and that they were unexpectedly uniform. She told him that her pain was really bad at the time of the assessment but such elevated pain levels were not observed by the doctor. She did not have any elevated indications of depression which would normally accompany serious long-term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Under cross-examination, Dr. Joy acknowledged that malingering was a potential diagnosis but he had not considered it in his assessment. He accepts that malingering should be "strongly suspected" in certain circumstances including:</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cases where symptoms are presented in the context of a medical legal claim;</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circumstances where there is a marked discrepancy between a person's claim to stress/disability and the objective findings;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circumstances where there is a lack of cooperation during diagnostic evaluation and in complying with the prescribed treatment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Each of these features can be seen in Dr. Joy's examination results. He was asked to provide his opinion in the context of a medical legal assignment for litigation purposes and for this trial. He noted significant discrepancies between the plaintiff's self-described pain symptoms and his observation of her behaviour during 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Another example of Dr. Joy's failure to consider a differential diagnosis was the fact that Dr. Joy did not address Dr. Boyle's observation that Ms. Ma withdrew from all pressure applied during his assessment; this feature is an inorganic sign of pain which undermines the reliability of the plaintiff's response. He also did not comment on Ms. Ma's response to a reflex hammer test which Dr. Boyle described as an inorganic response. Dr. Boyle said her response to this test was exaggerated beyond any normal response to this test of her reflexes.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Further, Dr. Joy did not comment on the other non-organic signs referred to in Dr. Boyle's report which Dr. Boyle said can be an indication of a malingering patient. Specifically, Ms. Ma revealed a clasp-knife weakness in her shoulders, elbows, wrists, hands, knees, ankles and feet. Dr. Boyle said that this giving way is a strong non-organic sign because it is a voluntary movement and is inconsistent with injury at the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Although Dr. Joy resiled from his diagnosis of somatoform disorder NOS with cross-examination, his report did not explore the potential diagnosis of malingering or factitious disorder that would have depended on findings concerning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Although malingering was an obvious consideration in this case, Dr. Joy did not consider that differential diagnosis in his opinion and did not question this possibility in his assessment of the plaintiff's psychological and physical features; thus without any discussion of the possibility that she was malingering or suffering a factitious disorder, his opinion is lacking. But, under cross-examination he testified that some of Ms. Ma's behaviours met the DSM IV criteria for malingering and warranted consideration of it is a possible explanation of her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It seems to me that based on all of the evidence presented in this case, Dr. Joy relied heavily on Ms. Ma's self reports and did not perform a fulsome inquiry, analysis or assessment with sufficient rigour to be persuasive. Consequently, I attach less weight to his ultimate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 Charkhsaz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Charkhsaz was Ms. Ma's family doctor for a time and provided reports dated May 5, 2011 and November 20, 2015. Dr. Charkhsaz qualified as a family physician in 2006 and became registered in British Columbia in 2007. Dr. Charkhsaz's first encounter with the plaintiff was on May 14, 2009, a few days after MVA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Charkhsaz did not obtain clinical records of Ms. Ma's treatment from 2007 to 2009 from Care Point Medical Centre. She said it is optimal care to obtain patient records from former family doctors, and in this case, that did not happen. Also, Dr. Charkhsaz was unaware that Ms. Ma was continuing to see Dr. Wozny while she was providing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preparation of her reports, she relied entirely on Ms. Ma's description of symptoms and information and reviewed some of the consultation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Charkhsaz referred Ms. Ma for CT scans and diagnostic tests. Ms. Ma refused to undergo a blood test, an EMG, a neurological referral, a pelvic ultrasound and an X-ray.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Charkhsaz had also recommended that Ms. Ma continue taking trazodone and amitriptyline in 2010; Ms. Ma elected to discontinue those medications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Charkhsaz also noted that Ms. Ma had been advised to take iron supplements to address a potential iron deficiency which might have explained all of her ongoing symptoms. Ms. Ma declined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Ma had complained about several eye issues, including post-accident blindness, blurriness and light sensitivity, but refused to visit an optometrist or ophthalmologist. When her eyes were eventually assessed, her vision was found to be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Charkhsaz also considered a report from Dr. Devonshire who performed a neurological consultation on Ms. Ma. Dr. Devonshire's report stated that Ms. Ma was neurologically sound and that it was unlikely she had suffered from a concussion. It appears that Ms. Ma gave somewhat contradictory reports to him about the onset of her headaches. Additionally, Dr. Charkhsaz observed in Dr. Devonshire's consultation report that Ms. Ma's ability to walk was not compromised by her balance problems; he did not think she should be using assistance devices such as the cane, walker and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Charkhsaz reported that Ms. Ma would send her letters outlining the extreme limits of her pain and dysfunction. She would end each of these letters: "PS, please keep in my file for future ICBC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Under cross-examination, Dr. Charkhsaz acknowledged that she had changed her 2015 report at Ms. Ma's request. Dr. Charkhsaz's tendered report includes the phrase "she was unable to push objects" whereas she had used the phrase "unable to push/pull objects" in the original draft. Dr. Charkhsaz conceded that her report as tendered is inaccurate because of Ms. Ma's insistence on removing the word "pull".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Furthermore, in Dr. Charkhsaz's original report, she had not included a reference to the Montréal Cognitive Assessment results. Ms. Ma had convinced Dr. Charkhsaz to include those test results; Dr. Charkhsaz accepted that this request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Charkhsaz was aware that Dr. Joy had elicited a 30/30 test result on Ms. Ma's Montréal Cognitive Assessment whereas when she administered the test, her finding was 24/30 and 27/30 indicating a mild impairment. In her report, she does not mention Dr. Joy's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Finally, in the first draft of Dr. Charkhsaz's 2015 report, she had included the statement that Ms. Ma had stopped taking trazodone and amitriptyline in spite of advice she had given to the contrary, reflected in Dr. Charkhsaz's May 13, 2010 clinical note. Ms. Ma demanded this reference be removed because she was already taking trazodone. In cross-examination, Dr. Charkhsaz said Ms. Ma was not taking the medication; she expressed a fear that Ms. Ma might sue her based on information she had received from her staff about earlier threats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Dr. Charkhsaz's second report, she included observations she had made in her meetings with Ms. Ma from 2011 to 2015.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after almost 8 years she is still suffering from neck and back pain, bilateral shoulder pain, bilateral knee and bilateral hip pain. She is still experiencing frequent headaches and sensitivity to light. She is still suffering from memory loss, insomnia and imbalance. In my opinion, she is suffering from fibromyalgia, somatoform disorder, depression and chronic pain due to multiple motor vehicle accidents. There has been no improvement in the last few years and in my opinion, Ms. Din's [Ma] long-term progress is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Although Dr. Charkhsaz had the benefit of Dr. Craig's report, she does not seem to have considered some of the contradictions mentioned by him. He reported that Ms. Ma stated she could rotate her head only ten degrees but when he observed her casually, she had 45 degree movement. Dr. Charkhsaz made no comment about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Charkhsaz also reported that Ms. Ma was not exercising and was not active because activity caused her pain. Ms. Ma's choice to be inactive contradicted Dr. Craig's advice that she become more active and cease her reliance on passive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am satisfied that I cannot attach significant weight to Dr. Charkhsaz's diagnoses of Ms. Ma's fibromyalgia and somatoform disorder. She did not consider the differential diagnosis of malingering or factitious disorder. Her psychiatric diagnoses did not account for the fact Dr. Joy had resiled from his diagnosis of somatoform disorder NOS. Likewise her diagnosis of fibromyalgia could not be explained or supported by any evidence except Ms. Ma's pain complaints all over her body. In my view her opinion on this point was not persuasive and she would likely defer to opinions of more qualified health professionals including psychiatrists, rheumatologists, orthopedic surgeons or physiatrists.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On this point, Dr. Craig's finding that Ms. Ma responded to his pressing of trigger points was also unreliable for diagnostic purposes because she was reporting pain in all regions of her body and not only recognized trigger points, The diagnosis is reliant on a truthful patient and Ms. Ma is lacking in credibility in this area. This may explain why he did not include the fibromyalgia diagnosis in the main body of his report; he described her as meeting the criteria but stopped short of opining that she suffered with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Instead, I find Dr. Boyle's opinion that she does not suffer from fibromyalgia more persuasive based on all of his findings including his comment that trigger point responses by Ms. Ma were unhelpful in the diagnosis because of the widespread and whole body pain she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any event, neither Dr. Craig nor Dr. Charkhsaz explained the meaning or significance of a fibromyalgia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my view, Dr. Boyle's opinion that Ms. Ma could not be diagnosed with fibromyalgia because she complained of pain throughout her entire body rather than at only the trigger points used to diagnose fibromyalgia is convincing. I conclude his opinion carries significantly more weight in this diagnosis than Dr. Charkhsaz's opinion on this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After considering all of the evidence, I am also satisfied that Dr. Charkhsaz was not equipped to consider the psychiatric and fibromyalgia diagnoses. It was never explained how Dr. Charkhsaz came to a conclusion that Ms. Ma suffered from multiple conditions including "fibromyalgia, somatoform disorder, depression and chronic pain." In my view she may have simply repeated what others have said without considering whether these are alternative diagnosis or an accumulation of four separate conditions. She clearly did not consider the differential diagnosis of malingering and factitious disorder (described by Dr. Lamba) or the fact that Dr. Joy on cross examination conceded that Ms. Ma did not exhibit the symptoms consistent with somatoform (NOS).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am satisfied that her opinion concerning these four conditions including fibromyalgia, somatoform disorder and chronic pain is not helpful. Conversely, where Dr. Lamba and Dr. Joy have opined on Ms. Ma's psychiatric diagnosis concerning somatoform disorder, chronic pain and depression, I accept their evidence where it conflicts with Dr. Charkhsaz's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For these reasons I accept that it is most likely that Ms. Ma does not suffer from fibromyalgia, chronic pain disorder or a somatoform disorder. I will address the other aspects of Ms. Ma's diagnosis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It is troubling that Dr. Charkhsaz altered her reports at Ms. Ma's request and without justification in one part. She appeared to be under some pressure from Ms. Ma and I conclude that the weight of her opinion has been overall undermined for this reason. Dr. Charkhsaz's opinion was flawed in many respects and went beyond what would ordinarily be expected from a family physician and I give little weight to her opinions where they conflict with Dr. Boyle and Dr. Lamba.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Russell McNeil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McNeil is an occupational therapist and certified work capacity evaluator. He and Kevin Turnbull's opinions form the basis for Ms. Ma's estimate for future care costs in the amount of $390,065.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preparation for his future care costs report, Mr. McNeil considered medical reports from Dr. Joy, Dr. Craig and Dr. Boyle. He does not appear to have taken into account opinions from Dr. Charkhsaz, Dr. Lamba or Dr. Magrega.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McNeil's overall opinion after putting Ms. Ma through his screening procedures was that she "put forth a good level of effort and a consistent effort to obtain a reliable assessment of her functional capacity". He said Ms. Ma is capable of performing sedentary level strength tasks for short periods of time. He opined that she is not capable of full-time work and cannot deliver newspapers or perform work with the strength and stamina required. He also stated that she is restricted from performing activity requiring repetitive and sustained vertical reaching, crouching and kneeling. Mr. McNeil's opinion was vigorously challenged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cross-examination, Mr. McNeil conceded that he had advised Ms. Ma on the questions she should ask him in direct examination. In the result, Mr. McNeil was able to expound on questions asked of him by Ms. Ma in a manner that buttressed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do not find anything inappropriate in Mr. McNeil assisting Ms. Ma in preparation for his examination in chief. She is a self-represented litigant and was entitled to the benefit of his assistance in presenting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defendants also focused on three decisions of this Court to challenge Mr. McNeil's integrity and reliability as an expert. First, in a result in </w:t>
      </w:r>
      <w:r>
        <w:rPr>
          <w:rFonts w:ascii="arial" w:eastAsia="arial" w:hAnsi="arial" w:cs="arial"/>
          <w:i/>
          <w:color w:val="000000"/>
          <w:sz w:val="20"/>
          <w:lang w:val="en-US" w:eastAsia="en-US" w:bidi="ar-SA"/>
        </w:rPr>
        <w:t>Rizzolo v. Brett</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2009 BCSC 732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[Rizzolo]</w:t>
      </w:r>
      <w:r>
        <w:rPr>
          <w:rFonts w:ascii="arial" w:eastAsia="arial" w:hAnsi="arial" w:cs="arial"/>
          <w:color w:val="000000"/>
          <w:sz w:val="20"/>
          <w:lang w:val="en-US" w:eastAsia="en-US" w:bidi="ar-SA"/>
        </w:rPr>
        <w:t>, a case in which Mr. McNeil also testified as an expert, the Court concluded that he had withheld relevant information concerning his personal interest in a company manufacturing a testing device relied on in his testimony. His entire report was rejected at para. 105, where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consider Mr. McNeil's failure to disclose the fact that he is the principal of Biosyn and that he was an inventor of FAB to represent a shocking lack of candour. As he has testified in the courts on numerous occasions, he is well aware that the duty of an expert is to assist the court with an independent and objective opinion on a particular issue. To withhold such relevant information misleads the court and, as I have no choice but to reject all of his written and verbal evidence, constitutes a substantial waste of time. It is impossible to parse out Mr. McNeil's evidence as a qualified expert from that as an undisclosed salesman for Biosyn.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defence contends that in this case, Mr. McNeil failed to bring a number of errors in his report on Ms. Ma to the Court's attention. They contend that this flaw echoes failures highlighted in Rizzolo. In that case, Mr. McNeil had informed the Court that he had not drawn errors in his reports to the Court's attention because "nobody asked me the question"; see para.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defendants also referred to Hardychuk v. Johnstone, </w:t>
      </w:r>
      <w:hyperlink r:id="rId75"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and and Rintoul v. Gabriele, </w:t>
      </w:r>
      <w:hyperlink r:id="rId508" w:history="1">
        <w:r>
          <w:rPr>
            <w:rFonts w:ascii="arial" w:eastAsia="arial" w:hAnsi="arial" w:cs="arial"/>
            <w:i/>
            <w:color w:val="0077CC"/>
            <w:sz w:val="20"/>
            <w:u w:val="single"/>
            <w:shd w:val="clear" w:color="auto" w:fill="FFFFFF"/>
            <w:lang w:val="en-US" w:eastAsia="en-US" w:bidi="ar-SA"/>
          </w:rPr>
          <w:t>2011 BCSC 858</w:t>
        </w:r>
      </w:hyperlink>
      <w:r>
        <w:rPr>
          <w:rFonts w:ascii="arial" w:eastAsia="arial" w:hAnsi="arial" w:cs="arial"/>
          <w:color w:val="000000"/>
          <w:sz w:val="20"/>
          <w:lang w:val="en-US" w:eastAsia="en-US" w:bidi="ar-SA"/>
        </w:rPr>
        <w:t xml:space="preserve"> in which Mr. McNeil's approaches were also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this case, the defendants say, Mr. McNeil's report writing method was flawed. While he knew that it contained errors, he did not bring them to the Court's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McNeil explained that he begins report writing with his standard template and fills in the blanks as he proceeds with a particular assessment. His template includes, by default, statements favourable to the plaintiff. For example, it describes his clients as demonstrating a "high level of effort" before he assesses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the report Mr. McNeil produced for Ms. Ma that the defendants highlighted portions where he states that the plaintiff's "muscle and strength test indicated a high level of effort". Later in his report, he contradicted this earlier statement by saying her "movement patterns were guarded with limited muscle and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defence said since it is impossible to have limited muscle and strength and have limited muscling strength indicating high effort levels, these are contradictory statements. Mr. McNeil conceded this was an error:</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Well, let's look at paragraph 143. You first state "movement patterns were guarded with limited muscle angst strength."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Yeah.</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then you say she had good muscle recruitment with muscle and strength that indicated a high level of effort.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can't have limited muscle strength and yet have muscle and strength indicating a high level of effort, can you?</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you're right. And actually, I say the same thing in paragraph 142 and 143. So - - and 145. So perhaps there's a mistake there on my part that may be there was no muscle and strength if the movement was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McNeil said this error occurred because he had neglected to remove the automatically generated statements supportive of Ms. Ma's claims from his template. This is significant since he also contended that, in a functional capacity analysis, the assessor's subjective interpretations and considerations, including whether the plaintiff is putting forth a full effort, is important to the ultimate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McNeil did not bring his complete file to trial. This prevented defence counsel from checking his report to determine if other automatically generated statements were included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McNeil also conceded that his report was limited to an assessment of Ms. Ma's performance at a single point in time and could not necessarily preclude the plaintiff from performing at a higher level at a different time. As an example, Mr. McNeil administered an MMRT test which examines muscle recruitment; in this test the plaintiff scored in the first percentile. The defendant's expert, Wayne Enright, administered the same test 17 months later and the plaintiff scored in the 50th to 60th percentile despite the fact that she claimed she was experiencing higher levels of pain than when she originally performed the test for Mr. McNeil prompting Mr. McNeil to opine that test results vary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Finally, in cross-examination, Mr. McNeil acknowledged that when he performs his assessment, inconsistencies in a patient's performance must be evaluated because his reports depend on the integrity on the assessment. It is important to record any inconsistent behaviours observed. Thus, how careful he is in preparing reports is a significant factor in the reports' reliability. Thus, when he conceded there is an error in his report concerning Ms. Ma's effort level, he cast doubt on the reliability of the whole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McNeil also prepared a future care cost analysis. He explained that his practice is to incorporate his clients' physicians' recommendations into such reports. Some of the recommendations in his future care cost analysis report for Ms. Ma are based on her doctors' comments and some are based on his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Ultimately, his report recommended that Ms. Ma's future care include access to a large number of aids and devices.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He was challenged on his recommendations concerning the hot/cold packs, pillows, back supports, long hand reachers, dressing sticks and other household aids. These items were not recommended by Ms. Ma's physicians; in fact, Dr. Craig and Ms. Richards said these types of aids might cause her more problems. When challenged on that point, Mr. McNeil simply disagreed with Dr. Craig and Ms. Richards.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When questioned about his cost estimates, Mr. McNeil said that the items contained in his report were included at "minimum cost". However, when cross-examined further, he conceded that his cost estimates were predicated on faulty assumptions. For example, his report said that to attend a Vancouver pain clinic, Ms. Ma would need to obtain and pay for accommodation in Vancouver; he ignored the possibility that she could simply use transportation to travel from her home to the clinic. He believed she could not drive; however, in August 2011 she was driving without any apparent restriction and in July 2009 Dr. Wozny testified she could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Also, Mr. McNeil did not make any effort to find a pain clinic closer to Ms. Ma's home or another clinic that might have been less costly. He simply took no steps to ascertain if the costs he included in his report constituted the "minimum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Similarly, Mr. McNeil estimated the plaintiff's drug costs based on brand-name drugs without regard to the costs of less expensive generic drugs. Additionally, he was unfamiliar with the Fair Pharmacare Program and unaware that the plaintiff would not be required to pay for drugs while she was on Income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Overall, I have little confidence in Mr. McNeil's opinions. He candidly acknowledged he could not measure or verify Ms. Ma's subjective claims of disabling pain. His assessment was performed five years before trial and one-and-a-half years before Mr. Enright's assessment. Additionally, Mr. McNeil acknowledged several shortcomings in the preparation and final content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Mr. McNeil has an unenviable record in this Court as highlighted by the authorities cited by the defendants. While those cases do not render his report unreliable, the errors in his report, the differences between his and Mr. Enright's findings and the carelessness with which he prepared his opinion result in my finding that I can give little weight to his views.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Rachel Richards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saw Rachel Richards, a physiotherapist, from the summer of 2009 to February 2010. Ms. Richards said that in July 2009, Ms. Ma complained of diffuse pain in her body. She wore a neck collar and used a cane. Ms. Richards informed Ms. Ma she did not need the collar or cane and that wearing the collar could make things worse. She also told Ms. Ma that she also did not need a tensor for back/elbow support. In July 2009, Ms. Richards also noted that Ms. Ma was not compliant with her medication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Ms. Richards said that Ms. Ma told Ms. Richards that her psychologist had recommended that she use adaptive aids. The psychologist did not testify. Ms. Richards informed Ms. Ma that such a recommendation was outside the psychologist's field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September 2009, Ms. Ma requested that Ms. Richards provide her with a referral for a raised toilet seat and bath bench. Ms. Richards refused because Ms. Ma had demonstrated good strength and balance and her opinion did not need these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On cross-examination, Ms. Ma said she had never asked Ms. Richards for a referral for any of these aids; Ms. Richards disagreed.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Ms. Richards also reported observing some inconsistencies in Ms. Ma's functionality. In Ms. Richards' session with the plaintiff on July 7, 2009, Ms. Richards observed Ms. Ma on an exercise bike. When Ms. Ma was on the bicycle, she complained of pain in the range of 9/10. Notwithstanding this high pain level, Ms. Ma's heart rate did not increase. Ms. Richards commented that it is unusual for a patient's heart rate to not increase when the patient experiences high levels of pain while exercising.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October 2009, Ms. Richards described another inconsistency in Ms. Ma's presentation. She observed Ms. Ma retrieve an object off the floor quickly in a manner inconsistent with her assertions that her range of motion was much more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October 2009, Ms. Richards also recommended the plaintiff engage a kinesiologist; apparently that appointment was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On February 5, 2010, Ms. Ma attended Ms. Richards' office using a wheelchair. Ms. Richards informed the plaintiff that her behaviour was self-debilitating and reminded her that she did not need aids, which were not assisting her with reaching her treatment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During her sessions with Ms. Richards, Ms. Ma also rejected Ms. Richards' recommendations that she engage in active exercise therapies. She insisted on using passive modalities. Overall, Ms. Richards observed that the plaintiff was self-debilitating and the deterioration in her function was related to the unnecessary aids she chose to use. It was clear that Ms. Ma was continually asking for "aids" for her daily living needs and that Ms. Richards was against her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Throughout her time assisting Ms. Ma, Ms. Richards repeatedly informed her that she needed to be more active and end her dependence on wheelchairs and walkers. Ms. Ma eventually became hostile towards Ms. Richards. She accused her of hurting her during treatment. Ms. Ma stated to Ms. Richards that she did not know her pain and that she was pushing her too hard. Ms. Ma became angry with Ms. Richards and accused her of being racist. She cast further aspersions on Ms. Richards'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Although Ms. Richards' testimony was not expert opinion evidence in the trial, her observations of the plaintiff's behaviour and responses to her advice and instructions were extremely revealing of the plaintiff's unwillingness to follow professional advice to improve her function. Further, the plaintiff's continued use of unnecessary aids such as the toilet seat, walker, wheelchair and others, contrary to advice given to her on how to improve her health, function and overall condition are an indication that it was unlikely she was as disabled as she professed to her treating health care professionals.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Kevin Turnbull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Mr. Turnbull is a chartered accountant and economist. He was asked to perform calculations to assist in estimating Ms. Ma's earning losses and future care costs. He was provided with Ms. McNeil's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Mr. Turnbull's first report concerning estimates of Ms. Ma's lost earnings is dated August 12, 2011. That report was updated on November 19, 2015. His original cost of future care analysis is dated August 11, 2011. He provided an updated analysis dated November 18,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On the question of the plaintiff's future income loss, he assumed that she would have begun working as a bank clerk in September 2008 had the accident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He examined three career possibilities for Ms. Ma. Firstly, he looked at her earnings record for 2007 to 2009 in the newspaper delivery business. He then looked at her economic prospects as a bank clerk and as an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He said it would be unrealistic to compare her future income loss to amounts earned by bank clerks age 40 and above. He considered a more youthful cohort as a better comparison because of the similarities in levels of their experience. That is, although Ms. Ma would be older when she entered the accounting profession she would earn less than others of the same age who had more years of experience and earn a higher income. He reported that those individuals earned $36,564 per year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Mr. Turnbull also looked at BC individuals working as accountants and found they earned an average $83,060 in 2016, irrespective of age. Those aged 40 to 44 had an average income of $90,727.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considering her prospects as an accountant, he observed that the former CGA designation could not be achieved without a bachelor's degree and Ms. Ma did not have a bachelor's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total, Mr. Turnbull estimated Ms. Ma's pre-trial losses assuming she had worked as a bank clerk from 2008 to 2010 and an accountant from 2010 to 2016 at $243,000. Curiously, Ms. Ma disavowed any interest in becoming a bank clerk and, in light of that assertion, calculations predicated on her potential for employment as a bank clerk were unhelpful.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Mr. Turnbull apparently received from Ms. Ma a listing of the amounts received from Post Media Network and Tri-City News for 2007 to 2009. In total, she informed him she had received $49,120 in the years 2007 to 2009. Her declared income to Canada Revenue was $37,973.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am satisfied on the evidence that even before MVA #1, there was little likelihood of Ms. Ma becoming a CGA and that, if she suffered any loss of past or future career opportunities, those losses would have been limited to her work in the newspaper delivery business. Ms. Ma obtained no meaningful work history during the 18 years she had lived in Canada prior to MVA #2 notwithstanding her repeated efforts at improving her educational achievements.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earned income she reported to Mr. Turnbull is inconsistent with her evidence at trial and Mr. Maung's testimony that they were earning $500 to $700 per month while delivering newspapers; based on the information obtained by Mr. Turnbull they received an average of $2135 per month for the 23 months between July 2007 and May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concluded that Ms. Ma and Mr. Maung were concerned that if they reported income at $2135 per month between them, they would have suffered a significant claw back in government assistance they were receiving at the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Defence Witnesses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Marc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Dr. Boyle is an experienced orthopedic surgeon who assessed Ms. Ma on February 2, 2010. At that time, the plaintiff informed him she had pain, stiffness, severe headaches, light sensitivity, tinnitus, severe chest pain that got worse with breathing, coughing with activity, diffuse pain around the elbows and into the forearms, wrists, hands, fingers, constant mid/low back pain brought on with prolonged sitting, standing, walking, pain around her hips, knees, ankles and feet and global weakness. She informed Dr. Boyle that she had chronic pain, muscular musculoskeletal pain and fibromyalgia.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presented with abnormal behaviour. She responded with near collapse to axial compression [attempts to elicit Sperling's sign], withdrawal to minimal tactile stimulation, differing results on repeated testing, clasp - knife weakness pattern and pain focused behaviour, i.e. moaning, groaning grimacing and attempting to magnify reflexes. She used a walker for ambulation, yet was capable of normal gait and heal - and toe - walking while complaining of discomfort. The presence of such behaviour and the findings of non-organic signs to this degree suggest that, if this behaviour is conscious, the patient is malingering. If it is unconscious, it is likely to represent an abnormal reaction to stressful events where the presence of significant depression and exciting.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He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certainly feel that her complaints and behaviour are well out of proportion to the inciting events. I feel that from a physical point of view, the affirmation outcomes are valid [see impression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He explained that the clasp-knife weakness pattern comes from an observation when a patient is asked to push with a hand and there is a sudden giving away like a knife collapsing, this is a strong non-organic sign because it is voluntary on the patient's part. He also said that she withdrew from any type of stimuli when he attempted to palpate parts of her body. The pressure is light and an inorganic sign occurs when the patient withdraws.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In his conclusion, Dr. Boyle said the plaintiff suffered myofascial strains to her ligaments, tendons and muscles without evidence of injury to the vertebrae, disc pathology or neurological compromise. His diagnosis of her thoracic lumbar spine also involved myofascial strain. He added that she could manage these conditions by performing core stabilization exercises and aerobic fitness with weight control and by taking anti-inflammatory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He opined that she had suffered blunt trauma to her thorax region without any evidence of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He said that she suffered a contusion to her left elbow and forearm without any evidence of joint or bone pathology. Her contusion was expected to heal over eight to 12 weeks and minor residual symptoms were expected for an additional eight to 12 weeks. Finally, he concluded there was no evidence of contusion or abnormal stresses to the joints of her lower extremities and no evidence of soft tissue bone or joint pathology in that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He said there was no physical reason she could not resume delivering newspapers and determined that she could work without restriction. He said it was inappropriate for her primary caregivers to recommend unnecessary services that will adversely affect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his August 17, 2011 follow-up report, Dr. Boyle provided a revised opinion. Dr. Boyle was asked to review surveillance videos taken of the plaintiff on September 21, 2007, October 29, 2009 and August 9, 2011. He reiterated that she had demonstrated a number of non-organic signs when he assessed her at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He noted Ms. Ma had disc space changes at L3 - 4 but that finding would be the norm in the general asymptomatic population and cannot be causally related to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He commented on the September 2007 video observing that she showed no musculoskeletal impairment and appeared capable of twisting, rotating her neck freely, squatting and bending as well as carrying bundles of newspapers and reaching into the vehicle in an awkward position. From the October 29, 2009 video he observed Ms. Ma was walking without relying on the cane, and demonstrating no limp or loss of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After reviewing the August 2011 video, he noted no abnormality in her gait or balance. She walked freely and turned quickly without imbalance. She walked without a limp and was able to negotiate her vehicle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Having reviewed this material he did not alter the opinion contained in his initial February 2010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reiterate what was stated in paragraph five of page 12 of my report. The presence of such behaviour in the findings of nonorganic signs to this degree suggest that, if this behaviour is conscious, the plaintiff is malingering. If it is unconscious, it is likely to represent an abnormal reaction to stressful events where the presence of significant depression and anxiety. He said there was a marked disconnect between her complaints to him and her behaviour in the surveillance video. There is no objective evidence of pain, limited ranges of motion or tenderness. Regardless, he declined to go outside of his area of expertise and address any psychiatric or psychological conditions that may affect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Boyle wrote a December 13, 2015 report responding Dr. Charkhsaz's opinions. After reading her reports, he notes that they reflect: no objective evidence of clinical or radiological pathology. In response to Dr. Charkhsaz's' diagnosis that Ms. Ma was "suffering from fibromyalgia", Dr. Boyle reported that Ms. Ma was tender over "all bony and soft tissues" rather than at just the fibromyalgia trigger points. He also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nonorganic signs were previously listed. They reflect inappropriate pain response or pain manifestation. This, coupled with the disconnect between her symptom complex and her function in the absence of objective evidence of pathology, calls into question the validity of her complaints. This is consistent with an inappropriate interpretation of her pain and subsequently an inappropriate interpretation of her disability. The later onset of memory loss, insomnia and balance cannot be attributed to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response to Dr. Charkhsaz's opinion, he concluded that Ms. Ma's prognosis is not poor, she suffered soft tissue injuries and has no physical barriers to a resolution of her symptoms over time. He also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Nonphysical barriers to her improvement are present. This should be the approach wreath therapy, i.e. psychological assessment and treatment. Her family physician should participate in this treatment by outlining to the patient the inappropriateness of her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Boyle found Ms. Ma demonstrated many non-organic signs that reflect inappropriate pain responses. These coupled with her symptom complex and the absence of objective evidence of pathology calls into question the validity of her complaints. Depending on the Court's findings concerning her credibility, he invited me to conclude from these non-organic signs that, if her behaviour is conscious, she is malingering; if it is unconscious, she is exhibiting an abnormal reaction to stressful events or significant depression. Although Dr. Boyle did not mention factitious disorder, I accept that this may also explain the plaintiff's behaviours.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Overall, I accept Dr. Boyles'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 Lamba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Dr. Lamba provided three written opinions. He assessed Ms. Ma on April 29, 2011 and June 27, 2011 and wrote reports dated May 6, 2011, July 11, 2011, and December 31,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He concluded that she had chronic pain disorder with both medical and psychological factors. He questioned whether she had a conversion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his May 6, 2011 report, he described her pain disorder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Ma suffers from pain disorder, where her pain experience is out of proportion and of longer duration than expected from the events that led to the onset of pain. I am of the opinion that the medical factors are relatively minor in the ongoing experience of pain I believe that psychological, cultural and social factors are important in maintaining the pain focus. Ms. Ma likely met criteria for major depression after the second MVA [May 6, 2009] even though she does not meet such a criteria currently.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He explained that, at their first encounter, she refused to provide him with her background and personal history, which prevented him from assessing any predisposing factors that may have impacted his diagnosis. He said "Ms. Ma holds a sense of having been on the receiving end of [an] unfair deal in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At a later consultation, he was able to obtain her medical history. He described her treatment history and options and concluded she needed a comprehensive pain program with a strong psychological component. He concluded that her pain is chronic and describes her prospects for meaningful recovery as bleak. She has not undergone his recommended treatment. As such, he cannot provide a long-term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After he continued his interview of Ms. Ma on June 27, 2011, he concluded that she had been exposed to cumulative psycho-social stresses over her life and was at risk of depression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his August 21, 2011 report, Dr. Lamba recast his assumptions and provided a revised opinion. He also reviewed the video surveillance from 2007, 2009 and 2011. He said that a differential diagnosis where pain is a predominant symptom requires considering chronic pain disorder, factitious disorder and malingering. He described the chief distinction between chronic pain, malingering and factitious disorder as chronic is genuinely experienced whereas factitious disorder and malingering are intentionally feigned or exaggerated. He suggested that if Ms. Ma genuinely experiences pain, she is likely suffering a somatoform disorder which involves the presentation of physical symptoms unexplained by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He provided some guidance in distinguishing between the two possibilities: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Psychiatric aspects of chronic pain [neurology 1995; 45 [SC PPL 9] as 26 - S34] quote Teasell and Shapiro consider behaviour to be consciously produced when the individual must make decisions regarding timing and concealment that necessitate judgement. If patient would use a supposedly paralyzed limb only when feeling unobserved, the physician would correctly conclude that a volitional component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He went on to say that the more significant the inconsistencies one observes in a patient, the higher the likelihood of a malingering diagnosis. He also stated factitious disorder involves intra-psychic behaviour geared to assuming the sick role whereas malingering is for external tangible gain such as compensation or avoidance of unpleasant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If she is suffering from a chronic pain disorder, he said she could be referred to a multidisciplinary pain treatment program. If, on the other hand, she is feigning or deliberately malingering, no treatment will assist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any event, he said Ms. Ma should be discouraged from using mechanical aids such as canes, walkers, bath benches and toilet seats because they foster dependence and prevent activation.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Dr. Lamba discussed treatment options that might help Ms. Ma. He noted that some statistics indicate that interdisciplinary approaches to pain can lead to significant increases in physical activity as compared to the outcomes from conventional medical care although Ms. Ma may not be an average patient and might not achieve average results. Dr. Lamba discussed Ms. Ma's vocational future and considered how she might have been employed had the accident not happened. He considered her choices of careers, including medicine, nursing, pharmacy and accounting unrealistic in the face of her educational achievements. He said she had a poor understanding of the occupational requirements for these careers and observed that she was handicapped by her language skills. He concluded that, based on her history, she was unlikely to experience a "radical improvement in her educational and vocational achievements".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Finally, in his December 31, 2015 report, Dr. Lamba reviewed Dr. Charkhsaz's reports and additional background information that had not been available to him when he interviewed Ms. Ma. He said that Dr. Charkhsaz's use of the Montréal Cognitive Assessment was inappropriate because of Ms. Ma's poor English skills. He discounted the results achieved from this PHQ9 study because the test provides an easy path for a person motivated to feign or exaggerate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Dennis Magrega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Magrega is a registered psychologist with a practice devoted to the assessment cycle - vocational status of injured people. He observed that Ms. Ma:</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pain focused and that her presentation gauged by the video surveillance is inconsistent with her self-reporting. If her current pain complaints are valid, she has very poor chances of gainful employment.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an inconsistent employment record. He thought it likely that she would continue working as a newspaper delivery person after the accidents. Without having been involved in the MVAs, her optimum realistic career goal was an accounting clerk.</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her pain complaints are valid, she is advised to participate in a chronic pain program with a vocational component. If she is suffering a factitious disorder, she requires neuropsychiatric treatment. If she is malingering, she can be prescribed no therapeutic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 summary, Dr. Magrega's opinions are consistent with others; if Ms. Ma's pain complaints are genuine, her vocational future is dim. If she suffers from a factitious disorder, psychiatric intervention may assist. If she is a malingerer, her exaggeration of pain is deliberate and untruthful and no interventions will assist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Wayne Enright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Enright is an occupational therapist and certified work capacity evaluator. At the request of the defendants, he attempted to assess Ms. Ma in October 2012. He concluded that she provided a high effort only in her hand and finger dexterity tests but was guarded in general and gave a low effort in many other functional tests.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Ma's self-reports of function were inconsistent with clinical measures of functional abilities and limitations. She tended to rate herself as being more disabled than was demonstrated during functional testing.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findings of low effort and inconsistent physical findings it is my opinion that the results of this evaluation [with the exception of hand and finger dexterity skills] do not represent Ms. Ma's full capabilities. I am not able to identify her full capabilities because of guarded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Mr. Enright observed that she was capable of sitting for over one hour, standing for 30 to 45 minutes and walking at a slow pace. She did not require walking aids or a cane. Mr. Enright believed she was capable of greater function than she demonstrated.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He also said she showed a number of non-organic findings and inconsistencies.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summary, Mr. Enright could not assess Ms. Ma's general functional capacity. It is my opinion that the results of this evaluation, with the exception of hand and finger dexterity skills, do not represent Ms. Ma's full capabilities because of her guarded effort. However, I note that none of Mr. Enright's observations suggest that Ms. Ma's involvement in the MVAs placed any physical limitations on her returning to work in the newspaper distribution business.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Mark Gosling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Mr. Gosling is an economic consultant who responded to Mr. Turnbull's loss of earnings report. He opined that after allowing for contingencies, Ms. Ma's past income loss from the date of the accident to trial is $133,500 based on data for female bank clerk/accountant's earnings. If her career was limited to that of a bank clerk, he estimated her past loss of income would be $93,026 based on data only for female bank clerks.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Mr. Gosling criticized Mr. Turnbull's opinion because it averaged males and females' earnings for work in the same occupation. He suggested that data focused on females' earnings provides a better indication of the probable earnings stream for Ms. Ma. Mr. Gosling estimated her future earnings loss would be reduced to $544,092 if Ms. Ma's future loss of income were compared to other female accountants. If she had become a bank clerk, her future earnings would be $356,000.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Mr. Gosling also calculated that the net present value of $1,000 per year from 2016 to the year in which Ms. Ma turns 65 is $13,681 while the value of $1,000 per year from 2016 until the year Ms. Ma turns 70 is $17,190. When Mr. Gosling's report is adjusted for labour market contingencies, the net present value to age 65 is $6,936 per $1,000 and to age 70 is $7,379.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Ma's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Overall, Ms. Ma relies on the opinions of Doctors Craig and Joy to support her claim that she suffers from chronic pain, fibromyalgia and a somatoform disorder. She does not understand how she can suffer from severe and debilitating pain caused by a psychological condition as opposed to real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Ms. Ma submits that MVA #1 thrust her sideways and caused pain in her left ribs, shoulders and hand and immediate vision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After the accident, she returned home and called ICBC. When the pain expanded to her neck, elbow, chest, back and shoulder, she visited a walk-in clinic later that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She argues that after MVA #1, her eyes were also sensitive to light, her memory diminished and she began losing hair. The pain in her left rib was serious even though investigations by way of X-rays and bone scans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Ms. Ma contends that before MVA #1, she could walk for an hour on a treadmill whereas today, ten minutes of walking on the treadmill causes her significant pain. She said she has gained ten pounds since MVA #1 and that her chronic pain limits her ability to stay active. She believes her weight gain has also led to an increase in her blood pressure. She also claims that before the accidents, she was receiving high grades in school. This has stopped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By June 2008, she was taking Celebrex and Gabapentin and suffered from disrupted sleep. She was referred to a physiatrist and a yoga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Eventually, the pain became unbearable and she was directed to Eagle Ridge Hospital. Ms. Ma was subsequently diagnosed with fibromyalgia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She said MVA #2 was worse than MVA #1. Her right ankle was on the brake and the rear end impact caused her to twist and injure it. She felt increased pain in her neck, back, shoulder, arms, low back, right knee and right ankle. She experienced depression and anxiety and would cancel appointments because of her symptoms. She said her doctor recommended she stay active but also said a doctor at Care Point Medical Centre recommended she use a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Following MVA #2, Ms. Ma had more bad days than good despite the fact that she claims that she is a stoic and is not exaggerating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She contends her employment in the newspaper distribution business was terminated, mostly because of the impact of MVA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She argued, without evidence, that in August 2009, Dr. Wozny had referred her to a pain clinic but ICBC declined to cover the cost because she was working at the time of the accident. She said she did not attend a recommended pain clinic because of its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She had some temporary improvements and deterioration before being injured in MVA #3. Although her car was not damaged greatly during MVA #3, its violent impact thrust her forward in the driver's seat and caused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After MVA #3 she said her headaches intensified but a CT scan of her head produced normal results. She estimates that her ability to drive has decreased 90% due to problems with her shoulder. By January 2010, she was using her father's walker when she was out walking for more than 30 minutes. She continues to use the walker because it improves her stability. She also uses a wheelchair sometimes. She believes the walker and the wheelchair improve her ability to be active and help her chronic pain symptoms subside.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She was advised to reduce her dependence on the walker because using it was causing pains in other parts of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She believes she has psychological problems that have contributed to her physical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She said her pain does not reflect on her facial expressions. Overall, she said she has lost a significant component of her 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Overall, the impact of the three accidents has rendered Ms. Ma unable to drive a car. Before the accidents, she could drive for three to four hours without a problem. Since the accidents, her driving tolerance has been reduced to 30 minutes during which she becomes drowsy and develops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She claims increased light sensitivity due to the effects of her injuries. She believes she is restricted to staying at home and limits the amount of light coming into the house. She can no longer walk the family dog or accompany family members on long 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She contends that the contrast between her very active pre-accident life and post-accident disability warrants she be awarded substantial non-pecuniary damages. She said the after effects of the accidents include ongoing debilitating pain, significant weight gain, higher blood pressure and risk of cardiovascular disease and psychological damage. She seeks $175,000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She contends that her past wage loss claim of $300,000 calculated at $65,593 per year as a CGA for five-and-a-half years and $39,828 per year as a bank clerk for two years. She said she could have worked as a bank clerk but for the accidents but also stated she intended to pursue a career as a bank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She claims she is entitled to damages for future income loss in the amount of $619,000. Although she worked in the newspaper business before the accident, she claims she would have succeeded in becoming a CGA and gaining a real estate agent's license. She also says she would have qualified as a bank clerk for several years. She said that while she was always preparing to enter into a more financially successful career, after being involved in the accidents, she lost hope of furthering her education and securing a better career. She says her history of college and university attendance is a testimony to her desire to improve herself and to obtain non-manual labour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In terms of the cost of future care, she relies on the recommendations in Mr. McNeil's report and claims she should be awarded $409,568.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She believes that $20,000 will sufficiently compensate her for loss of housekeeping ability. This money will enable her to obtain assistance with cooking, cleaning, shopping and doing laundry.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Last, she argues that special damages of $11,735 should be awarded to compensate her for costs incurred from purchasing prescription medications, aids and treatments. These expenses are outlined in her summary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She relied on the following cases in support of her claims for all heads of damages: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2010 BCSC 770</w:t>
        </w:r>
      </w:hyperlink>
      <w:r>
        <w:rPr>
          <w:rFonts w:ascii="arial" w:eastAsia="arial" w:hAnsi="arial" w:cs="arial"/>
          <w:color w:val="000000"/>
          <w:sz w:val="20"/>
          <w:lang w:val="en-US" w:eastAsia="en-US" w:bidi="ar-SA"/>
        </w:rPr>
        <w: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Ecclestan v. Dresen</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Giczi v. Kandola</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2014 BCSC 508</w:t>
        </w:r>
      </w:hyperlink>
      <w:r>
        <w:rPr>
          <w:rFonts w:ascii="arial" w:eastAsia="arial" w:hAnsi="arial" w:cs="arial"/>
          <w:color w:val="000000"/>
          <w:sz w:val="20"/>
          <w:lang w:val="en-US" w:eastAsia="en-US" w:bidi="ar-SA"/>
        </w:rPr>
        <w: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2009 BCSC 852</w:t>
        </w:r>
      </w:hyperlink>
      <w:r>
        <w:rPr>
          <w:rFonts w:ascii="arial" w:eastAsia="arial" w:hAnsi="arial" w:cs="arial"/>
          <w:color w:val="000000"/>
          <w:sz w:val="20"/>
          <w:lang w:val="en-US" w:eastAsia="en-US" w:bidi="ar-SA"/>
        </w:rPr>
        <w: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Hoff v. Joncas</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1996 CanLII 495</w:t>
        </w:r>
      </w:hyperlink>
      <w:r>
        <w:rPr>
          <w:rFonts w:ascii="arial" w:eastAsia="arial" w:hAnsi="arial" w:cs="arial"/>
          <w:color w:val="000000"/>
          <w:sz w:val="20"/>
          <w:lang w:val="en-US" w:eastAsia="en-US" w:bidi="ar-SA"/>
        </w:rPr>
        <w:t xml:space="preserve"> (B.C.S.C.), aff'd, </w:t>
      </w:r>
      <w:hyperlink r:id="rId515" w:history="1">
        <w:r>
          <w:rPr>
            <w:rFonts w:ascii="arial" w:eastAsia="arial" w:hAnsi="arial" w:cs="arial"/>
            <w:i/>
            <w:color w:val="0077CC"/>
            <w:sz w:val="20"/>
            <w:u w:val="single"/>
            <w:shd w:val="clear" w:color="auto" w:fill="FFFFFF"/>
            <w:lang w:val="en-US" w:eastAsia="en-US" w:bidi="ar-SA"/>
          </w:rPr>
          <w:t>(1997), 43 B.C.L.R. (3d) 203</w:t>
        </w:r>
      </w:hyperlink>
      <w:r>
        <w:rPr>
          <w:rFonts w:ascii="arial" w:eastAsia="arial" w:hAnsi="arial" w:cs="arial"/>
          <w:color w:val="000000"/>
          <w:sz w:val="20"/>
          <w:lang w:val="en-US" w:eastAsia="en-US" w:bidi="ar-SA"/>
        </w:rPr>
        <w:t xml:space="preserve"> (C.A.);</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Maillet v. Rosenau et al</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2006 BCSC 10</w:t>
        </w:r>
      </w:hyperlink>
      <w:r>
        <w:rPr>
          <w:rFonts w:ascii="arial" w:eastAsia="arial" w:hAnsi="arial" w:cs="arial"/>
          <w:color w:val="000000"/>
          <w:sz w:val="20"/>
          <w:lang w:val="en-US" w:eastAsia="en-US" w:bidi="ar-SA"/>
        </w:rPr>
        <w: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Carr v. Simpson</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2010 BCSC 1511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Defence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defendants contend that Ms. Ma is a malingerer or suffers from a factitious disorder and that any injuries suffered by her in the MVAs could have affected her only modestly. She disagreed with recommendations from her treating physicians and others to dispense with what they perceived to be unnecessary aids. She failed to avail herself of prescribed treatments, medications and constructive suggestions to become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They contend that the two doctors on whose opinions she relies were dependent on receiving accurate and truthful information from her. They contend that because her testimony is unreliable and because her answers are inconsistent and contradictory, the information she gave to her treating doctors was equally unreliable, untruthful and inconsistent. As such, they argue that those doctors' opinions cannot be relied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defendants point to various instances when the plaintiff's testimony concerning her pain levels was so grossly exaggerated that she could not be believed. They focused on her claim to be experiencing pain at a level of eight to ten out of ten when the scale she was measuring against indicated that those levels of pain were consistent with someone contemplating suicide. They said her claims of pain at those levels were preposterous.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defence argues that the plaintiff is a malingerer who might have been motivated to exaggerate her claims because she has had no economic success since immigrating to Canada in the early 1990s. There is no evidence that proves her ability to earn income other than her work in very modest manual labour positions. The defendants argue that evidence of her past economic performance goes against any assertion that, but for the accident, she would have been economically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defence position was premised on a broad attack on the plaintiff's reliability and credibility. From the surveillance videos to the challenge regarding her academic credentials to her refusal to accept medical advice, the defendants contend that Ms. Ma cannot be believed and that the only explanation for her presentation is a need for financial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defendants claim that Ms. Ma failed to mitigate her losses by following the recommendations of her doctors and therapists that would have assisted her in overcoming problems that she has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 defendants suggest non-pecuniary damages should be in the range of $20,000-$32,000. In support of their claim they referred to decisions of this Court in:</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Rosso v. Balubal</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2014 BCSC 1786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Rosso</w:t>
      </w:r>
      <w:r>
        <w:rPr>
          <w:rFonts w:ascii="arial" w:eastAsia="arial" w:hAnsi="arial" w:cs="arial"/>
          <w:color w:val="000000"/>
          <w:sz w:val="20"/>
          <w:lang w:val="en-US" w:eastAsia="en-US" w:bidi="ar-SA"/>
        </w:rPr>
        <w:t>] where the plaintiff was awarded $20,000;</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Jensen v. Felker</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2008 BCSC 541</w:t>
        </w:r>
      </w:hyperlink>
      <w:r>
        <w:rPr>
          <w:rFonts w:ascii="arial" w:eastAsia="arial" w:hAnsi="arial" w:cs="arial"/>
          <w:color w:val="000000"/>
          <w:sz w:val="20"/>
          <w:lang w:val="en-US" w:eastAsia="en-US" w:bidi="ar-SA"/>
        </w:rPr>
        <w:t xml:space="preserve"> where the plaintiff was awarded damages $20,400;</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Mak v. Eichel</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2008 BCSC 1102</w:t>
        </w:r>
      </w:hyperlink>
      <w:r>
        <w:rPr>
          <w:rFonts w:ascii="arial" w:eastAsia="arial" w:hAnsi="arial" w:cs="arial"/>
          <w:color w:val="000000"/>
          <w:sz w:val="20"/>
          <w:lang w:val="en-US" w:eastAsia="en-US" w:bidi="ar-SA"/>
        </w:rPr>
        <w:t xml:space="preserve"> where the plaintiff was awarded $22,700;</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Boutin v. MacPherson</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2013 BCSC 831</w:t>
        </w:r>
      </w:hyperlink>
      <w:r>
        <w:rPr>
          <w:rFonts w:ascii="arial" w:eastAsia="arial" w:hAnsi="arial" w:cs="arial"/>
          <w:color w:val="000000"/>
          <w:sz w:val="20"/>
          <w:lang w:val="en-US" w:eastAsia="en-US" w:bidi="ar-SA"/>
        </w:rPr>
        <w:t xml:space="preserve"> where the plaintiff was awarded $25,000;</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Ryan v. Klakowich</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2011 BCSC 835</w:t>
        </w:r>
      </w:hyperlink>
      <w:r>
        <w:rPr>
          <w:rFonts w:ascii="arial" w:eastAsia="arial" w:hAnsi="arial" w:cs="arial"/>
          <w:color w:val="000000"/>
          <w:sz w:val="20"/>
          <w:lang w:val="en-US" w:eastAsia="en-US" w:bidi="ar-SA"/>
        </w:rPr>
        <w:t xml:space="preserve"> where the plaintiff was awarded $25,000;</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Robinson v. Anderson</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2009 BCSC 1450</w:t>
        </w:r>
      </w:hyperlink>
      <w:r>
        <w:rPr>
          <w:rFonts w:ascii="arial" w:eastAsia="arial" w:hAnsi="arial" w:cs="arial"/>
          <w:color w:val="000000"/>
          <w:sz w:val="20"/>
          <w:lang w:val="en-US" w:eastAsia="en-US" w:bidi="ar-SA"/>
        </w:rPr>
        <w:t xml:space="preserve"> where the plaintiff was awarded $25,000;</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Pond v. Bucsis</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2013 BCSC 2001</w:t>
        </w:r>
      </w:hyperlink>
      <w:r>
        <w:rPr>
          <w:rFonts w:ascii="arial" w:eastAsia="arial" w:hAnsi="arial" w:cs="arial"/>
          <w:color w:val="000000"/>
          <w:sz w:val="20"/>
          <w:lang w:val="en-US" w:eastAsia="en-US" w:bidi="ar-SA"/>
        </w:rPr>
        <w:t xml:space="preserve"> where the plaintiff was awarded $31,300; and</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Gendron v. Moffitt</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2010 BCSC 1231</w:t>
        </w:r>
      </w:hyperlink>
      <w:r>
        <w:rPr>
          <w:rFonts w:ascii="arial" w:eastAsia="arial" w:hAnsi="arial" w:cs="arial"/>
          <w:color w:val="000000"/>
          <w:sz w:val="20"/>
          <w:lang w:val="en-US" w:eastAsia="en-US" w:bidi="ar-SA"/>
        </w:rPr>
        <w:t xml:space="preserve"> where the plaintiff was awarded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Concerning the plaintiff's claim for past income loss, the defendants contend that she must prove the loss of opportunity to earn income rather than any actual calculable income loss. They argue that this is a hypothetical exercise and must be guided by the plaintiff's historical and actual earnings before the accident. In this case, they say the plaintiff had virtually no earnings and cannot prove the hypothetical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Second, the plaintiff's claim for past income loss is limited to her net loss to the date the trial commenced. They contend that because Ms. Ma was on social assistance at the time of the accident, benefits that she received between then and the trial date would be deductible from any past income loss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defendants argue that future income loss is assessed after reconsidering her loss of earning capacity which is based on a future or hypothetical chance rather than on speculation. They submit the plaintiff must prove a real and substantial possibility of the future pecuniary loss attributable to the accidents and that, in this instance, Ms. Ma has failed to prove any real possibility existed before the accident that she would earn significant income absent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defendants contend that there is no medical justification for the claims for cost of future care set out in Mr. McNeil's report. The amount Ms. Ma claims is neither moderate nor fair in all of the circumstances. More importantly, absent a medical justification, the defendants say future care damages cannot be awarded. The defence points to a host of care recommendations made by Mr. McNeil which run counter to the medical advice Ms. Ma has received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With regard to special damages, the defendants concede that she may be entitled to an award for some items but claim that that amount should not exceed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Lastly, they suggest that the plaintiff's claim for $20,000 for housekeeping costs has not been proven. They contend that the plaintiff is not precluded from performing any of the activities of daily living and household tasks without the aids suggested by Mr. McNeil. They contend this position reflects the advice she received from her treating physicians and therapists.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The first question to be answered is whether Ms. Ma's testimony concerning the onset of her symptoms and continuing disabling pain can be accepted as a truthful report of her past and present symptoms. The evidence suggests that Ms. Ma does not suffer from symptoms connected to physical injuries caused by the MVAs that have not resolved. Rather, if her evidence is reliable and credible, psychological and psychiatric explanations for her ongoing condition might be linked to her involvement in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On the other hand, if she is exaggerating her symptoms or consciously or unconsciously feigning symptoms of pain, she is likely malingering or suffering from a factitious disorder. In either case, her complaints of pain could not be attributed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would not be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If I consider Ms. Ma is neither malingering nor suffering a factitious disorder, I must consider the defendants' contention that she has failed to mitigate her losses. However, if either of the former conditions are at work, I need not deal with the mitigation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The test for credibility and reliability is helpfully summarized by Madam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70"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2013 BCSC 895</w:t>
        </w:r>
      </w:hyperlink>
      <w:r>
        <w:rPr>
          <w:rFonts w:ascii="arial" w:eastAsia="arial" w:hAnsi="arial" w:cs="arial"/>
          <w:color w:val="000000"/>
          <w:sz w:val="20"/>
          <w:lang w:val="en-US" w:eastAsia="en-US" w:bidi="ar-SA"/>
        </w:rPr>
        <w:t xml:space="preserve">, aff'd </w:t>
      </w:r>
      <w:hyperlink r:id="rId528"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Madam Justice Adair made reference to Bradshaw and then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[130] Moreover, the assessment of a witness's credibility must reasonably subject the witness's story to an examination of its consistency with the probabilities of the surrounding conditions or circumstances. The real test of the truth of the story of a witness in such a case must be its harmony with the preponderance of the probabilities which a practical and informed person would readily recognize as reasonable in that place and in those circumstances. See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pp. 356-357.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For the reasons that follow, I am satisfied that Ms. Ma's claims that she has experienced and continues to experience extreme levels of disabling pain throughout her entire body are unreliable and not credible. Further, although I accept that Ms. Ma suffered injuries to her neck, back and left side because of the three MVAs, I do not accept her evidence concerning the extent and duration of those symptoms. I find that the plaintiff exaggerated some of these symptoms and feigned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I recognize that the plaintiff represented herself and did not have the skills or ability to present her case as effectively as counsel may have. Nonetheless, my findings concerning her reliability and credibility are not affected by her self-representation. These features of the plaintiff's case stand apart from the legal and strategic aspects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 accept the defendants' contention that Ms. Ma has not shown any objective sign of significant physical injury except for the soft tissue and ligament injuries to her cervical spine, the Russell lumbar spine, elbow and forearm, and thorax. She also had an abnormal lordosis at one time. Every medical diagnosis of her ongoing condition by physicians whose opinions were tendered at trial is dependent on the truthfulness of assertion Ms. Ma made concerning her pains. By and large, the opinions supporting a causal connection between Ms. Ma's presentation and the MVAs point to psychological or psychiatric explanations rather than physical injury as the cause of her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The opinions from the defendants' doctors and Mr. Enright are highly suggestive that she is suffering a factitious disorder or is simply malingering.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 at para. 8, Taylor J.A. set out the burden on a plaintiff who alleges that psychological problems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meet the onus which lies on a plaintiff in a case of this sort, and thereby avoid the 'ultimate risk of non-persuasion', the plaintiff must, in my view, establish that his or her psychological problems have their cause in the defendant's unlawful act, rather than in any desire on the plaintiff's part for things such as care, sympathy, relaxation or compensation, and also that the plaintiff could not be expected to overcome them by his or her own inherent resources, or 'will-power'.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This principle is apposite to the circumstances of Ms. Ma's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Yoshikawa v. Yoshikawa and Yu</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Yoshikawa</w:t>
      </w:r>
      <w:r>
        <w:rPr>
          <w:rFonts w:ascii="arial" w:eastAsia="arial" w:hAnsi="arial" w:cs="arial"/>
          <w:color w:val="000000"/>
          <w:sz w:val="20"/>
          <w:lang w:val="en-US" w:eastAsia="en-US" w:bidi="ar-SA"/>
        </w:rPr>
        <w:t>], Lambert J.A. summarized the principles to be applied in assessing claims of psychological injury. At paras. 12 and 13,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It is important to understand what is established and what is not established by the decision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I propose to set out a number of principles extracted from the reasons of Mr. Justice Taylor, for the Court, in the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case. The first point is a preliminary point and appears in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at p.133 under the heading "(a) The Background":</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the pain, discomfort or weakness is "real" in the sense that the victim genuinely experiences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remaining ten points are drawn from the part of the reasons headed "(b) The Basic Principles" at pp.134 to 137:</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his or her psychological problems have their cause in the defendant's unlawful act.</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act if they arise from a desire on the plaintiff's part for such things as care, sympathy, relaxation or compensation.</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wrongful act if the plaintiff could be expected to overcome them by his or her own inherent resources, or "will-power".</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them to end, their existence or continuation must be said to have a subjective, or internal, cause. (NOTE: I consider that this proposition must deal with the conscious mind, otherwise it seems to me to beg the question; see my first observation, later in this Part of these reasons.)</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could not say whether the plaintiff really desired to be free of the psychological problems, the plaintiff would not have established his or her case on the critical issue of causation.</w:t>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question of mitigation, or failure to mitigate, arises only after causation has been established.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ask whether a psychological condition such as "chronic, benign pain syndrome" is "compensable". Such a psychological condition may be compensable or it may not. The identification of the symptoms as "chronic benign pain syndrome" does not resolve the questions of legal liability or the question of assessment of damages.</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medical practitioners can answer, as matters of expert opinion, the ultimate questions on which these cases often turn.</w:t>
      </w:r>
    </w:p>
    <w:p>
      <w:pPr>
        <w:numPr>
          <w:numId w:val="5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Justice Spencer, at trial in the Maslen case, put the overall test quite correctly in these words: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[C]hronic benign pain syndrome will attract damages ... where the plaintiff's condition is caused by the defendant and is not something within her control to prevent. If it is true of a chronic benign pain syndrome, then it will be true also of other psychologically-caused suffering where the psychological mechanism, whatever it is, is beyond the plaintiff's power to control and was set in motion by the defendant's fault.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evidence of a "convincing" nature to overcome the improbability that pain will continue, in the absence of objective symptoms, well beyond the recovery period, but the plaintiff's own evidence, if consistent with the surrounding circumstances, may nevertheless suffice for the purpose.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am sure Mr. Justice Taylor did not consider that the "basic" principles which he set out exhausted all the possibilities for the application of principle to the difficult problems in these cases. The general principles which apply in relation to causation in law will apply to psychological injury as they apply to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 agree with the defence that the plaintiff's claim concerning the level of pain she has experienced after the accidents is wholly inconsistent with her appearance at trial and on the surveillance videos. Although the August 2011 video was taken almost five years before trial, the plaintiff's examination for discovery evidence, which was given within two weeks of the video, is telling. It contradicted the plaintiff's appearance in the video surveillance films. Her testimony and use of a walker at trial was consistent with her evidence at the examination for discovery but equally inconsistent with observations of her in the various surveillance videos. From these inconsistencies, I make an adverse finding about Ms. Ma's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Dr. Joy, Ms. Ma's psychologist, observed that her "pain ratings are somewhat higher than expected and unexpectedly uniform...I am uncertain why this is so". This observation gives me pause, especially because Ms. Ma did not show any evidence of the excruciating pain she said was occurring in the video surveillance or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 have also taken into account the plaintiff's failure and refusal to embrace the advice of her treating doctors and Ms. Richards. Ms. Ma was repeatedly instructed to not rely on aids including a walker, cane and wheelchair; Dr. Craig and Dr. Charkhsaz were very clear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Ms. Ma was advised by Dr. Craig to exercise and live a normal life. He noticed that she had become severely deconditioned due to her failure to do active exercises. The plaintiff chose to eschew these prescribed exercise plans. This suggests to me a conscious desire on her part to reject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Dr. Wozny, her initial treating physician, discussed the "hurt versus harm" approach; movement and exercise are important to her improvement. Again, she declined to accept this advice and, in doing so, reflected a willingness to accept ongoing or worsening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Ms. Ma's relationship with Ms. Richards and her angry rejection of Ms. Richards' professional advice reinforces my conclusion that she did not want to improve through activity. Ms. Ma was focused on passive modalities. It is also significant that Ms. Ma failed to attend for various diagnostic tests and specialist referrals designed to investigate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 am also concerned that Ms. Ma was prone to exaggerating. When Ms. Ma saw Dr. Craig and he asked her to rotate her neck, she was limited to a ten degree rotation. However, when she was not under specific observation, she rotated her neck 45 degrees while he took her history and examined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Additionally, Dr. Craig noted that 80 to 90% of people with soft tissue injuries of the sort complained of by Ms. Ma recover within a matter of weeks or months. In this regard, I find Ms. Ma's continued soft tissue injury complaints exaggerated.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Dr. Boyle's finding of her clasp-knife response and near collapse to axial compression, withdrawal to minimum tactile stimulation and painful focused behaviour offer further examples of the plaintiff's conscious exaggeration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Ms. Ma complained about memory and concentration problems but, when examined by Dr. Joy, achieved a perfect score on a memory test. When confronted with this anomaly, she altered her response and said that she only had a poor short-term memory despite being able to give detailed histories of her MVA-related injuries, complaints and treatments to all physicians who assessed her for trial. I find her claims of memory and concentration problems unbelievable.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 also find that the plaintiff was untruthful in describing her educational accomplishments in Burma. She asserted that she had a BA and resiled from that evidence under cross-examination. She then said she was destined for an honours degree and, although she did not have a BA, she was entitled to one. These assertions did not make sense and underscored the unreliability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Of greater concern is Ms. Ma's admission that when applying for government assistance in BC, she denied having a degree or diploma on two occasions. Her response when challenged was that she believed that on government paperwork, she was only required to describe degrees earned in Canada. I do not accept her response as truthful. Instead, I find it illustrative of Ms. Ma's willingness to tailor her representations to acquire benefits that might otherwise have been denied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In addition to exaggerating her claims, I find Ms. Ma's testimony to be reflective of her expectations that her descriptions of pain would be helpful in increasing her damages claim and augmenting for her personal financial gain. Ms. Ma conceded that she had written letters outlining her symptoms and injuries to her doctors and requested that they keep those letters to deal with ICBC. The nature of this correspondence suggests that Ms. Ma was pain focused and intent on maximizing her compensation claim rather than on following her doctors' advice concerning active rehabilitation and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xml:space="preserve">  Because this analysis deals with psychological or psychiatric conditions that Ms. Ma claims cause and/or perpetuate her symptoms, to succeed she must prove that she genuinely desires to be free of her of these psychological conditions. The Court's comment in </w:t>
      </w:r>
      <w:r>
        <w:rPr>
          <w:rFonts w:ascii="arial" w:eastAsia="arial" w:hAnsi="arial" w:cs="arial"/>
          <w:i/>
          <w:color w:val="000000"/>
          <w:sz w:val="20"/>
          <w:lang w:val="en-US" w:eastAsia="en-US" w:bidi="ar-SA"/>
        </w:rPr>
        <w:t>Yoshikawa</w:t>
      </w:r>
      <w:r>
        <w:rPr>
          <w:rFonts w:ascii="arial" w:eastAsia="arial" w:hAnsi="arial" w:cs="arial"/>
          <w:color w:val="000000"/>
          <w:sz w:val="20"/>
          <w:lang w:val="en-US" w:eastAsia="en-US" w:bidi="ar-SA"/>
        </w:rPr>
        <w:t xml:space="preserve"> illustrates the burden on her:</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could not say whether the plaintiff really desired to be free of the psychological problems, the plaintiff would not have established his or her case on the critical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 have found that Ms. Ma has failed to establish that she desired to be free of her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The opinions given by Dr. Boyle and Dr. Lamba are persuasive. In part I rely on Dr. Lamba's explanation concerning diagnosis of malingering or suffering and/or factitious disorder.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factitious disorder, the motive is interest - psychic and is geared primarily to assuming the sick role. But in malingering it is for external, tangible gains such as compensation or avoidance of unpleasant situations. It is difficult to attribute one or the other motivation in any given case. Additionally, in the context of litigation for personal injury, compensation is an inherent component and not unique to anyone plaintiff. Both types of motives may coexist in the case of fulfilled need for attention from the medical system and family while pursuing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I accept that his description of these conditions are apposite to Ms. Ma's presentation. Her evidence concerning the widespread disabling pain she claims that has existed since the accidents does not correspond with "the probabilities which a practical and informed person would readily recognize as reasonable in that place and in those circumstances"; see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pp. 356-357.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multiple examples of inorganic pain signs observed by the doctors, the extraordinary claims of ongoing extreme pain levels, the video surveillance, the lack of reliable and current medical evidence, and her overall lack of reliability and credibility weigh heavily against 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 find that Ms. Ma has not proven on a balance of probabilities that she suffers a chronic pain syndrome or fibromyalgia caused by the three MVAs. Based on all of the evidence, I conclude that the plaintiff claims that she suffers extremes of pain and discomfort throughout her body and which she says completely and permanently disabled her are animated by a factitious disorder or malingering.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Ms. Ma seeks non-pecuniary damages of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I have concluded that the plaintiff's on-going debilitating pain was not caused by the MVAs. However, she was injured each time her vehicle was struck by one of the defendants and liability is admitted for the collisions. As such, I must ascertain what, if any, non-pecuniary damages she should be awarded and this is dependent on determining what injuries were caused in the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The defendants contend that an assessment of Ms. Ma's non-pecuniary damages must be informed by the fact that her pre-existing life was subject to an array of contingencies that should reduce an award for Ms. Ma's non-pecuniary damages. It is trite to suggest that the plaintiff should be compensated only for the losses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defence say that, at best, Ms. Ma suffered minor soft tissue injuries that would have resolved within a few months of the three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Ms. Ma referred to cases concerning non-pecuniary damages where the Court accepted the plaintiff's claims of significant, long standing injuries and awarded damages in the order of $100,000. Those cases are not comparable to the case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xml:space="preserve">  The defendants relied on the cases referred to above. They suggest that an award for non-pecuniary damages should not exceed $20,000. They contend that the most helpful case by way of comparison is </w:t>
      </w:r>
      <w:r>
        <w:rPr>
          <w:rFonts w:ascii="arial" w:eastAsia="arial" w:hAnsi="arial" w:cs="arial"/>
          <w:i/>
          <w:color w:val="000000"/>
          <w:sz w:val="20"/>
          <w:lang w:val="en-US" w:eastAsia="en-US" w:bidi="ar-SA"/>
        </w:rPr>
        <w:t>Rosso</w:t>
      </w:r>
      <w:r>
        <w:rPr>
          <w:rFonts w:ascii="arial" w:eastAsia="arial" w:hAnsi="arial" w:cs="arial"/>
          <w:color w:val="000000"/>
          <w:sz w:val="20"/>
          <w:lang w:val="en-US" w:eastAsia="en-US" w:bidi="ar-SA"/>
        </w:rPr>
        <w:t>. In that case, the plaintiff alleged a number of physical and psychological injuries caused by an MVA. He had not worked since the accident and was not likely to return to work in the future. Griffin J. found that the plaintiff's abilities were observed to be greater than those seen when he underwent assessments and that he had exaggerated his physical limitations and symptoms following the accident. Griffin J. concluded at para. 92 that his perceptions of his abilities were unreliable. In the absence of reliable evidence that the plaintiff's broader range of symptoms were caused by the accident, she limited his award for non-pecuniary damages to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However, I find the facts present in this case unlike those contained in all the cases cited by the defendants. Ms. Ma was involved in three accidents for which liability has been admitted. Dr. Craig concluded that Ms. Ma suffered injuries in the car accidents. At the time of the latter accidents, she was also at a slight risk of a complicated recovery from her September 6, 2007 back injury. Although he opined that she had developed a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xml:space="preserve">  The defendants contend that there is little or no proof of injury caused by the MVAs to Ms. Ma. Additionally, they say her evidence was unreliable and cannot be relied on to award substantial damages. They contend that the Court should be informed by Southin J. (as she then was), who said, in </w:t>
      </w:r>
      <w:r>
        <w:rPr>
          <w:rFonts w:ascii="arial" w:eastAsia="arial" w:hAnsi="arial" w:cs="arial"/>
          <w:i/>
          <w:color w:val="000000"/>
          <w:sz w:val="20"/>
          <w:lang w:val="en-US" w:eastAsia="en-US" w:bidi="ar-SA"/>
        </w:rPr>
        <w:t>Le v. Milburn</w:t>
      </w:r>
      <w:r>
        <w:rPr>
          <w:rFonts w:ascii="arial" w:eastAsia="arial" w:hAnsi="arial" w:cs="arial"/>
          <w:color w:val="000000"/>
          <w:sz w:val="20"/>
          <w:lang w:val="en-US" w:eastAsia="en-US" w:bidi="ar-SA"/>
        </w:rPr>
        <w:t xml:space="preserve"> (unreported November 13, 1987):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litigant practices to deceive, whether by deliberate falsehood or gross exaggeration, the court has much difficulty in disentangling the truth from the web of deceit and exaggeration. If, in the course of disentangling the web, the court casts aside as untrue something that was indeed true, the litigant has only himself...to blame.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In this case, the defendants contend that Ms. Ma's lack of candour and reliability are of her own making and should reflect a very modest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Dr. Charkhsaz said that the plaintiff had not fully recovered from MVA #1 when MVA #2 happened. At that stage, she continued to have headaches, chest pain, shoulder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Dr. Boyle confirmed that Ms. Ma suffered myofascial strains without evidence of injury to her vertebrae or other problems. Her X-rays showed a flattening of the cervical lordosis. She had similar injuries to her lumbar spine and thorax and may have had a contusion to her elbow and forearm. He believed her recovery was delayed to a degree because she had been involved in three MVAs and was a female of relatively small stature.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I am persuaded that the plaintiff suffered injuries to her neck, elbow, mid, lower and upper back and left side as a result of the three MVAs. On the balance of probabilities, I am satisfied that she continued to suffer the effects of these injuries well into 2010 although not to the level and extent claimed by her. The physical injuries she complained of likely improved by the summer of 2010, when her signs of malingering became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xml:space="preserve">  Taking into account all of the evidence, I am satisfied that Ms. Ma's injuries were more long lasting than those evident in the cases cited by the defendant. Bearing in mind that each case must be decided on its own merits and taking into account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I conclude that the plaintiff will recover non-pecuniary damages of $35,000.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Awards for past wage loss are designed to address an injured person's capacity to earn income based on a balance of probabilities, as described in </w:t>
      </w:r>
      <w:r>
        <w:rPr>
          <w:rFonts w:ascii="arial" w:eastAsia="arial" w:hAnsi="arial" w:cs="arial"/>
          <w:i/>
          <w:color w:val="000000"/>
          <w:sz w:val="20"/>
          <w:lang w:val="en-US" w:eastAsia="en-US" w:bidi="ar-SA"/>
        </w:rPr>
        <w:t>Schellak v. Barr and Duplessis</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2003 BCCA 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Their other submission is that the trial judge based her assessment on the "real possibility" of income being at a certain level. The appellants submit that the standard to be met is a balance of probabilities and that the real possibility test is applicable to future events, but does not apply to past loss of income. The appellants are correct in that submission. I find it unnecessary to quote from passages confirming that proposition but for reference will cite Steenblok v. Funk </w:t>
      </w:r>
      <w:hyperlink r:id="rId342"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and Sales v. Clarke </w:t>
      </w:r>
      <w:hyperlink r:id="rId530" w:history="1">
        <w:r>
          <w:rPr>
            <w:rFonts w:ascii="arial" w:eastAsia="arial" w:hAnsi="arial" w:cs="arial"/>
            <w:i/>
            <w:color w:val="0077CC"/>
            <w:sz w:val="20"/>
            <w:u w:val="single"/>
            <w:shd w:val="clear" w:color="auto" w:fill="FFFFFF"/>
            <w:lang w:val="en-US" w:eastAsia="en-US" w:bidi="ar-SA"/>
          </w:rPr>
          <w:t>(1998), 57 B.C.L.R. (3d) 36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The evidence establishes that Ms. Ma was required to take one week off work after MVA #1. She had indicated to the newspaper companies that paid her that she hoped to take a leave of absence shortly before MVA #2. That leave request was motivated by her physical symptoms that began after MVA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The defendants contend that Ms. Ma's past wage loss is limited to $62.51 representing her net income after expenses for one week's labour given her evidence that her share of the paper delivery profit was $250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 conclude that, more likely than not, Ms. Ma's ability to work after MVA #2 was compromised by the injuries she suffered at that time. The evidence on the question of how long she would have been disabled from working due to MVA #2 is unclear. Nonetheless, I am satisfied that her capacity to deliver newspapers between May and December 2009 was limited and she likely lost some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Although MVA #3 was not very forceful, its effects were superimposed on her pre-existing symptoms and, more likely than not, affected her ability to deliver newspapers and to earn an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Although the evidence is not entirely clear, I accept that Ms. Ma's ability to earn income for one week in 2007 was impacted by MVA #1, and between May and December 2009 was impacted by MVA #2 and that her income from December 2009 until sometime in 2010 was impacted by MVA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I conclude that she is entitled to compensation for twelve months of lost work. Although the evidence is not entirely clear, I accept that Ms. Ma filed a 2008 income tax return claiming taxable income of $30,973 or $1720 per month. I inferred that she would share this income equally with Mr. Maung. Thus, based on the information contained in the Turnbull report and bearing in mind her earnings were shared with Mr. Maung I find that her loss for a period of one year is $10,300. This is an assessment not a calculation and Ms. Ma will recover $10,300 for her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Additionally, I accept that social assistance benefits paid prior to trial are a form of wage loss replacement and deductible from any award to be made; see </w:t>
      </w:r>
      <w:r>
        <w:rPr>
          <w:rFonts w:ascii="arial" w:eastAsia="arial" w:hAnsi="arial" w:cs="arial"/>
          <w:i/>
          <w:color w:val="000000"/>
          <w:sz w:val="20"/>
          <w:lang w:val="en-US" w:eastAsia="en-US" w:bidi="ar-SA"/>
        </w:rPr>
        <w:t>B.(M.) v British Columbia</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The $10,300 I have awarded will be subject to a deduction of the government assistance Ms. Ma was receiving at that time. She would have been entitled to earn some money without a government clawback. If the parties are unable to agree on the amount of social assistance benefits to be deducted from her past income, the parties can make further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xml:space="preserve">  A helpful summary of Court of Appeal authorities dealing with lost income earning capacities, including future wage loss, was set out by Madam Justice Arnold-Bailey in </w:t>
      </w:r>
      <w:r>
        <w:rPr>
          <w:rFonts w:ascii="arial" w:eastAsia="arial" w:hAnsi="arial" w:cs="arial"/>
          <w:i/>
          <w:color w:val="000000"/>
          <w:sz w:val="20"/>
          <w:lang w:val="en-US" w:eastAsia="en-US" w:bidi="ar-SA"/>
        </w:rPr>
        <w:t>Hinder v. Yellow Cab Company Ltd.</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2015 BCSC 2069</w:t>
        </w:r>
      </w:hyperlink>
      <w:r>
        <w:rPr>
          <w:rFonts w:ascii="arial" w:eastAsia="arial" w:hAnsi="arial" w:cs="arial"/>
          <w:color w:val="000000"/>
          <w:sz w:val="20"/>
          <w:lang w:val="en-US" w:eastAsia="en-US" w:bidi="ar-SA"/>
        </w:rPr>
        <w:t xml:space="preserve"> at para. 161: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assessing the Plaintiff's claim for past income loss/ past loss of capacity, Plaintiff's counsel referred the Court to the following summary of the law by Madam Justice Warren in </w:t>
      </w:r>
      <w:r>
        <w:rPr>
          <w:rFonts w:ascii="arial" w:eastAsia="arial" w:hAnsi="arial" w:cs="arial"/>
          <w:i/>
          <w:color w:val="000000"/>
          <w:sz w:val="20"/>
          <w:lang w:val="en-US" w:eastAsia="en-US" w:bidi="ar-SA"/>
        </w:rPr>
        <w:t>Sirak v. Noonward</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2015 BCSC 274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Sirak</w:t>
      </w:r>
      <w:r>
        <w:rPr>
          <w:rFonts w:ascii="arial" w:eastAsia="arial" w:hAnsi="arial" w:cs="arial"/>
          <w:color w:val="000000"/>
          <w:sz w:val="20"/>
          <w:lang w:val="en-US" w:eastAsia="en-US" w:bidi="ar-SA"/>
        </w:rPr>
        <w:t>], regarding past and future income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[168] Past income loss and future income loss are both properly considered as components of lost or impaired income earning capacity: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13; and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39, aff'd </w:t>
      </w:r>
      <w:hyperlink r:id="rId129"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[169] The principles governing the assessment of loss of income earning capacity claims have been articulated most clearly in judgments dealing with future losses: for example,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Meghji v. British Columbia (Ministry of Transportation and Highways)</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2014 BCCA 105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However, the same principles apply to both the past and the future. They include the following:</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Assessing damages for loss of income earning capacity typically involves the consideration of what actually happened in the past, what would have happened in the past had the impairment not occurred, what would have happened in the future had the impairment not occurred, and what will happen in the future given that the impairment has occurred. Again, the standard of proof relating to actual past events is a balance of probabilities, but simple probability is the standard applicable to hypothetical events which will be considered as long as there was or is a real and substantial possibility they would have or will occur: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,[1996] 3 S.C.R. 458 para. 27; and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29.</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must first establish an impairment to his or her earning capacity and a real and substantial possibility that the impairment has and/ or will result in a pecuniary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para. 32.</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done so, the plaintiff is entitled to compensation for the loss or impairment of his or her earning capacity as a capital asset: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8.</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process of valuing the loss or impairment is an assessment and not a mathematical calculation; however, mathematical, statistical and/or economic evidence may assist in the analysis and, if that is the case, the court should start by considering such evidence: </w:t>
      </w:r>
      <w:r>
        <w:rPr>
          <w:rFonts w:ascii="arial" w:eastAsia="arial" w:hAnsi="arial" w:cs="arial"/>
          <w:i/>
          <w:color w:val="000000"/>
          <w:sz w:val="20"/>
          <w:lang w:val="en-US" w:eastAsia="en-US" w:bidi="ar-SA"/>
        </w:rPr>
        <w:t>Schenker</w:t>
      </w:r>
      <w:r>
        <w:rPr>
          <w:rFonts w:ascii="arial" w:eastAsia="arial" w:hAnsi="arial" w:cs="arial"/>
          <w:color w:val="000000"/>
          <w:sz w:val="20"/>
          <w:lang w:val="en-US" w:eastAsia="en-US" w:bidi="ar-SA"/>
        </w:rPr>
        <w:t xml:space="preserve">, para. 53; and </w:t>
      </w:r>
      <w:r>
        <w:rPr>
          <w:rFonts w:ascii="arial" w:eastAsia="arial" w:hAnsi="arial" w:cs="arial"/>
          <w:i/>
          <w:color w:val="000000"/>
          <w:sz w:val="20"/>
          <w:lang w:val="en-US" w:eastAsia="en-US" w:bidi="ar-SA"/>
        </w:rPr>
        <w:t>Jurczak</w:t>
      </w:r>
      <w:r>
        <w:rPr>
          <w:rFonts w:ascii="arial" w:eastAsia="arial" w:hAnsi="arial" w:cs="arial"/>
          <w:color w:val="000000"/>
          <w:sz w:val="20"/>
          <w:lang w:val="en-US" w:eastAsia="en-US" w:bidi="ar-SA"/>
        </w:rPr>
        <w:t>, paras. 35-37.</w:t>
      </w:r>
    </w:p>
    <w:p>
      <w:pPr>
        <w:numPr>
          <w:numId w:val="6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done so, the overall fairness and reasonableness of the award must be considered, taking into account all "possibilities and probabilities, chances, opportunities and risks":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paras. 8-11.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The plaintiff was not regularly employed and did not earn any significant income until she obtained newspaper delivery work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the Court outlined the trial judge's task in a future income loss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(Q.L.) at para. 121, aff'd </w:t>
      </w:r>
      <w:hyperlink r:id="rId540"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(Q.L.). Guidance as to what factors may be relevant can be found in </w:t>
      </w:r>
      <w:r>
        <w:rPr>
          <w:rFonts w:ascii="arial" w:eastAsia="arial" w:hAnsi="arial" w:cs="arial"/>
          <w:i/>
          <w:color w:val="000000"/>
          <w:sz w:val="20"/>
          <w:lang w:val="en-US" w:eastAsia="en-US" w:bidi="ar-SA"/>
        </w:rPr>
        <w:t>Parypa v. Wickware, supra</w:t>
      </w:r>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(1985), </w:t>
      </w:r>
      <w:hyperlink r:id="rId343" w:history="1">
        <w:r>
          <w:rPr>
            <w:rFonts w:ascii="arial" w:eastAsia="arial" w:hAnsi="arial" w:cs="arial"/>
            <w:i/>
            <w:color w:val="0077CC"/>
            <w:sz w:val="20"/>
            <w:u w:val="single"/>
            <w:shd w:val="clear" w:color="auto" w:fill="FFFFFF"/>
            <w:lang w:val="en-US" w:eastAsia="en-US" w:bidi="ar-SA"/>
          </w:rPr>
          <w:t>1985 CanLII 149</w:t>
        </w:r>
      </w:hyperlink>
      <w:r>
        <w:rPr>
          <w:rFonts w:ascii="arial" w:eastAsia="arial" w:hAnsi="arial" w:cs="arial"/>
          <w:color w:val="000000"/>
          <w:sz w:val="20"/>
          <w:lang w:val="en-US" w:eastAsia="en-US" w:bidi="ar-SA"/>
        </w:rPr>
        <w:t xml:space="preserve"> (BC SC), </w:t>
      </w:r>
      <w:hyperlink r:id="rId343" w:history="1">
        <w:r>
          <w:rPr>
            <w:rFonts w:ascii="arial" w:eastAsia="arial" w:hAnsi="arial" w:cs="arial"/>
            <w:i/>
            <w:color w:val="0077CC"/>
            <w:sz w:val="20"/>
            <w:u w:val="single"/>
            <w:shd w:val="clear" w:color="auto" w:fill="FFFFFF"/>
            <w:lang w:val="en-US" w:eastAsia="en-US" w:bidi="ar-SA"/>
          </w:rPr>
          <w:t>26 B.C.L.R. (3d) 353</w:t>
        </w:r>
      </w:hyperlink>
      <w:r>
        <w:rPr>
          <w:rFonts w:ascii="arial" w:eastAsia="arial" w:hAnsi="arial" w:cs="arial"/>
          <w:color w:val="000000"/>
          <w:sz w:val="20"/>
          <w:lang w:val="en-US" w:eastAsia="en-US" w:bidi="ar-SA"/>
        </w:rPr>
        <w:t xml:space="preserve"> (S.C.) per Finch J. They include:</w:t>
      </w:r>
    </w:p>
    <w:p>
      <w:pPr>
        <w:numPr>
          <w:numId w:val="6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6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6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7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After more than 17 years of living and studying in Canada, she achieved limited educational success and relied on social assistance. Her desire to become a CGA was not grounded in reality. She did not complete a bookkeeping course at University College of the Fraser Valley. She failed one of two accounting classes at the BC Open University. She did not complete her diploma course at Granton and did not have a prerequisite degree required to achieve CGA designation. Even absent the accidents, it is unlikely she would have succeeded in becoming a CGA.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Ms. Ma was assessed by Dr. Magrega, who provided a psycho-vocational assessment of Ms. Ma. He concluded that her becoming a CGA was improbable in part because of her "sketchy work history". He noted that the accounting courses she was taking by correspondence at Granton did not appear to be accredited by the BC CGA Association. He said that it was not impossible for her to become a CGA, but improbable given her academic and 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Dr. Magrega commented on the plaintiff's psychological state in terms of her employability. His opinion was consistent with others; if her presentation and claims of widespread pain were accepted as accurate, her prognosis was guarded. He would recommend that she participate in a vocational rehabilitation program and chronic pain program. However, if she was malingering, or suffering from a factitious disorder, such treatments would not be helpful. Although she aspired to become an accountant and a realtor, I find she has not established on a balance of probabilities that she could achieve a role in either of these fields or that any career opportunities in these fields were closed to her because of injury caused by the defendants in these actions. I reiterate that Ms. Ma's continuing inability to perform the types of functions that would have been required in any of the careers she wished to pursue originates from her factitious disorder or malingering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xml:space="preserve">  Ms. Ma has not proven any future income loss claim based on the "real and substantial possibility" of a loss occurring, as set out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Her claim for compensation for future income loss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Ms. Ma claims $11,700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These costs include:</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$812.13 in prescription receipts commencing on September 9, 2007 up to and including February 25, 2010,</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medications beginning on October 4, 2007 and continuing to February 1, 2010 $85.22;</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podiatrist's fee of $89;</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services from April 15, 2009 to January 20, 2010 from Tri-City Psychology Services for $1,360;</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costs from September 12, 2007 to November 5, 2007 for $200;</w:t>
      </w:r>
    </w:p>
    <w:p>
      <w:pPr>
        <w:numPr>
          <w:numId w:val="7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Back in Motion charges from January 23, 2009 to November 19, 2009 of $495.</w:t>
      </w:r>
    </w:p>
    <w:p>
      <w:pPr>
        <w:numPr>
          <w:numId w:val="7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also seeks compensation for an initial chiropractic treatment fee of $50 from November 2007; and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treatments from November 7, 2007 to March 1, 2010 of $4,720.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Finally, Ms. Ma claims miscellaneous expenses including car rentals, an elbow support, a camera, a fitness membership, a pillow, a collar, a cane, a pool pass, a knee support, an ankle brace, a bath bench, a toilet seat, a shoe insert, a mattress pad, a wrist support, a scooter, a walker and a disabled parking pass. The total cost of these items is $2,288.97.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It is difficult to ascertain the date or time when Ms. Ma first began exaggerating or feigning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Notwithstanding the concerns I have with Ms. Ma's evidence, it is more likely than not that she was prescribed and consumed medications relating to pain caused by the accidents until spring 2010. In my view, as she was prescribed these medications and consumed them at Dr. Charkhsaz's direction, they are recoverable special damage expenses. Similarly, the medication charges of $85.22 are recoverable. There was no evidence to support the expense of a podiatrist, so I will not allow that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In my view, it was reasonable for Ms. Ma to take physiotherapy treatments and those expenses for September to November 2007 and the Back in Motion expenses for June 2009 to November 2009 should be paid. She will recover $695 for these. Similarly, some chiropractic treatments following MVA #1 are reasonable. I do not have any medical evidence supporting the chiropractic treatments that Ms. Ma claimed she attended twice weekly from December 2007 until March 2010. The total claim I will allow under this head is $4,720.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The plaintiff was advised against passive therapies by Dr. Wozny and Dr. Charkhsaz. Nevertheless, I accept that some of these expenses were reasonably incurred to deal with her soft tissue injuries. It is extremely difficult to assess the appropriateness of these charges; I find that a reasonable and fair assessment would be to award $3,400 which would compensate her for the cost of treatments from December 2007 to August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Care Costs and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Ms. Ma seeks an award of $409,000 to compensate her for her anticipated cost of future care and $20,000 for housekeeping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To be awarded future care costs, the plaintiff must show medical justification and objective evidence; see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73. They should also be reasonable or moderate and fair to both parties; see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The claim under this head of damages poses three challenges. First, because I have found that Ms. Ma is malingering and has deliberately misrepresented her symptoms, I cannot be satisfied that any of the expenses referenced in Mr. McNeil's report are medically necessary. Second, none of the plaintiff's treating physicians recommended any of the aids or services referred to in Mr. McNeil's report. Third, Mr. McNeil acknowledged that some of the expenses included in his recommendations are not properly described or were explicitly not recommended. Dr. Craig, for instance, was clear that he found Ms. Ma capable of performing all of her daily living and household tasks without using adaptive aids or assistance. Mr. McNeil said he simply disagreed with Dr. Craig. Mr. McNeil's recommendations were also faulty in the sense that they did not accurately estimate the minimum costs of care and contained incorrect assumptions, including about Ms. Ma's inability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Based on my conclusion on the lack of a connection between Ms. Ma's ongoing physical complaints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find she is not entitled to future care costs. She has failed to establish that those services and aids are medically necessary or that they are necessary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Ms. Ma also claims $20,000 to compensate her for future housekeeping costs. She relies on Mr. McNeil's opinion concerning her physical capacity and need for housekeeping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I have already determined that Ms. Ma's current and ongoing claims of extreme physical pain that disable her from performing any type of work or household chore are a result of malingering or a fictitious disorder and not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In addition, Dr. Craig was clearly of the view that Ms. Ma was not incapable of performing daily living activities. He did not support her need for homemaking assistance. In fact, none of the doctors who examined Ms. Ma recommended that she be relieved of homemaking chores because of her debilitating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Her claims for future housekeeping expenses are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Ms. Ma will have judgment for the following:</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$35,000;</w:t>
      </w:r>
    </w:p>
    <w:p>
      <w:pPr>
        <w:numPr>
          <w:numId w:val="8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$10,300;</w:t>
      </w:r>
    </w:p>
    <w:p>
      <w:pPr>
        <w:numPr>
          <w:numId w:val="8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$3,400; and</w:t>
      </w:r>
    </w:p>
    <w:p>
      <w:pPr>
        <w:numPr>
          <w:numId w:val="8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will be at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Maung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Mr. Maung is a 58-year-old man who lives with his sister, Ms. Ma, in Coquitlam. He is single and came to Canada from Burma approximately 25 years ago. He was born with a congenital deformity to his hand/fingers. He did not complete the equivalent of Grade 9 Education in Burma; Grade 10 is the last year of secondary school in that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After school, he worked with his father for three or four years raising chickens.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Following that, he took work near Rangoon in an agricultural undertaking where he grew betel leaf, a staple food for Burmese people. After approximately two years in the betel leaf business, there was an uprising in Burma which caused him to migrate from Burma to Thailand with his family; he lived in Thailand for two years before coming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On arriving in Canada, he began living in Abbotsford and within days obtained employment. He could not recall where he worked but remembered being with his first employer for approximately three months before moving on to a position in an Abbotsford restaurant. In this restaurant, he was a dishwasher and a general labourer. He remained employed there for approximately one-and-a-half years. He was laid off and worked at another restaurant where he maintained employment for one year before being laid off. He took a job picking raspberries during the summer of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In and around that time, Mr. Maung enrolled in an English as a Second Language course which he pursued two days per week while working at a senior's home doing cleaning and yard work. His hours of work were reduced to one day per week after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He pursued employment opportunities through an agency and submitted résumés in search of factory work. He maintained some irregular employment but in the absence of consistent work, began receiving Employment Insurance benefits. Once those benefits were exhausted, he turned to the provincial welfare system for support. After taking advice from a physician, he applied for and was granted a disability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Prior to 1995, he and his younger brother worked for two weeks on a chicken farm but Mr. Maung has been unable to find any other employment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In approximately 1995, Mr. Maung and his family moved from Abbotsford to Coquitlam. He gave his evidence at trial through a Burmese interpreter and appeared to have little facility in the English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Between 1995 and 2007, he did not have any employment or employment income until he began delivering newspapers with Ms. Ma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Mr. Maung described himself as a normal person with a strong desire to work but a deformity in his fingers that limited his ability to work. In British Columbia, he learned he could apply for disability support but did not want to take that assistance, preferring to find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Over time, he continued searching for employment and was referred to a disability counselling centre and training. As part of his training in this program, he worked as a grocery packer for Save-on-Foods for one month. When the program was complete, he applied unsuccessfully to keep working at Save-on-Foods.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He said he also worked briefly at another grocery store near his home where he was paid in cash at $6.00 per hour stocking shelves; this job ended and he has been unable to find work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In 2003-2004, he took some other training which did not result in his finding any long term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Not long after he arrived in Canada Mr. Maung obtained a driver's license and began driving. However he was in an accident and as a result of claims and/or penalties incurred because of that accident he has lost his license and has not been qualified to drive for over 20 years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Between 1999 and 2003, he stayed at home and took on some responsibility for looking after his elderly parents while briefly working at a grocery store for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In 2007, his sister found a business opportunity transporting and delivering newspapers and flyers for two local newspaper organizations. One company was Tri-Cities News and the other was Post-Media Network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The delivery component of this work involved him and Ms. Ma collecting bundles of newspapers from a central location and distributing them to others who would deliver them to the intended recipients. The work involved lifting fairly heavy bundles of paper from the central site and loading them into their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The carrier component of this work involved him and his sister delivering single items door-to-door. When they commenced this business, the plaintiff and his sister worked three days per week for the Tri-Cities News and two days delivering papers for Post-Media Network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Their work routine began at 7:00 a.m. to 4:00 p.m. with Mr. Maung and his sister loading large piles of newspapers into their car and delivering them at a central distribution location. They drove to the drop off locations and unloaded the bundles where directed.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After these deliveries were finished, they worked from between 4:30 p.m. until 9:00 or 10:00 p.m. delivering individual papers to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Initially, Mr. Maung could not recall how much they earned from this business but they divided the earnings equally. Later he said he earned about $250 $350 per month. He believes he did this work for more than two years before MVA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He did not report any income to Canada Revenue and his evidence on this point contrasts with Ms. Ma's evidence that she earned $35,000 from the newspaper business during 2007 and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 and Post Accident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Before MVA #2, Mr. Maung described himself as a healthy and diligent worker. He could carry 40-60 pounds and jogged about six miles twice per week. His memory was good and he was able to memorize phone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He was able to perform house chores, lawn mowing, cooking, cleaning and yard cleaning. He enjoyed bike riding, soccer, jogging and staying active. Before the accident Mr. Maung had a cataract removed and had been prescribed corrective lenses. He had sinus surgery after the accident and surgery to remove a boil from the top of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On day of the accident he went to a doctor's office and reported that his head hit the seat belt loop on the right side, his right elbow and right knee hit the side of the car. He was told to return to the doctor in another 15 days. When he next met Dr. Kriik he said he had pain in his head, lower back, rib cage and his right side, hand, leg, headaches, dizziness, shoulder pain, calf and ankle pain. He said he was limping because of the right leg pain. He was eventually referred to Dr. Siu who became his family doctor. He said he met with Dr. Kriik four to five times before being referred to Dr. Siu.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He said that about one month later he started to lose his hair and shaved it all off which revealed a bump caused by an unrelated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He said Dr. Siu requested his medical records from Dr. Kriik and recommended exercises and physiotherapy. At this point he had a lawyer and a doctor, both of whom approved of him taking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He remembers visiting a physiotherapist two times per week. These treatments caused a reduction in his pain but for a limited duration. He saw his physiotherapist for more than one year. He said that his aquatic program was discontinued because his lawyer had left him and the doctor told him "since you have no lawyer you have no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He said that after one year, he was told that the physiotherapy was no longer helping and that he should pursue another treatment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He spoke to his family doctor and his lawyer and eventually went to an aquatic exercise program. At the end of his exercises he would sit in a Jacuzzi for 15 minutes and would have some relief from pain but the pain would return. He was attending the pool program one to two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He said his doctor prescribed five exercises for him to do and he believed they were helping him. At this point, he ceased to be represented by a lawyer and there was no one to pay for his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He said he has had no income support or therapy that has helped since that time and his only treatment has been medications. He does not remember the medications he has been 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He believes that because of the collision and the medications he has taken, his eyesight has been reduced such that he can now only see clearly five to seven feet away. He reported this problem to Dr. Siu and his medications were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Even though his medications have been reduced, he has been in constant pain, suffering headaches and dizziness and his memory has worsened. Dr. Siu told him to do exercises twice per week for ten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He wants to be diligent but since the accident the pain has stopped him from moving around. He is always in pain. He has lost his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He was directed to have X-rays taken but could not recall what parts of his body were assessed; he had a belief that they X-rayed his entire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Next, he was sent to see a neurologist named Dr. Alroughani but was never informed of the results of that examination. He testified that he kept seeing Dr. Kriik once every two months but was not informed of the results of these examinations. His sister would frequently interpret for him when he visited the doctor but he was not provided the results of examinations or tests. His memory concerning sessions of medical practitioners was so weak as to be unhelpful.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He said that every physician advised him to return to physical exercise and activity. He was questioned about seeing a hand specialist, a neurologist, orthopedic surgeon and a rheumatologist but could not recall any of their names or details. He recalled seeing two or three doctors at the request of ICBC but could not recall their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He could not recall cancelling an appointment with a rheumatologist or refusing to submit to blood tests requested by a rheumatologist.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Mr. Maung testified that before the accidents, he lived a normal life, possessed a strong desire to work and was capable of working. He was involved in a 2001 MVA which he acknowledged only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He said he hit the right side of his head on the seatbelt and his right elbow and right knee on the side of the car. He visited a doctor that day and said that he showed the doctor a large scar on the right side of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He eventually testified that he had blood and burning pain on his head but did not mention this to his doctor. At another point he testified that he had lost consciousness at the time of the accident; when he was questioned about the records of Dr. Medvedev reflecting that he said he had not lost consciousness. On further cross-examination he said "I don't remember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He was referred to physiotherapy but felt he needed his lawyer's approval before taking that treatment. He testified that following the accidents, his weight increased from 120 to 130 pounds to 150 to 155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After MVA #3 Mr. Maung had terrible low back pain. He could not raise his right arm and his left arm is painful. He can only walk for 15 minutes; after that he gets week, tingling and numb.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After MVA #3, Mr. Maung said that, although Dr. Siu was his family doctor he went to see Dr. Kriik and she prescribed some medicine. Dr. Kriik's records show that he was treated in her clinic on December 19, 2009 and then December 23, 2009. He said that he saw Dr. Siu at that time although Dr. Siu saw Mr. Maung for the first time on November 9, 2010. On this point, it is clear that Mr. Maung's recollections are badly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He said he informed Dr. Siu about a scar and swelling on his head. Ultimately this was a non-accident related condition that was surgically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He complained that he started suffering headaches and became quite forgetful. His eventually lost most of his hair and shaved off the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He said that since the accident he cannot read for more than three minutes; he gets tired and sleepy and reading documents makes him confused. He has intense leg pain, unstable balance, intense right leg pain, pain radiating from his lower back to his left leg, numbness, and dizziness, heaviness in his head, headaches and change in vision. He cannot raise his right arm very well and his left arm has become painful. He cannot walk for more than 15 minutes before his leg becomes numb. He has tingling, weakness and numbness in his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From time to time, Mr. Maung reported to his doctors that he was suffering from fibromyalgia. He said that his sister communicated this to his doctors because she knew about such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He is not able to perform household chores, heavy lifting or grocery shopping. He is in constant pain and has lost his mobility and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Vivian Kriik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Mr. Maung relied on two medical - legal opinions in support of his damages claim. The first came from Dr. Vivian Kriik a family doctor at Care Point Medical Centre. In her October 5, 2011 report, Dr. Kriik outlined the facts and assumptions used in preparing the opinion. These included Care Point Medical Office records, a physical examination of the plaintiff, clinical records from Dr. Siu from January 10, 2011 to July 5, 2011 and phone calls to the Royal Columbian Hospital's medical imaging unit and to Dr. M. Ramsden's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She also listed a number of documents she reviewed, including consultation reports from Dr. R. Alroughani (neurology) dated October 8, 2009 and a report concerning his February 5, 2010 assessment; a consultation report from Dr. Kenneth Hill (orthopedics) dated November 1, 2009; a consultation report from Dr. E. Dawson (physical medicine and rehabilitation) dated April 8, 2010; a consultation report from Dr. Bertrand Perry (orthopedics) dated August 24, 2010; a consultation report from Dr. George Medvedev (neurology) dated December 8, 2010; a consultation report from Dr. Michael Ramsden (rheumatology) dated March 7, 2011, a low heat physiotherapy report from Jeff Kozniuk (physiotherapist); various X-ray reports, CT scans, typed notes provided by Ms. Ma and medical information forms dated May 6, 2009 and December 23,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Dr. Kriik's report is a chronicle of 35 visits between May 6, 2009 and September 3, 2011. She observed that Mr. Maung declined a referral to the Canadian Back Institute because it was too far away. She also noted that in June 2009 he had found a regular family doctor but he continued to see her regularly. In August 2009 he asked for a referral to the Orion physiotherapy clinic. In February 2010, Mr. Maung had requested a prescription for the pain medication Gabapentin.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In September 2009 he presented with new complaints being pain in his forehead, eyebrow and jaw. There was also a dark area over his temple that he described to her. In October 2009, Dr. Kriik ordered blood tests for Mr. Maung; those tests were never done. On November 9, 2009 she formed the opinion that Mr. Maung had post-concussion syndrome. In May 2010 she observed a lump in his left hand and ordered an X-ray.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In her report, Dr. Kriik referred to all of the reports from physicians Mr. Maung was referred to between 2009 and 2011.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accidents, he has experienced significant subjective widespread pain, sleep disturbance and memory problems. As he had no such problems prior to his accidents, it is likely that the accidents caused his symptoms. However, other conditions such as a thyroid dysfunction or inflammatory spine disease could also cause or contribute to his chronic pain and have not been ruled out. I am not aware of any post-accident trauma or other factors that could impact on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Dr. Kriik did not deal with or explain the possible connection between thyroid dysfunction or spine disease and his chronic pain. She did not see Mr. Maung on the day of the accident but reviewed clinical notes from the attending physician who noted that Mr. Maung felt blind and dizzy with pain in his neck, shoulder, arm, right elbow, back right knee and chest. He later developed headaches, blurred vision, dizziness, plus pain in his neck, shoulder, arm, elbow, back, chest and knee with symptoms of anxiety, mood swings, decreased memory and fear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This aspect of Mr. Maung's evidence raises concerns about his reliability. He testified that before the accident he was healthy and not suffering any physical problems. He went to the Care Point Medical Centre within hours of MVA #2 and reported to the doctor that he had this wide range of symptoms throughout his body but most significantly that he had developed "anxiety, mood swings, decreased memory and fear of driving." Mr. Maung lacked any credibility in suggesting that within hours of MVA #2 he could have developed anxiety, mood swings, decreased memory or fear of driving; mood swings decreased memory and anxiety would have developed in the brief time between the collision and the doctor's assessment. I conclude that Mr. Maung was simply fabricating and exaggerating those symptoms, and quite possibly the others, when he was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In my view, Dr. Kriik's opinion about the cause of the plaintiff's symptoms is weakened by the fact that the tests she recommended were not done when she prepared her report. She did not give an opinion on what differential diagnosis, if any, might have been influenced by other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Additionally, Dr. Kriik's opinion is unsupported by any analysis of his self-report or objective signs of injury. She depended on accuracy and truthfulness of Mr. Maung's assertions and where his reports are unreliable, her report becomes unreliable. When Mr. Maung was assessed by two neurologists, two orthopedic surgeons, a rheumatologist and a physical medicine and rehabilitation specialist between October 2009 and March 2011 none suggested to Dr. Kriik that he suffered from any neurological injury or from chronic pain syndrome; except for Dr. Nagaria's suggestion of likely post-concussion syndrome. This latter suggestion was never confirmed. Essentially, all but Dr. Nagaria's examinations appear to have found him to be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It must be remembered that Mr. Maung's claim of an injured head is not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Nevertheless Dr. Kriik diagnosed Mr. Maung's symptoms as having been caused by the accidents. This was based largely on the temporal connection between the accidents and Mr. Maung's report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xml:space="preserve">  Making diagnoses from temporal connections alone can be problematic because the temporal connection between the trauma and the symptom is not always reliable. Mr. Justice Ehrcke addressed the issue of relying on a temporal connection between an event and an injury to establish causation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After the accidents, Mr. Maung told Dr. Kriik he was unable to work as a newspaper carrier and was limited in other activities because of pain he associated with the MVAs. She recommended he undergo active rehabilitation, but he did not. She said that his pain had not improved and had developed into chronic pain syndrome, which can be difficult to treat. She also commented on his ability to work and perform daily living activities. She recommended ongoing aquatic exercises and a pain management clinic. She had also recommended blood tests to rule out any other etiology that might contribute to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On balance, I am not satisfied that Dr. Kriik's opinion can be relied on as proof that the MVAs caused all of the symptoms Mr. Maung has complained about since his first visit to her. I accept that her description of "chronic pain syndrome" was only a way to explain his complaints of long-standing pain in his body rather than a psychiatric diagnosis of chronic pain syndrome. Her opinion depends on the temporal connection between the accident and those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In light of all of the other evidence I conclude there is an insufficiently reliable basis on which to conclude from Dr. Kriik's opinion that Mr. Maung's symptoms were caused by the MVAs.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Kevin Siu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Mr. Maung also relies on a November 13, 2015 report from Dr. Kevin Siu. Dr. Siu completed his family medicine residency in 2008. Mr. Maung was accepted as a family medicine patient by Dr. Siu on November 9, 2010. His report chronicles each visit he had with Mr. Maung between 2009 and October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Additionally, a number of sources informed Dr. Siu's report including consultation notes from Dr. Medvedev (neurologist) from December 8, 2010 and February 7, 2013; consultation notes from Dr. Mohammad Nagaria (neurologist) from September 20, 2011; consultation notes from Dr. Michael J. Boyd (ophthalmologist) from September 19, 2014; Dr. Kriik's reports and notes from November 24, 2008 to November 6, 2010; a personal written update of symptoms prepared by or for Mr. Maung; various CT scans and other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Mr. Maung had no memory of seeing Doctors Dawson, Perey, Hill, Medvedev or Ramsden. He simply could not recall the details of his medical treatment but confirmed that his sister would translate for him when he was seeing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While these sources purportedly informed Dr. Siu's opinion, the records included in Exhibit 2 contained only Dr. Medvedev's February 7 note and Dr. Nagaria's September 20, 2011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At trial, Dr. Siu discussed Dr. Nagaria's September 20, 2011 statement that the most likely diagnosis was post-concussion syndrome. In my view, Dr. Siu did not accurately reflect the full substance of Dr. Nagaria's opinion, which provided an equivocal diagnosis. Dr. Nagaria had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patient's history and clinical signs and symptoms, It is important to rule out the following differential in his history.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Rule out post-concussion syndrome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rule out cervical radiculopathy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rule out post-concussion headache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most likely diagnosis: post-concussion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Dr. Nagaria found the plaintiff's neurologic examination normal. He also recommended blood work to rule out infectious or inflammatory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In 2013, Dr. Siu referred Mr. Maung back to Dr. Medvedev because of his poor follow-up with Dr. Nagaria. Dr. Siu also noted that Mr. Maung refused to undergo recommended blood tests in February and March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Dr. Siu observed from the ophthalmologist's report that Mr. Maung had been given eyeglasses to correct his astigmatism but was left with chronic problems with "floaters". Mr. Maung was seen by an ophthalmologist, Dr. Boyd, who removed a cataract from one of Mr. Maung's eyes after MVA #1. He eventually complained that Dr. Boyd had put the wrong lens in his eye during his cataract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In his report, Dr. Siu concluded that Mr. Maung suffered from post-concussion syndrome, chronic pain syndrome and adjustment disorder caused by the accidents. He noted Mr. Maung's complaints of headaches, memory problems, pain all over, back pain, stiffness, blurry vision, stress and a depressed mood. He concluded that Mr. Maung's prognosis for the condition was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The defendants challenge Dr. Siu's opinion in part because it is based on an uncritical acceptance of all of Mr. Maung's complaints. A large portion of Dr. Siu's opinion letter simply recites facts without providing much of his own opinion. His opinions appear to have been derived in large part from his review of other doctors' opinions or summaries of other people's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For example, Dr. Siu relied on Dr. Kriik's opinion that the accidents caused Mr. Maung's symptoms; however he did not speak with her about that opinion. He summarized Dr. Kriik's opinion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Kriik believes the accidents were the cause of Mr. Maung's symptoms. Subsequent tests have ruled out thyroid dysfunction or inflammatory spine disease is the cause of his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Dr. Siu actually misquoted Dr. Kriik; she said "his symptoms were 'likely' caused by the accidents" and "however, other conditions, such as a thyroid dysfunction or inflammatory spine disease, could also cause or contribute to his chronic pain and have not been ruled out." In this sense, Dr. Siu made Dr. Kriik's opinion sound more unequivocal than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Dr. Siu did not consult with Dr. Kriik or her notes regarding her care of Mr. Maung. He simply relied on Dr. Kriik's summary which was flawed and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Additionally, Dr. Siu did not have a Burmese interpreter when he assessed Mr. Maung; all of his information about him came from Ms. Ma who interpreted for her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At trial, Mr. Maung said he had a poor memory. He seemed to rely, in part, on doctors' records of his complaints in support of his claim for damages. This raises concerns about the reliability of Dr. Siu's opinion to the extent that it depends on the truth and accuracy of complaints that Mr. Maung cannot remember or confirm.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At his first meeting with Mr. Maung, Dr. Siu was told the patient suffered from fibromyalgia. There is no indication where this diagnosis came from. It may have come from another physician or from Ms. Ma who was studying chronic pain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Dr. Siu overlooked Dr. Ramsden, a rheumatologist, whose opinion was the most important in considering inflammatory disease of the joints or tissues. Dr. Siu conceded that a physiatrist would have the expertise to consider patients with musculoskeletal injuries and pain. In fact, Mr. Maung had been referred to a physiatrist, Dr. Dawson, but Dr. Siu had not obtained a copy of Dr. Dawson's report. Initially he said it was difficult to get reports from Dr. Dawson. Later, he conceded he did not try to get the report from Dr. Dawson or from Dr. Kriik.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In September 2011, Dr. Siu had noted that the plaintiff's symptoms might have been caused by the medications he had prescribed. He acknowledged prescribing Mr. Maung with caffeine laden Tylenol 3 pills accompanied by sleeping pills when Mr. Maung was having sleeping difficulties. He conceded that this combination of medications may have been counterproductive because of the opposing effects each might have on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The defendants relied on opinions from Dr. Mark Boyle, orthopedic surgeon, Wayne Enright, work capacity evaluator and Dr. Rakesh Lamba, psychiatrist.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Dr. Boyle assessed Mr. Maung on August 7, 2012. His opinion dated August 13, 2012 included ACL 19 prepared August 6, 2009, a consultation report of Dr. Alroughani from August 8, 2009, a consultation report of Dr. Hill dated November 1, 2009, a consultation report of Dr. Perry dated August 24, 2010, a consultation report of Dr. Medvedev dated December 8, 2010, a consultation report of Dr. Ramsden, rheumatologist, dated March 7, 2011, ACL 19 prepared by Dr. Kriik January 8, 2011 and August 21, 2011. He also had clinical records including MSP printouts, farming and patient history, Care Point Medical Centre records, notes and referrals, clinical records from Dr. Kriik from May 6, 2009 to January 8, 2011, various CT and X-ray reports, clinical records of Dr. Siu, physiotherapy records, rehabilitation records and other doctor's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Dr. Boyle observed that the plaintiff's CT scan was normal but that one of the neurologists had discussed post concussive symptoms. He said the two accidents had caused myofascial strains and there would not have been any loss of tissue integrity. There was no evidence of injury to his vertebrae discs or other neurological compromise. He had some pre-existing spondylosis that was not affected by the car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Dr. Boyle opined that Mr. Maung's physical injuries would resolve over time but observed that others had described a freer range of motion when Mr. Maung was not under observation than when he was responding to commands.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He recommended that Mr. Maung's myofascial strains in the lumbar spine be treated with stretching, strengthening and core stabilization exercises. He could benefit from anti-inflammatory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Mr. Maung may have suffered a contusion of his right knee but there was no pathology or injury to the internal ligaments. Concerning his right ankle, Dr. Boyle saw no evidence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Lastly, Dr. Boyle said Mr. Maung displayed: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plethora of non-organic signs. He moaned and groaned throughout the examination. He withdrew to minimal tactile stimuli. He complained of pain at a site remote from the examination. He demonstrated a stocking and glove - like global diminished sensation in the right knee of his body that did not conform to any neuro- anatomical distribution. He had a clasp - knife weakness pattern [that] he had differing results on repeated testing. He showed a much freer range of motion when unobserved than he did upon command.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Dr. Boyle said that the non-organic signs were very significant and called into the question the veracity of his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Concerning Mr. Maung's disability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regards the first MVA, a period of disability on the order of four - six weeks at most would be considered appropriate. I returned to work thereafter would be possible without restrictions.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regards the second MVA, the period of disability would not be any longer. I returned to his work thereafter would be possible without long-term sequelae. This takes into consideration the possible additive effects of two MVAs.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same timeframe can be said to be appropriate for his leisure and household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He recommended that Mr. Maung be counselled by his family doctor regarding the inappropriate nature of his behaviour and encourage him to return to a normal lifestyle.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Rakesh Lamba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Dr. Lamba examined Mr. Maung on August 10, 2012. He said Mr. Maung did not suffer from a major mood disorder such as depression. He also said Mr. Maung does not meet the diagnostic criteria for post-traumatic stress disorder although he demonstrated some features of driving phobia.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He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one accepts that he experiences pain in the manner he describes, then he meets the criteria for chronic pain, with psychological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He reviewed the features of Mr. Maung's pain symptoms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the above-described unusual presentation of pain and memory problems affect dishes disorder and/or malingering become considerations in the differential diagnosis for Mr. Huang (Maung) in addition to the chronic pain disorder with psychological features mentioned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He explained that the difference between people with a factitious disorder and malingerers is their underlying motivation for feigning symptoms. Those with factitious disorder are motivated to adopt sick roles because they want to receive care and attention brought about by that role. Malingerers are motivated by secondary gain, either in the form of compensation or being excused from other duties. Both types of motivations can exist in the same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Factitious disorder and malingering are caused by a patient's conscious fabrication of symptoms. Treatment involves regular support from a patient's family doctor to encourage the patient to return to a normal routine and focus on increasing his or her activity and self-sufficiency. By contrast, if a patient suffers from genuine chronic pain disorder, that patient will have a guarded prognosis and may need pain control medications and antidepressants.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Wayne Enright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Mr. Enright performed an assessment of the plaintiff's functional abilities and limitations on September 10, 2012. Mr. Maung's self-reports of his function were not consistent with clinical measures of his functional abilities and limitations. Mr. Maung demonstrated significant non-organic components during his assessment including increased pain on axial loading. During the testing, Mr. Enright found inconsistent behaviours between tests administered while Mr. Maung was distracted as opposed to those when he was acting under instructions. Mr. Enright concluded that Mr. Maung possessed greater functional capabilities than he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Overall, Mr. Maung demonstrated low-end inconsistent effort during the assessment. As a result, Mr. Enright described his evaluation's results as unreliable. In the result, Mr. Enright was not able to determine Mr. Maung's work capacity or his ability to perform his job as a newspaper carrier.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Maung's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Mr. Maung suggested that his non-pecuniary damages be assessed at $100,000. He also said that he lost $110,524.51 in future earnings based on the assumption that he would have earned $13,396 per year but for the accident. Finally, he said that his future care costs were in the order of $109,800 and that he needed $20,000 to assist with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He said that his main complaint is dizziness from his head injury. He believes that the trauma to his head caused deep pain in his head. He concedes that surgery performed on his head was not caused by the accident but believes it was "deeply related to the accident". His doctor has told him that the lump on his head was a mole and not connected with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Mr. Maung's second concern is his blurred vision. He argued that he was struck on the head in MVA #2 and suffered blurred vision. He said that before the accident, he could read but since the accident, his blurred vision is such that he cannot see the words on the 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His third concern is his low back, knee and leg pain. He argued that his low back pain prevents him from twisting or bending. He has pain at the back of his neck which means he cannot look down or turn his neck without extreme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He argued that before the accidents, he was able to help around the house but is now precluded from his pre-accident work and performing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He said that because he has been on medications since the accident, he has not had any recent physiotherapy treatments. He believes that if he received physiotherapy treatments, he could discontinue his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Defence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The defendants argue that Mr. Maung has advanced claims that are untrue or unrelated to the car accidents in an attempt to unfairly enrich himself. They contend that his claims of debilitating joint injuries have not been diagnosed by an orthopedic specialist and seem to have unbelievably resulted in pain throughout his entire body. They also point out that his age-related complaints such as thinning hair, blurred vision and loss of strength and memory were not caused by injuries suffered in the two MVAs in which he was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They note that since coming to Canada from Burma in 1990, Mr. Maung has worked in very limited capacities. He has received provincial government support as a disabled person from 1993 to the present. Although he has held some employment and applied for work in or around 2004, the documents presented at trial reflected practice applications that were part of an employment workshop and not actual applications. This program was for individuals with permanent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The defendants argue that Mr. Maung was either untruthful with social assistance authorities or with the Court concerning his ability to work before the accidents. He said that his hourly income from the newspaper business was in the order of $1.37 per hour. The defence contend that Mr. Maung did not have much capacity to work before the accidents and did not lose any capacity as a result of the injuries he might have suffered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The defendants also claim that Mr. Maung was deceitful in reporting his living arrangements to the social services authorities. He declared a residence with a relative that disentitled him to receive the housing component of his benefit and artificially changed that address designation notwithstanding that he still lived with his father and would not have received the housing component of his benefit had he disclosed that he lived in his father's home. His explanation was that there was insufficient room in his mother's house and so he would sleep at his father's house but continued to be the technical tenant of his mother's house. Overall, his explanation lacked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The defendants argue that Mr. Maung was untruthful in describing his pre-accident health as excellent. At the time of the accident, he was awaiting cataract surgery, had been prescribed spectacles, had suffered a spear in the area of his right armpit, had a significant birth defect in the fingers of both hands which were disabling, was suffering a sinus defect and had a piece of metal embedded in his hand. They also contend that Mr. Maung exaggerated his pre-accident physical capacity and weight. They contend that his assertion at trial that his pre-accident weight was 120 to 130 compared with his post-accident claim of a weight increase to 150 pounds was simply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The defence asserts that Mr. Maung's reporting of his physical injuries after the accidents is equally unreliable. In particular, he did not report any blows to his head immediately after the accidents. He had an unrelated dermatological condition on his head that required corrective surgery; this was not caused by the accidents although he harbours a belief that the two were connected.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The defence contends that Mr. Maung's report of his memory problems is disingenuous. Dr. Lamba found that he could remember all of his complaints in great detail but not basic biographical information; Dr. Lamba said this feature of Mr. Maung's complaints is not a genuine indicator of a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Similarly, his complaints of knee, ankle, neck, shoulder and blurred vision are not supported by any objective evidence. The defendants argue that when Mr. Maung saw Dr. Boyle, he demonstrated a number of non-organic signs of pain that indicate his deliberate intention to exaggerate his symptoms. They contend that the plaintiff suffered a minor whiplash injury to his neck and back and would only have been impaired from working for a few weeks. The defence occupational therapist also found that Mr. Maung did not provide a full effort at his examination and concluded from this that Mr. Maung was exaggerating the extent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He could not perform any work requiring grasping strength or complex hand or finger movements because of his pre-existing condition and he was capable of sedentary or light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With respect to the medical experts' opinions, the defendants argue that Dr. Lamba did not identify any psychological disorders in Mr. Maung. His behaviour in Dr. Lamba's office was inconsistent with his claim of intense headache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The defendants argue that little weight should be given to Dr. Kriik's opinion. She reported the absence of objective evidence to support his claims but omitted the objective evidence that undermined his claims. She offered an opinion that other conditions could have caused Mr. Maung's symptoms but did not complete the tests to rule these out because Mr. Maung failed to cooperate. They contend Dr. Kriik's diagnosis of "chronic pain syndrome" is nothing more than a description of his pain that he claims lasted for a long time. Although she suggested he was disabled from working, she was not aware that he had been on disability since 1993. Further, Dr. Kriik did not have a Burmese translator when Mr. Maung first saw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The defendants argue that little weight can be given to Dr. Siu's report either. His opinion was based on an uncritical acceptance of Mr. Maung's complaints without consideration of other reports concerning his health. His opinions were derived from a review of other doctors' opinions that were never placed in evidence. Dr. Siu's report reiterates Mr. Maung's subjective complaints; long before their initial encounter, Mr. Maung had retained counsel (within two days of MVA #2) and any subjective complaints recorded in doctors' records must be viewed critically since Mr. Maung might have been using them to advance his claims for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The defence points out that Dr. Siu was informed at Mr. Maung's first visit that he was suffering from fibromyalgia. This diagnosis did not come from Dr. Siu or Dr. Kriik and was likely suggested by Ms. Ma during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The defence contends that Dr. Siu was ill-informed in part because he did not review or consider Dr. Kriik's treatment notes for the year before he became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The defence also suggests that Dr. Siu improperly relied on Dr. Nagaria's opinion that the plaintiff had suffered "post-concussion syndrome" even though Dr. Nagaria seemed to think further investigation was necessary before making a final diagnosis. A statement in a consultation report not tested at trial that a diagnosis is likely is not helpful in the face of the need for further studies. Dr. Sui does not explain the basis on which he arrived at his conclusion; it seems he did little other than repeat Dr. Nagaria's likely diagnosis with confirming if other causes were rule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The defence argued that Mr. Maung consistently refused to accept or follow advice to return to his pre-accident physical activities. He declined to follow his doctor's advice that he obtain treatment at the Canadian Back Institute.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The defendants suggest that Mr. Maung's non-pecuniary damage claim should be assessed at $5,000-$10,000. If some of his ongoing pain is accepted as resulting from the accidents, then the award could be as high as $20,000. Moreover, once Ms. Ma became unable to deliver papers, he had no real possibility of performing that work because he could not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Concerning the newspaper job, Mr. Maung also asserted that the business belonged to his sister: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nothing to do with me. It's my sister's business. I helped. Just like I help her when she gets something from the newspaper people. Then she just shares maybe $250 something like that. That's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The defendants contend that there is no evidence that Mr. Maung's ability to earn income or to continue with the newspaper business was affected by the injuries he suffered in the accidents and no award should be made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They also argue that any past wage loss would be subject to the same reduction faced by Ms. Ma due to his receipt of disability benefits that are in the nature of income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The defence argued that there was no basis in evidence for his claim for future care costs. In addition to not providing any evidence as to the medical necessity of any of the treatment he sought, Mr. Maung's expenses for either participating in the active rehabilitation program or filling prescription medications should have been either fully funded or covered through his welfare program. For those programs and specialists he was advised by professionals to attend, Mr. Maung failed to follow through. The defence made no specific arguments about Mr. Maung's housekeeping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Finally, with respect to special damages, the defence contends that Mr. Maung did not pursue the recommended treatments and simply substituted his own judgement for physiotherapy treatments. In any event, he claimed $15 per treatment when his actual cost was $10 per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Mr. Maung's claim is dependent on a finding that, but for the accidents, he would not have suffered the pain, discomfort and loss of physical capacity that he alleges have seriously impacted his life since MVA #2 and MVA #3. In making this claim, Mr. Maung's credibility and reliability are key to his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The plaintiff and defence's medical experts' diagnoses of Mr. Maung's injuries and opinions as to causation are entirely dependent on his and his sister's reports about his symptoms. Consequently, if I find Mr. Maung lacks credibility or reliability, the doctors' medical conclusions, which rely on Mr. Maung's self-reports, will be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Overall, the defendants say Mr. Maung grossly exaggerated or misrepresented his symptoms and, on many occasions, lied. There are several features of the evidence and observations of his claims that cast significant doubt as to his credibility and reliability. These include:</w:t>
      </w:r>
      <w:r>
        <w:rPr>
          <w:rFonts w:ascii="arial" w:eastAsia="arial" w:hAnsi="arial" w:cs="arial"/>
          <w:sz w:val="20"/>
          <w:lang w:val="en-US" w:eastAsia="en-US" w:bidi="ar-SA"/>
        </w:rPr>
        <w:cr/>
      </w:r>
    </w:p>
    <w:p>
      <w:pPr>
        <w:numPr>
          <w:numId w:val="8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claimed to be suffering post accident mood swings and decreased memory within hours of MVA #2 which were quite improbable with hours of the accident.</w:t>
      </w:r>
    </w:p>
    <w:p>
      <w:pPr>
        <w:numPr>
          <w:numId w:val="8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claimed his weight increased from 120-130 pounds to 150-155 pounds following the accident. However, when Dr. Wozny examined the plaintiff in November 2008 before MVA #2, he weighed 148 pounds.</w:t>
      </w:r>
    </w:p>
    <w:p>
      <w:pPr>
        <w:numPr>
          <w:numId w:val="8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represented to Guaranteed Available Income for Need (GAIN)/Ministry of Social Services and Housing that he was born with disfigured fingers and had trouble holding, grabbing and lifting items. He claimed to be totally disabled and received those disability benefits up to the date of trial. He represented to the authorities that he could not lift heavy loads. He said he was incapable of daily care and was provided 32 hours per month of household assistance. This evidence was completely inconsistent with his testimony that, before the accident, he did all heavy house chores, cooking, and laundry and could lift between 40 and 60 pounds. His only explanation for this discrepancy was that no one asked him if his physical ability changed after 1993.</w:t>
      </w:r>
    </w:p>
    <w:p>
      <w:pPr>
        <w:numPr>
          <w:numId w:val="8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testified that before the accidents he was in excellent health notwithstanding that he was awaiting cataract surgery, had been prescribed corrective lenses and had some right shoulder limitation due to a spearing incident. This claim is also inconsistent with his claim for continued disability status and his receipt of disability benefits prior to the accidents.</w:t>
      </w:r>
    </w:p>
    <w:p>
      <w:pPr>
        <w:numPr>
          <w:numId w:val="8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claimed very poor memory which calls into question his testimony concerning the nature and extent of his post-accident symptoms. This is also inconsistent with his ability to recall and repeat historical facts.</w:t>
      </w:r>
    </w:p>
    <w:p>
      <w:pPr>
        <w:numPr>
          <w:numId w:val="9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declared that he started work on September 6, 2007 when he applied for insurance benefits; this was entirely inconsistent with his evidence at trial that he and Ms. Ma been delivering newspapers well before September 6.</w:t>
      </w:r>
    </w:p>
    <w:p>
      <w:pPr>
        <w:numPr>
          <w:numId w:val="9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claimed to have injured his head in MVA #2 and to have completed an information form on that day which contains no reference to a head injury or hitting, bruising or bumping his head.</w:t>
      </w:r>
    </w:p>
    <w:p>
      <w:pPr>
        <w:numPr>
          <w:numId w:val="9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Mr. Maung complained of an injury to his right knee, his family doctor had no record of any complaint after the accident. He was assessed by two orthopedic surgeons neither of whom found any knee injury.</w:t>
      </w:r>
    </w:p>
    <w:p>
      <w:pPr>
        <w:numPr>
          <w:numId w:val="9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claimed to have an ankle injury. This claim was not supported by Dr. Boyle or Dr. Hill (a consulting orthopedic surgeon who assessed him at the request of Dr. Kriik)'s evidence. Similarly, Dr. Hill's assessment lent no support for his allegation of a right shoulder injury.</w:t>
      </w:r>
    </w:p>
    <w:p>
      <w:pPr>
        <w:numPr>
          <w:numId w:val="9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confirmed that his doctor had told him to return to his usual activities and become more active after the accidents. However, he rejected an active rehabilitation program at the Canadian Back Institute in favour of receiving passive physiotherapy treatments.</w:t>
      </w:r>
    </w:p>
    <w:p>
      <w:pPr>
        <w:numPr>
          <w:numId w:val="9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provide a full effort when Mr. Enright performed a work capacity evaluation. Nevertheless, Mr. Enright determined there were multiple inconsistencies in his report of limitations and his abilities including positive non-organic testing results. He also displayed non-organic pain indicators when he was examined by Dr. Boyle, such as the clasp-knife response to pressure from the examiner.</w:t>
      </w:r>
    </w:p>
    <w:p>
      <w:pPr>
        <w:numPr>
          <w:numId w:val="9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that he did not report the newspaper delivery income because the business was in his sister's name and he was simply helping her from the sidelines. There was no record of the monies she paid him for his work. Thus, he did not report this income to the Ministry or Canada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One curious aspect of Mr. Maung's presentation can be found in three letters he wrote to various doctors. He sent virtually identical letters to Dr. Kriik on January 8, 2011, Dr. Lamba on August 12, 2012 and Mr. Enright, on September 2012. Each letter was written by Ms. Ma and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been trying to be active [as] much as possible but my excruciating (agonizing) chronic pains and headaches stay with me constantly day in day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He was obviously focused on a campaign repetitive communications designed to convince others about the seriousness of his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Mr. Maung testified that he lived with his father in his Como Lake Road home. Although this address appeared on a number of letters and medical forms in evidence, Mr. Maung gave a different address when dealing with government assistance staff. He indicated to them that he resided on Paradise Avenue in Coquitlam and later changed that to 269 Blue Mountain Street in Coquitlam. This inconsistency can be explained by the fact that Social Services would not pay him the shelter portion of his benefit if he lived with a family member. Thus, he misled the social services agency in order to retain a benefit that he should have been precluded from receiving.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Ms. Ma translated for him in various meetings and wrote letters to doctors on his behalf. In one letter, he reported to be suffering from "fibromyalgia" even though no medical opinions indicated that that diagnosis had been made. Mr. Maung requested the medication Gabapentin based on his sister's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xml:space="preserve">  My analysis of Mr. Maung's credibility and reliability is informed by the same approach described in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Overall, Mr. Maung's testimony concerning the nature and intensity of his symptoms is unreasonable and unlikely. His evidence is inconsistent with the probabilities that emerge Doctors Boyle and Lamba's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The flaws noted above in Mr. Maung's evidence and presentation lead me to conclude that his reports of ongoing, debilitating pain preventing him from work and domestic chores is not credible. He has not proven on the balance of probabilities that he has suffered long term injuries and enduring impairments to his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Further, Mr. Maung did not establish on the balance of probabilities that he suffered a head injury in either accident. Dr. Kriik's testimony and records do not corroborate his claim that his head was bleeding or that he was experiencing severe head pain from a blow to his head when he visited the doctor after MVA #2. His descriptions of a bleeding head, severe pain in his head, and the appearance of a dermatological problem appeared months after the accidents. These features would most certainly have been recorded by Dr. Kriik if he presented with those injuries; instead, Dr. Kriik's notes do not mention head injury or pain until September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Also Mr. Maung apparently told Dr. Nagaria in September 2011 that since the accident of May 6, 2009 he had suffered: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constant severe headaches, dizziness, forgetfulness, difficulty concentrating and pain in the neck, both shoulder but more the right, back, hip, right knee and right foot since the accidents. He has a bump on the right side of the head from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It was likely that this opinion led Dr. Siu to conclude that Mr. Maung had suffered a head injury. However, Mr. Maung had not suffered those complaints described in Dr. Nagaria's consultation report in May 2009. There was no bump on the head reported by him in May 2006 and thus it is unlikely there was a blow to his head MVA #2; lastly there was no suggestion of any head injury in the December 2009 accident. His complaints of head pain symptoms began in July 2009. Mr. Maung seems to have confused is dermatological had problem with the events on May 6, 2009. The head surgery was entirely unconnected to the car accidents. In his mind this is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Overall, l place little weight on the doctors' opinions concerning Mr. Maung's head injury claim or the suggestions that he has post-concussion syndrome, chronic pain syndrome or an adjustment disorder. In part, each doctor relied on the truthfulness of Mr. Maung's reported symptoms and where his claims are the basis of their diagnosis and opinions, I am not satisfied they can be relied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Based on these and a number of other inconsistencies and contradictions, I cannot accept his testimony as credible or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I am satisfied that Mr. Maung suffered soft tissue injuries to his neck from both MVA #2 and MVA #3 that Dr. Boyle expected would resolve over time. Similarly, I am satisfied that his myofascial strains to the low back can be managed if he does strengthening and stretching exercises. He also had a contusion of his right knee without any resulting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His disability from MVA #2 would have lasted four to six weeks at most and after MVA #3, his disability would have lasted about the same length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I find that Mr. Maung has not proven on the balance of probabilities that he suffers chronic pain syndrome, fibromyalgia or an adjustment disorder as a result of his accidents. The evidence demonstrates he more likely than not suffers from a factitious disorder or has been malingering in the hopes of receiving many hundreds of thousands of dollars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Mr. Maung has not met the burden of proving that his prolonged disabling symptoms in the absence of evidence of a significant physical injury were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Yoshikawa</w:t>
      </w:r>
      <w:r>
        <w:rPr>
          <w:rFonts w:ascii="arial" w:eastAsia="arial" w:hAnsi="arial" w:cs="arial"/>
          <w:color w:val="000000"/>
          <w:sz w:val="20"/>
          <w:lang w:val="en-US" w:eastAsia="en-US" w:bidi="ar-SA"/>
        </w:rPr>
        <w:t>, Lambert J.A. summarized the principles to be applied in assessing claims of psychological injury. (At paras. 12 and 13 referred to above in para. 314).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On all of the evidence Mr. Maung has not established that he has chronic pain condition or fibromyalgia that were caused by the car accidents. At best, my consideration of the evidence leads me to conclude that Mr. Maung does not truly desire "to be free of the psychological problems" that have animated his presentation of ongoing disabling pain throughout his whole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I find that Mr. Maung has a history of taking disability benefits without full disclosure of his income to the government agencies paying him or to Canada Revenue. He may have been entitled to earn some income without affecting his right to benefits but he was not free to conceal his income. In his 20 years in Canada before the accidents, he never obtained prolonged employment and for years before the accident he had no earned income except for through the newspaper delivery business, which he did not disclose that income to the authorities; yet he seeks past income loss and future income loss in the order of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xml:space="preserve">  I accept the opinions of Doctors Boyle and Lamba concerning Mr. Maung's non-organic behaviours and the absence of any objective signs of injury. I find that his presentation to the doctors and Mr. Enright were indicative of his conscious attempt to exaggerate or feign symptoms; I find that he is most likely suffering a fictitious disorder or is malingering rather than from symptoms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Although Dr. Siu opined that Mr. Maung suffered post-concussion syndrome, he acknowledged that in Dr. Medvedev's opinion there was no overt neurological pathology and his medications might have been contributing to the symptoms. Dr. Boyle was candid in his opinion that the diagnosis of closed head injury was outside of his area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It was also clear that Dr. Nagaria's diagnosis remained somewhat uncertain and was not tested on cross examination; he had recommended further investigations to clarify his diagnosis and there is no evidence further enquiries were done. I think it is also significant Dr. Nagaria observed that Mr. Maung was not giving his full strength or pressure during 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I accept that this diagnosis was also outside Dr. Siu's area of expertise. I find that Dr. Siu's reliance on Dr. Nagaria's opinion when he was not called as a witness adversely affects the weight I give Dr. Siu's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Lastly, I conclude that Dr. Kriik's opinion did not assist Mr. Maung in proving claims of long-standing and disabling pain caused by 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Before Mr. Maung can be awarded any damages, he must establish, on a balance of probabilities, the nature and extent of his injuries that were caused by the forces of the collisions he was involved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I have concluded that Mr. Maung suffered myofascial strains to his cervical spine and soft tissues without injury to the vertebrae discs or other neurological compromise. Dr. Boyle's opinion that "the expectation would still remain for resolution over time" suggests that the additive effect of both accidents resulted in continuing symptoms in the affected areas in August 2012. Mr. Maung also suffered myofascial strains to his lumbar spine. He had a contusion to his right knee without any pathology. That injury is or should have fully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I accept that these injuries would have significantly interfered with his recreational and household activities from four to six weeks after the collisions. After that, I find that he was able to return to those activities but may have had continuing symptoms for a brief time. He did not have ongoing full body debilitating pain from either of these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He did not follow all of his doctors' advice concerning medications and tests. Mr. Maung failed to follow advice to pursue an active rehabilitation program; he preferred more passive physiotherapy treatments. The assessment Mr. Enright provided of physical health post-accident is coloured by my findings that he was not a reliable or credible reporter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The findings I have made concerning the nature and extent of Mr. Maung's injuries and their connection to the accidents make it unnecessary to do an analysis of the claims that he failed to mitigate his losses. If Mr. Maung had been successful in his claims concerning his ongoing symptoms, his failure to mitigate would have been an important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xml:space="preserve">  Non-pecuniary damages are awarded to compensate plaintiffs for pain, suffering, loss of enjoyment of life and loss of amenities. The compensation awarded should be fair to all parties. Fairness is measured against awards made in comparable cases. Such cases, though helpful, serve only as rough guides.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When Mr. Maung opened his case, he suggested that he was seeking non-pecuniary damages of $150,000. In final argument, he suggested this amount should be $100,000. Mr. Maung relies on a multitude of cases reflecting non-pecuniary damage awards he contends are comparable to his circumstances. They include:</w:t>
      </w:r>
      <w:r>
        <w:rPr>
          <w:rFonts w:ascii="arial" w:eastAsia="arial" w:hAnsi="arial" w:cs="arial"/>
          <w:sz w:val="20"/>
          <w:lang w:val="en-US" w:eastAsia="en-US" w:bidi="ar-SA"/>
        </w:rPr>
        <w:cr/>
      </w:r>
    </w:p>
    <w:p>
      <w:pPr>
        <w:numPr>
          <w:numId w:val="9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Cipriano v. Cipriano</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[1996] 8 W.W.R. 574</w:t>
        </w:r>
      </w:hyperlink>
      <w:r>
        <w:rPr>
          <w:rFonts w:ascii="arial" w:eastAsia="arial" w:hAnsi="arial" w:cs="arial"/>
          <w:color w:val="000000"/>
          <w:sz w:val="20"/>
          <w:lang w:val="en-US" w:eastAsia="en-US" w:bidi="ar-SA"/>
        </w:rPr>
        <w:t xml:space="preserve"> (B.C.C.A.), $75,000;</w:t>
      </w:r>
    </w:p>
    <w:p>
      <w:pPr>
        <w:numPr>
          <w:numId w:val="9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$175,000;</w:t>
      </w:r>
    </w:p>
    <w:p>
      <w:pPr>
        <w:numPr>
          <w:numId w:val="9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Wong v. Luong et al</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2004 BCSC 1489</w:t>
        </w:r>
      </w:hyperlink>
      <w:r>
        <w:rPr>
          <w:rFonts w:ascii="arial" w:eastAsia="arial" w:hAnsi="arial" w:cs="arial"/>
          <w:color w:val="000000"/>
          <w:sz w:val="20"/>
          <w:lang w:val="en-US" w:eastAsia="en-US" w:bidi="ar-SA"/>
        </w:rPr>
        <w:t>, $120,000;</w:t>
      </w:r>
    </w:p>
    <w:p>
      <w:pPr>
        <w:numPr>
          <w:numId w:val="10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Ho v. Dosanjh</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2010 BCSC 845</w:t>
        </w:r>
      </w:hyperlink>
      <w:r>
        <w:rPr>
          <w:rFonts w:ascii="arial" w:eastAsia="arial" w:hAnsi="arial" w:cs="arial"/>
          <w:color w:val="000000"/>
          <w:sz w:val="20"/>
          <w:lang w:val="en-US" w:eastAsia="en-US" w:bidi="ar-SA"/>
        </w:rPr>
        <w:t>, $75,000;</w:t>
      </w:r>
    </w:p>
    <w:p>
      <w:pPr>
        <w:numPr>
          <w:numId w:val="10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Anson v. Karoway</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(1997), 73 A.C.W.S. (3d) 66</w:t>
        </w:r>
      </w:hyperlink>
      <w:r>
        <w:rPr>
          <w:rFonts w:ascii="arial" w:eastAsia="arial" w:hAnsi="arial" w:cs="arial"/>
          <w:color w:val="000000"/>
          <w:sz w:val="20"/>
          <w:lang w:val="en-US" w:eastAsia="en-US" w:bidi="ar-SA"/>
        </w:rPr>
        <w:t xml:space="preserve"> (B.C.S.C.), $105,000; and</w:t>
      </w:r>
    </w:p>
    <w:p>
      <w:pPr>
        <w:numPr>
          <w:numId w:val="10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Liu v. Hansen</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(1996), 61 A.C.W.S. (3d) 912</w:t>
        </w:r>
      </w:hyperlink>
      <w:r>
        <w:rPr>
          <w:rFonts w:ascii="arial" w:eastAsia="arial" w:hAnsi="arial" w:cs="arial"/>
          <w:color w:val="000000"/>
          <w:sz w:val="20"/>
          <w:lang w:val="en-US" w:eastAsia="en-US" w:bidi="ar-SA"/>
        </w:rPr>
        <w:t xml:space="preserve"> (B.C.S.C.),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Kirkpatrick J.A. outlined the factors to be considered when assessing non-pecuniary damages at para. 46. This non-exhaustive list of factors include: age of the plaintiff; nature of the injury; severity and duration of pain; disability; emotional suffering; loss or impairment of life;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Mr. Maung did not provide cases addressing the finding that his prolonged and disabling injuries are, for the most part, not compensable. I find the cases he referred to be of limited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The defendants have suggested his damages should be assessed between $5,000 and $20,000 and that their authorities referred to in submissions concerning Ms. Ma are equally applicable to Mr. Maung.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There is a paucity of evidence to accurately assess the effects of Mr. Maung's physical injuries, with the exception of Dr. Boyle's opinion that he would have been disabled for four to six weeks after MVA #2 and MVA #3. Dr. Boyle estimated that Mr. Maung's leisure and household activities would have been impacted by the accidents for about the same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xml:space="preserve">  After taking into account the cases cited by the defendants, I find Mr. Maung's injuries have been modest. There was some loss of enjoyment of life which continued after the accident and was ongoing until at least 2012. There was some disturbance in his working ability, recreational ability and household activity capacity. Considering the authorities including </w:t>
      </w:r>
      <w:r>
        <w:rPr>
          <w:rFonts w:ascii="arial" w:eastAsia="arial" w:hAnsi="arial" w:cs="arial"/>
          <w:i/>
          <w:color w:val="000000"/>
          <w:sz w:val="20"/>
          <w:lang w:val="en-US" w:eastAsia="en-US" w:bidi="ar-SA"/>
        </w:rPr>
        <w:t>Rosso</w:t>
      </w:r>
      <w:r>
        <w:rPr>
          <w:rFonts w:ascii="arial" w:eastAsia="arial" w:hAnsi="arial" w:cs="arial"/>
          <w:color w:val="000000"/>
          <w:sz w:val="20"/>
          <w:lang w:val="en-US" w:eastAsia="en-US" w:bidi="ar-SA"/>
        </w:rPr>
        <w:t xml:space="preserve"> in which the court considered similar features, I conclude a fair and reasonable assessment of his non-pecuniary damages is $25,000.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Mr. Maung submits that his past wage loss is $97,127. He calculates this by multiplying $13,396.91 by seven years and three months. He contends that that amount represents the income he would have earned annually from delivering newspapers for Tri-City News and Post-Media Network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He does not explain what evidence supports his claim that he would have received $13,396 per year if the accident had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His testimony was that he was receiving approximately $250 per month after operating expenses from the newspaper delivery business and that he and Ms. Ma divided the net profit equally. It is important to remember that Mr. Maung could not operate the newspaper delivery business by himself; Ms. Ma was essential to the enterprise because she could drive and he could not. Thus, he could not manage the paper delivery business after May 2009 because he did not have a driver's license and without her assistance, he could not have completed the contract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Thus, although he likely suffered a loss of earning capacity for several weeks after each accident, he cannot prove his loss by way of a mathematical calculation based on his earnings for the two years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Also, Ms. Ma testified that before MVA #2, she was injured during MVA #1 such that she could not work following that accident. It follows that, since Mr. Maung was reliant on Ms. Ma's driving to complete his work in the newspaper business, and if their testimony is to be believed, his newspaper work prospects would have been eliminated because she was not able to drive and he did not have a licence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xml:space="preserve">  Thus, the evidence does not support a claim that Mr. Maung lost newspaper delivery income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drivers in MVA #2 and MVA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I am influenced in my analysis by the fact that Mr. Maung's self-professed pre-accident disability would have precluded him from many if not most types of employment. He tried unsuccessfully for years to find work and at age 59, nothing in the evidence suggests his fortunes could change except with his sister's help in the newspaper delivery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xml:space="preserve">  The assessment of past wage loss involves a consideration of the loss of earning capacity and not the loss of income itself.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the Court considered claims for past income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Thus, in my view, a claim for what is often described as "past loss of income" is actually a claim for loss of earning capacity; that is, a claim for the loss of the value of the work that the injured plaintiff would have performed but was unable to perform because of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Evidence of this value may take many forms. As was said by Kenneth D. Cooper-Stephenson in </w:t>
      </w:r>
      <w:r>
        <w:rPr>
          <w:rFonts w:ascii="arial" w:eastAsia="arial" w:hAnsi="arial" w:cs="arial"/>
          <w:b/>
          <w:i/>
          <w:color w:val="000000"/>
          <w:sz w:val="20"/>
          <w:lang w:val="en-US" w:eastAsia="en-US" w:bidi="ar-SA"/>
        </w:rPr>
        <w:t>Personal Injury Damages in Canada</w:t>
      </w:r>
      <w:r>
        <w:rPr>
          <w:rFonts w:ascii="arial" w:eastAsia="arial" w:hAnsi="arial" w:cs="arial"/>
          <w:color w:val="000000"/>
          <w:sz w:val="20"/>
          <w:lang w:val="en-US" w:eastAsia="en-US" w:bidi="ar-SA"/>
        </w:rPr>
        <w:t>, 2nd ed. (Scarborough, Ont.: Carswell, 1996) at 205-06,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essence of the task under this head of damages is to award compensation for any pecuniary loss which will result from an inability to work. "Loss of the value of work" is the substance of the claim - loss of the value of any work the plaintiff would have done but for the accident but now will be unable to do. </w:t>
      </w:r>
      <w:r>
        <w:rPr>
          <w:rFonts w:ascii="arial" w:eastAsia="arial" w:hAnsi="arial" w:cs="arial"/>
          <w:color w:val="000000"/>
          <w:sz w:val="20"/>
          <w:u w:val="single"/>
          <w:lang w:val="en-US" w:eastAsia="en-US" w:bidi="ar-SA"/>
        </w:rPr>
        <w:t>The loss framed in this way may be measured in different ways</w:t>
      </w:r>
      <w:r>
        <w:rPr>
          <w:rFonts w:ascii="arial" w:eastAsia="arial" w:hAnsi="arial" w:cs="arial"/>
          <w:color w:val="000000"/>
          <w:sz w:val="20"/>
          <w:lang w:val="en-US" w:eastAsia="en-US" w:bidi="ar-SA"/>
        </w:rPr>
        <w:t xml:space="preserve">. Sometimes it will be measured by reference to the </w:t>
      </w:r>
      <w:r>
        <w:rPr>
          <w:rFonts w:ascii="arial" w:eastAsia="arial" w:hAnsi="arial" w:cs="arial"/>
          <w:i/>
          <w:color w:val="000000"/>
          <w:sz w:val="20"/>
          <w:lang w:val="en-US" w:eastAsia="en-US" w:bidi="ar-SA"/>
        </w:rPr>
        <w:t>actual earnings</w:t>
      </w:r>
      <w:r>
        <w:rPr>
          <w:rFonts w:ascii="arial" w:eastAsia="arial" w:hAnsi="arial" w:cs="arial"/>
          <w:color w:val="000000"/>
          <w:sz w:val="20"/>
          <w:lang w:val="en-US" w:eastAsia="en-US" w:bidi="ar-SA"/>
        </w:rPr>
        <w:t xml:space="preserve"> the plaintiff would have received; sometimes by a </w:t>
      </w:r>
      <w:r>
        <w:rPr>
          <w:rFonts w:ascii="arial" w:eastAsia="arial" w:hAnsi="arial" w:cs="arial"/>
          <w:i/>
          <w:color w:val="000000"/>
          <w:sz w:val="20"/>
          <w:lang w:val="en-US" w:eastAsia="en-US" w:bidi="ar-SA"/>
        </w:rPr>
        <w:t>replacement cost evaluation of tasks</w:t>
      </w:r>
      <w:r>
        <w:rPr>
          <w:rFonts w:ascii="arial" w:eastAsia="arial" w:hAnsi="arial" w:cs="arial"/>
          <w:color w:val="000000"/>
          <w:sz w:val="20"/>
          <w:lang w:val="en-US" w:eastAsia="en-US" w:bidi="ar-SA"/>
        </w:rPr>
        <w:t xml:space="preserve"> which the plaintiff will now be unable to perform; sometimes by an assessment of reduced </w:t>
      </w:r>
      <w:r>
        <w:rPr>
          <w:rFonts w:ascii="arial" w:eastAsia="arial" w:hAnsi="arial" w:cs="arial"/>
          <w:i/>
          <w:color w:val="000000"/>
          <w:sz w:val="20"/>
          <w:lang w:val="en-US" w:eastAsia="en-US" w:bidi="ar-SA"/>
        </w:rPr>
        <w:t>company profits</w:t>
      </w:r>
      <w:r>
        <w:rPr>
          <w:rFonts w:ascii="arial" w:eastAsia="arial" w:hAnsi="arial" w:cs="arial"/>
          <w:color w:val="000000"/>
          <w:sz w:val="20"/>
          <w:lang w:val="en-US" w:eastAsia="en-US" w:bidi="ar-SA"/>
        </w:rPr>
        <w:t xml:space="preserve">; and sometimes by the amount of secondary income lost, such as </w:t>
      </w:r>
      <w:r>
        <w:rPr>
          <w:rFonts w:ascii="arial" w:eastAsia="arial" w:hAnsi="arial" w:cs="arial"/>
          <w:i/>
          <w:color w:val="000000"/>
          <w:sz w:val="20"/>
          <w:lang w:val="en-US" w:eastAsia="en-US" w:bidi="ar-SA"/>
        </w:rPr>
        <w:t>shared family income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underscoring; other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On all of the evidence, I conclude that Mr. Maung has not established on the balance of probabilities that he would have earned a significant income after MVA #2 and certainly not exceeding $3,000 or $4,000 per year. Although his capacity to work was diminished for several weeks after each accident, he had no history of earning any income before 2007 and thus it is improbable that he could have earned an income in the order of $97,127 after MVA #2; because his ability to perform the heavier lifting work part of the newspaper delivery business was compromised. However, his capacity to earn income was compromised by the accidents and the resulting injuries and I award him $2,000 for past wage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Mr. Maung seeks $110,524 as compensation for future wage loss. He calculates that loss by multiplying $13,396 by eight years and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For the same reasons given under his past wage loss claim, I conclude that he has not met the burden of proof to establish that he would have earned income but for the accident. Mr. Maung had been receiving disability assistance from the Government of British Columbia that covered his accommodation and living expenses. He received approximately $10,800 from the government and could earn a modest amount of money without a government clawback of his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In my view, this submission is not based on any reliable evidence and goes against the weight of most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His claim for compensation for future wage loss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Mr. Maung seeks $109,800 to cover his future care costs and $20,000 for his future homemaking costs. Mr. Maung testified that he regularly performed housekeeping duties including cooking and cleaning which he claims he can no longer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These costs include the following:</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91" type="#_x0000_t75" style="width:429pt;height:348pt">
            <v:imagedata r:id="rId54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Mr. Maung did not retain an occupational therapist to advise on any of his claims. The amounts he claims are virtually identical to the amounts claimed by Ms. Ma under those categories and presented with minimal medical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Dr. Siu did not make any recommendations for Mr. Maung's care or ongoing treatment. He listed medications that he has prescribed but did not attest to Mr. Maung's need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I will not duplicate the references I made above to the legal tests necessary to establish a claim for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There is no medical evidence to support Mr. Maung's claim that he requires any of these services or aids. Dr. Kriik recommended that he attend a pain management clinic, engage in aquatic exercises and obtain blood tests to rule out other causes of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Dr. Siu opined that Mr. Maung was impaired in completing household tasks and recreational tasks. He said that his difficulty with completing daily living activities occurs because of pain and trouble he has with getting in and out of the shower, going to the washroom and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Interestingly, Dr. Siu said that Mr. Maung might benefit from a referral to a pain specialist, physiatrist or neurologist; he made a referral to a Dr. Eric Hui on July 4, 2016. Mr. Maung did not follow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xml:space="preserve">  With respect to medication, the defendants contend that Mr. Maung has taken some medications but submitted no receipts for reimbursement. The defendants argue that Mr. Maung is a person with a disability and is entitled to have his medications paid for wholly by the Province of BC's </w:t>
      </w:r>
      <w:r>
        <w:rPr>
          <w:rFonts w:ascii="arial" w:eastAsia="arial" w:hAnsi="arial" w:cs="arial"/>
          <w:i/>
          <w:color w:val="000000"/>
          <w:sz w:val="20"/>
          <w:lang w:val="en-US" w:eastAsia="en-US" w:bidi="ar-SA"/>
        </w:rPr>
        <w:t>Pharmaceutical Services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22</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Drug Plans Regulation</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B.C. Reg. 73/2015</w:t>
        </w:r>
      </w:hyperlink>
      <w:r>
        <w:rPr>
          <w:rFonts w:ascii="arial" w:eastAsia="arial" w:hAnsi="arial" w:cs="arial"/>
          <w:color w:val="000000"/>
          <w:sz w:val="20"/>
          <w:lang w:val="en-US" w:eastAsia="en-US" w:bidi="ar-SA"/>
        </w:rPr>
        <w:t>. He conceded his medication expenses were covered through the welfare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Ms. D. Edwards of Karp Rehabilitation testified that Mr. Maung was offered a fully funded active rehabilitation program as recommended by his doctor. He refused to attend. Dr. Siu also testified that Mr. Maung was encouraged to attend a pain program but declined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I am not persuaded that Mr. Maung will require any of the services set out in his list of future care costs as a result of the injuries caused by the defendants in these accidents. Some of the items claimed may be appropriate and helpful in returning him to normal function but I find the need for these services or aids have its origin in his factitious disorder or malingering and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I find Mr. Maung not entitled to an award under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Mr. Maung claims $1,320 for 88 physiotherapy treatments he received at the low heat therapy clinic. He paid a $15 user fee. I assume that ICBC paid the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His attendance at physiotherapy was approved by his treating doctor at the time. Although he had avoided a more active rehabilitation program, I accept that these treatments were necessary to deal with the injuries actually suffered in the accident. Accordingly, he will recover $1,320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Mr. Maung will not recover compensation for past wage loss, future wage loss or impaired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He will recover:</w:t>
      </w:r>
      <w:r>
        <w:rPr>
          <w:rFonts w:ascii="arial" w:eastAsia="arial" w:hAnsi="arial" w:cs="arial"/>
          <w:sz w:val="20"/>
          <w:lang w:val="en-US" w:eastAsia="en-US" w:bidi="ar-SA"/>
        </w:rPr>
        <w:cr/>
      </w:r>
    </w:p>
    <w:p>
      <w:pPr>
        <w:numPr>
          <w:numId w:val="10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$25,000 non-pecuniary damages;</w:t>
      </w:r>
    </w:p>
    <w:p>
      <w:pPr>
        <w:numPr>
          <w:numId w:val="10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$1,320 special damages;</w:t>
      </w:r>
    </w:p>
    <w:p>
      <w:pPr>
        <w:numPr>
          <w:numId w:val="10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$2,000 past wage loss subject to any deduction for disability benefits he has received from the Province of BC;</w:t>
      </w:r>
    </w:p>
    <w:p>
      <w:pPr>
        <w:numPr>
          <w:numId w:val="10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Award: $28,320.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The parties are at liberty to appear before the court to address the question of costs if agreement cannot be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777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Mickelson v. Sodomsky, [2019] B.C.J. No. 919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D.W. Thompson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19-22 and 25-26, 2019.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22, 2019.</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M13195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Campbell River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[2019] B.C.J. No. 919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2019 BCSC 806</w:t>
        </w:r>
      </w:hyperlink>
    </w:p>
    <w:p>
      <w:pPr>
        <w:spacing w:before="120" w:line="260" w:lineRule="atLeast"/>
        <w:rPr>
          <w:lang w:val="en-US" w:eastAsia="en-US" w:bidi="ar-SA"/>
        </w:rPr>
      </w:pPr>
      <w:r>
        <w:rPr>
          <w:rFonts w:ascii="arial" w:eastAsia="arial" w:hAnsi="arial" w:cs="arial"/>
          <w:color w:val="000000"/>
          <w:sz w:val="20"/>
          <w:lang w:val="en-US" w:eastAsia="en-US" w:bidi="ar-SA"/>
        </w:rPr>
        <w:t>Between Tammy Lynne Mickelson, Plaintiff, and Sara-Hart Sodomsky and Edward Davidson Seeton,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(71 paras.)</w:t>
      </w:r>
    </w:p>
    <w:p>
      <w:pPr>
        <w:jc w:val="both"/>
        <w:rPr>
          <w:lang w:val="en-US" w:eastAsia="en-US" w:bidi="ar-SA"/>
        </w:rPr>
      </w:pPr>
      <w:bookmarkStart w:id="87" w:name="Counsel_16"/>
      <w:bookmarkEnd w:id="8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3" style="position:absolute;z-index:2516766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S. Frame, A. Smith.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P. Higgs, M. Cantwell.</w:t>
      </w:r>
      <w:r>
        <w:rPr>
          <w:lang w:val="en-US" w:eastAsia="en-US" w:bidi="ar-SA"/>
        </w:rPr>
        <w:cr/>
      </w:r>
    </w:p>
    <w:p>
      <w:pPr>
        <w:spacing w:after="240"/>
        <w:rPr>
          <w:lang w:val="en-US" w:eastAsia="en-US" w:bidi="ar-SA"/>
        </w:rPr>
      </w:pPr>
      <w:bookmarkStart w:id="88" w:name="Judgment_15"/>
      <w:bookmarkEnd w:id="88"/>
      <w:r>
        <w:pict>
          <v:line id="_x0000_s1094" style="position:absolute;z-index:25172787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9" w:name="D.W. THOMPSON J."/>
            <w:bookmarkEnd w:id="89"/>
            <w:r>
              <w:rPr>
                <w:rFonts w:ascii="arial" w:eastAsia="arial" w:hAnsi="arial" w:cs="arial"/>
                <w:b/>
                <w:color w:val="000000"/>
                <w:sz w:val="30"/>
                <w:lang w:val="en-US" w:eastAsia="en-US" w:bidi="ar-SA"/>
              </w:rPr>
              <w:t>D.W. THOMPSON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assessment of damages arising out of a November 2015 motor vehicle accident in Nanaimo. Ms. Mickelson's car was "T-boned" on the driver's side by a car driven by the defendant Sodomsky and owned by the defendant Seeton. The defendants admit liability for this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Mickelson is now 50 years old. At the time of the MVA she was working as a care attendant in a dementia cottage and living an active lifestyle. Her case is that the collision caused a mild traumatic brain injury and post-concussive syndrome, tinnitus, and soft-tissue injuries. She has not returned to employment, and she submits that because of her injuries, especially the post-concussive syndrome, she is and will remain competitively unemployable.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Before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Mickelson grew up in Nanaimo, and graduated high school in 1986. In the years between 1986 and 1989, she attended Malaspina College -- since re-named Vancouver Island University -- and accumulated credits toward a Bachelor of Arts degree. She has three adult sons, Brody (born in 1990), Travis (born in 1993), and Jake (born in 1997). She separated from her husband, Bill Mickelson, in 2013. Since that time she has had three brief common-law relationships, the last of which ended in the summer of 2018. For most of the time since separation from Mr. Mickelson she has lived in a 33-foot recreational vehicle parked on a friend's property in Nanaimo, and this is where she lives 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decade after her youngest was born in 1997, Ms. Mickelson worked in customer service positions in a series of retail jewellery stores. Thereafter, from October 2007 until April 2008, Ms. Mickelson attended and completed a care-attendant program at Discovery College. She distinguished herself in this program with a 97% average. In 2008, she began work as a care attendant at the newly-opened Wexford Creek senior care facility.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Mickelson's work at Wexford Creek was physically demanding and mentally challenging. She worked in a dementia cottage, with responsibility for ten residents. She was paired with another care attendant during day shifts, but worked alone during the night shifts. The care attendants were responsible for seeing to the residents' activities of daily living and their medications, as well as the cooking and cleaning. The Wexford Creek human resources manager, Kim Eliason, testified that Ms. Mickelson was an excellent employee with a strong work ethic. She shouldered her share of the work during her 12-hour shifts without complaint. She was great with the residents, projecting a calm and peaceful demeanour. I have no doubt that Ms. Mickelson put her admirable personal attributes to excellent use in her important and challenging work with dementia residents at Wexford Creek.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Mickelson returned to Vancouver Island University during the years 2012 through 2014, completing her B.A. program with a major in psychology. Her grades in this 2012-2014 period were outstanding, and this is particularly impressive in the context of her continuing to work a substantial number of hours at Wexford Creek. Her plan was to continue to pay down her student loans, and eventually locate and enroll in a master's program that would equip her to work as a clinical counsellor. I am sure that she had the ability and drive to succeed in graduate school and make this career change.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Mickelson enjoyed a well-rounded life. She socialized with friends, volunteered, attended her boys' lacrosse and hockey games, and made jewellery. She stayed active by walking, doing yoga three or four times per week, and working out at the gym three times per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Against this backdrop of considerable energy and functional ability, Ms. Mickelson had two notable health issues in the few years leading up to the MVA. First, she suffered from low back pain periodically. These bouts of back pain dated back to when she was pregnant with her eldest. She took various forms of treatment for this recurring issue including chiropractic care, physiotherapy, massage therapy, and acupuncture. She testified that she had a few flare-ups of this low back pain related to her work. In 2012 and 2013, back pain kept her from work for substantial periods: she was paid workers' compensation benefits of $13,251 in 2012 and $17,783 in 2013.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Second, Ms. Mickelson was depressed for a short time during the last years of her marriage. She also recognized that she was drinking too much wine -- her evidence is that she was drinking daily, albeit not large volumes. To her credit, she recognized a worrying pattern and in April 2011 decided to stop drinking. She began attending Alcoholics Anonymous meetings. She has not taken drink since that time, and continues to participate in AA programs.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picture that emerges from the evidence of Ms. Mickelson and the various witnesses who were called to provide before-and-after evidence is of a woman who was resilient, intelligent, cheerful, hardworking, and high functioning in her work, educational pursuits, and leisure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Plaintiff's Credibility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 case such as this, the injuries alleged are of the sort that manifest few objective signs. The plaintiff's subjective complaints are the foundational evidence upon which the expert opinion evidence is constructed. On the totality of the evidence, I am satisfied that Ms. Mickelson's subjective complaints are an accurate representation of the effects of the MVA on her physical and cognitive health and function.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occasion while giving her evidence, Ms. Mickelson was not able to recollect information and at other times lost track of the question put to her and required prompting. My impression is that these difficulties were a genuine reflection of her cognitive problems, and not, as the defendants argue, instances of "forced behaviour to indicate and intentionally demonstrate that a problem exists".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point to the resume that Ms. Mickelson used after the MVA to attempt to find work. It included a list of "Demonstrated Skills &amp; Abilities" including, notably, excellent problem-solving skills and effective time-management skills. Ms. Mickelson cut and pasted this list from a pre-MVA resume. Before the MVA she did have excellent problem-solving and time-management skills, but she agreed that this list was not an honest reflection of her post-MVA abilities and she acknowledged that she provided this list knowing that prospective employers would rely upon its accuracy. Any incident of dishonesty must be closely examined. However, people who are injured and looking for work are in a difficult position. Ms. Mickelson wants to rejoin the working world, and accurately listing her current abilities and disabilities would sharply reduce her chances of doing so. Her use of an inaccurate resume cannot be endorsed, but in the context of all the evidence I think it would be unfair to make use of this fact to tax Ms. Mickelson's credibility.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To sum up, I formed a very favourable impression of Ms. Mickelson and her evidence. I conclude that her testimony was honestly given and generally reliable.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Injuries and Extent of Disability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Mickelson has an incomplete recollection of the MVA and its aftermath. She testified that she had pulled into the intersection waiting to turn left, saw the colour white, and heard a loud noise. She remembers a spinning movement. An airbag deployed and struck her head, but she does not believe that she lost consciousness. She thinks her vehicle came to a stop in the middle of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infer from the photographs in evidence that there was a fairly heavy collision between the two vehicles involved in the MVA. Ms. Mickelson's vehicle sustained over $12,000 damage. The force of impact is consistent with her evidence that an airbag deployed and that she struck her 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Mickelson testified that she was confused after the collision. She knew she ought to do something but could not figure out what it was. She remembers a young girl's voice asking if she was okay. She also remembered sitting for a few minutes. A man in uniform opened her car door and asked if she had called 9-1-1 and she thought, "Yes, that is what I should have done." She also recognized a man from his involvement with her boys' lacrosse being there at some point, but she could not be specific about when this was: "It was all kind of at the same time, it was like a whoosh." She felt "foggy" and "muddled" at the scene. She does not remember calling home from the scene, but the evidence establishes that she did so and spoke with her son, Travis.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also does not remember getting out of her car or getting into the ambulance, but remembers being in the ambulance and being asked questions by a man and a woman. She does not remember arriving at the hospital, but recalls being there and seeing a doctor.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Mickelson picked her up at the hospital and took her to what used to be their family home. She does not remember the drive there. Upon arrival she felt sore, exhausted, confused, and "kind of shocked". She testified that she just wanted to go to bed. She spent the night at Mr. Mickelson's residence.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gaps in Ms. Mickelson's memory are notable. I reject the defendants' characterization of Ms. Mickelson's testimony about the MVA and its aftermath as a "detailed, coherent, and full accounting of events both before and after the MVA."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Three days later, on 13 November 2015, Ms. Mickelson saw her family doctor, Dr. Melissa Gillis. Ms. Mickelson testified that by this time she was very sore, and that she still felt dazed and confused. She had trouble explaining herself and putting words together. She recalls being told to rest her brain by keeping her surroundings quiet and dark, and limiting television and computer use. By the time she saw Dr. Gillis' </w:t>
      </w:r>
      <w:r>
        <w:rPr>
          <w:rFonts w:ascii="arial" w:eastAsia="arial" w:hAnsi="arial" w:cs="arial"/>
          <w:i/>
          <w:color w:val="000000"/>
          <w:sz w:val="20"/>
          <w:lang w:val="en-US" w:eastAsia="en-US" w:bidi="ar-SA"/>
        </w:rPr>
        <w:t>locum</w:t>
      </w:r>
      <w:r>
        <w:rPr>
          <w:rFonts w:ascii="arial" w:eastAsia="arial" w:hAnsi="arial" w:cs="arial"/>
          <w:color w:val="000000"/>
          <w:sz w:val="20"/>
          <w:lang w:val="en-US" w:eastAsia="en-US" w:bidi="ar-SA"/>
        </w:rPr>
        <w:t xml:space="preserve"> at the end of November, Ms. Mickelson was also experiencing a buzzing sound in both 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Mickelson suffered soft-tissue injuries and has had courses of physiotherapy. She has transitioned to a self-managed stretching program. She has also had massage therapy, acupuncture, chiropractic care, and craniosacral therapy. She has also been prescribed medications for pain. Over time, the physical effects of the MVA -- other than her tinnitus -- have receded in severity. A physiatrist, Dr. Tanya Cabrita, assessed Ms. Mickelson in November 2017. Ms. Mickelson reported 65% overall improvement in her physical symptoms at that time. And, while Dr. Cabrita was pessimistic about the prospect of further improvement, the impression I took away from Ms. Mickelson's evidence is that she is better now than she was then. She has some residual soreness in the area of her neck near the left shoulder, and restriction in range of motion of her neck. She had many headaches associated with her neck problem, but they are rare now and respond to over-the-counter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continues to experience a "very buzzy ring" that is constantly present in both ears. As bothersome and distracting as this tinnitus remains, it is clear to me that the post-concussive symptoms cause the most impairment of function. Ms. Mickelson feels foggy and confused. She has problems making decisions, and word finding. She is very sensitive to loud noises. Her energy is low and her sleep compromised. All of this affects her confidence. She feels that she is not the same person -- it is as if the MVA put her in another world. She testified to being hopeful that she can find a place in this new world, but she is sad about the loss of the chance to continue her life as it was. Before the MVA, she had "gone through a lot of things", but "life was good" and she was "on her way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Some of Ms. Mickelson's family and friends gave evidence. They testified that Ms. Mickelson used to be happy, outgoing, motivated and hard working, but since the MVA she is withdrawn and socially isolated. This body of evidence corroborated Ms. Mickelson's evidence that she is not the same person she was before the MVA.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defendants accept that Ms. Mickelson continues to suffer from tinnitus, anxiety, and depression, but they submit that any cognitive issues have not been proved to have been caused by a traumatic brain injury. The plaintiff has the burden of establishing the nature and extent of her injuries, and to prove that her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driver: </w:t>
      </w:r>
      <w:r>
        <w:rPr>
          <w:rFonts w:ascii="arial" w:eastAsia="arial" w:hAnsi="arial" w:cs="arial"/>
          <w:i/>
          <w:color w:val="000000"/>
          <w:sz w:val="20"/>
          <w:lang w:val="en-US" w:eastAsia="en-US" w:bidi="ar-SA"/>
        </w:rPr>
        <w:t>Cahoon v. Brideaux</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2010 BCCA 228</w:t>
        </w:r>
      </w:hyperlink>
      <w:r>
        <w:rPr>
          <w:rFonts w:ascii="arial" w:eastAsia="arial" w:hAnsi="arial" w:cs="arial"/>
          <w:color w:val="000000"/>
          <w:sz w:val="20"/>
          <w:lang w:val="en-US" w:eastAsia="en-US" w:bidi="ar-SA"/>
        </w:rPr>
        <w:t xml:space="preserve"> at para. 82. The standard of proof on these issues is the balance of probabilities. In his judgment for a unanimous Court in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Justice Rothstein wrote that in all cases evidence "must be scrutinized with care" and "must always be sufficiently clear, convincing and cogent to satisfy the balance of probabilities test." In </w:t>
      </w:r>
      <w:r>
        <w:rPr>
          <w:rFonts w:ascii="arial" w:eastAsia="arial" w:hAnsi="arial" w:cs="arial"/>
          <w:i/>
          <w:color w:val="000000"/>
          <w:sz w:val="20"/>
          <w:lang w:val="en-US" w:eastAsia="en-US" w:bidi="ar-SA"/>
        </w:rPr>
        <w:t>Nelson (City) v. Mowatt</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2017 SCC 8</w:t>
        </w:r>
      </w:hyperlink>
      <w:r>
        <w:rPr>
          <w:rFonts w:ascii="arial" w:eastAsia="arial" w:hAnsi="arial" w:cs="arial"/>
          <w:color w:val="000000"/>
          <w:sz w:val="20"/>
          <w:lang w:val="en-US" w:eastAsia="en-US" w:bidi="ar-SA"/>
        </w:rPr>
        <w:t xml:space="preserve"> at para. 40, Justice Brown, writing for the Court, explained that the descriptors "clear, convincing and cogent" are "relative, not absolute qualities" and that the quality of evidence necessary to meet the threshold will depend upon the nature of the claim and on the evidence capable of being adduced.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 plaintiff must establish two aspects of causation on the balance of probabilities: causation-in-law, and that the damage was caused in fact by the conduct of a defendant: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54. The issues in the case at hand are of the latter type, causation-in-fact. Factual causation is addressed using the "but for" test; the plaintiff must show on a balance of probabilities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damage would not have occurred: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At para. 8, Chief Justice McLachlin made it clear that if the plaintiff falls short of showing that the alleged negligent acts were not necessary to bring about the damage, her case fails: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Scientific proof of causation is not necessary. Common sense inferences from the facts may well be sufficient, but guesswork or conjecture is never enough to meet the onus: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9, 38 and 46; </w:t>
      </w:r>
      <w:r>
        <w:rPr>
          <w:rFonts w:ascii="arial" w:eastAsia="arial" w:hAnsi="arial" w:cs="arial"/>
          <w:i/>
          <w:color w:val="000000"/>
          <w:sz w:val="20"/>
          <w:lang w:val="en-US" w:eastAsia="en-US" w:bidi="ar-SA"/>
        </w:rPr>
        <w:t>Borgfjord v. Boizard</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2016 BCCA 317</w:t>
        </w:r>
      </w:hyperlink>
      <w:r>
        <w:rPr>
          <w:rFonts w:ascii="arial" w:eastAsia="arial" w:hAnsi="arial" w:cs="arial"/>
          <w:color w:val="000000"/>
          <w:sz w:val="20"/>
          <w:lang w:val="en-US" w:eastAsia="en-US" w:bidi="ar-SA"/>
        </w:rPr>
        <w:t xml:space="preserve"> at para. 55, leave to appeal ref'd, </w:t>
      </w:r>
      <w:hyperlink r:id="rId561" w:history="1">
        <w:r>
          <w:rPr>
            <w:rFonts w:ascii="arial" w:eastAsia="arial" w:hAnsi="arial" w:cs="arial"/>
            <w:i/>
            <w:color w:val="0077CC"/>
            <w:sz w:val="20"/>
            <w:u w:val="single"/>
            <w:shd w:val="clear" w:color="auto" w:fill="FFFFFF"/>
            <w:lang w:val="en-US" w:eastAsia="en-US" w:bidi="ar-SA"/>
          </w:rPr>
          <w:t>2017 CanLII 5366</w:t>
        </w:r>
      </w:hyperlink>
      <w:r>
        <w:rPr>
          <w:rFonts w:ascii="arial" w:eastAsia="arial" w:hAnsi="arial" w:cs="arial"/>
          <w:color w:val="000000"/>
          <w:sz w:val="20"/>
          <w:lang w:val="en-US" w:eastAsia="en-US" w:bidi="ar-SA"/>
        </w:rPr>
        <w:t xml:space="preserve">. In relation to the cognitive difficulties experienced by the plaintiff after the MVA, the defendants submit that the plaintiff's experts have fallen prey to </w:t>
      </w:r>
      <w:r>
        <w:rPr>
          <w:rFonts w:ascii="arial" w:eastAsia="arial" w:hAnsi="arial" w:cs="arial"/>
          <w:i/>
          <w:color w:val="000000"/>
          <w:sz w:val="20"/>
          <w:lang w:val="en-US" w:eastAsia="en-US" w:bidi="ar-SA"/>
        </w:rPr>
        <w:t>post hoc</w:t>
      </w:r>
      <w:r>
        <w:rPr>
          <w:rFonts w:ascii="arial" w:eastAsia="arial" w:hAnsi="arial" w:cs="arial"/>
          <w:color w:val="000000"/>
          <w:sz w:val="20"/>
          <w:lang w:val="en-US" w:eastAsia="en-US" w:bidi="ar-SA"/>
        </w:rPr>
        <w:t xml:space="preserve"> reasoning in arriving at their conclusions on mild traumatic brain injury. In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 Mr. Justice Ehrcke emphasized that it is permissible to draw causation conclusions from temporal sequence, but care must be taken: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before="120" w:line="260" w:lineRule="atLeast"/>
        <w:ind w:left="720"/>
        <w:rPr>
          <w:lang w:val="en-US" w:eastAsia="en-US" w:bidi="ar-SA"/>
        </w:rPr>
      </w:pPr>
      <w:r>
        <w:rPr>
          <w:rFonts w:ascii="arial" w:eastAsia="arial" w:hAnsi="arial" w:cs="arial"/>
          <w:color w:val="000000"/>
          <w:sz w:val="20"/>
          <w:lang w:val="en-US" w:eastAsia="en-US" w:bidi="ar-SA"/>
        </w:rPr>
        <w:t>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This passage was referred to with approval in </w:t>
      </w:r>
      <w:r>
        <w:rPr>
          <w:rFonts w:ascii="arial" w:eastAsia="arial" w:hAnsi="arial" w:cs="arial"/>
          <w:i/>
          <w:color w:val="000000"/>
          <w:sz w:val="20"/>
          <w:lang w:val="en-US" w:eastAsia="en-US" w:bidi="ar-SA"/>
        </w:rPr>
        <w:t>Madill v. Sithivong</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2012 BCCA 62</w:t>
        </w:r>
      </w:hyperlink>
      <w:r>
        <w:rPr>
          <w:rFonts w:ascii="arial" w:eastAsia="arial" w:hAnsi="arial" w:cs="arial"/>
          <w:color w:val="000000"/>
          <w:sz w:val="20"/>
          <w:lang w:val="en-US" w:eastAsia="en-US" w:bidi="ar-SA"/>
        </w:rPr>
        <w:t xml:space="preserve"> at para. 20. See also </w:t>
      </w:r>
      <w:r>
        <w:rPr>
          <w:rFonts w:ascii="arial" w:eastAsia="arial" w:hAnsi="arial" w:cs="arial"/>
          <w:i/>
          <w:color w:val="000000"/>
          <w:sz w:val="20"/>
          <w:lang w:val="en-US" w:eastAsia="en-US" w:bidi="ar-SA"/>
        </w:rPr>
        <w:t>Hosseinzadeh v. Leung</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2014 BCSC 2260</w:t>
        </w:r>
      </w:hyperlink>
      <w:r>
        <w:rPr>
          <w:rFonts w:ascii="arial" w:eastAsia="arial" w:hAnsi="arial" w:cs="arial"/>
          <w:color w:val="000000"/>
          <w:sz w:val="20"/>
          <w:lang w:val="en-US" w:eastAsia="en-US" w:bidi="ar-SA"/>
        </w:rPr>
        <w:t xml:space="preserve"> at para. 67.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Approximately one year after the MVA, Ms. Mickelson underwent a comprehensive assessment under the direction of Dr. Ingrid Friesen, an experienced and well-qualified neuropsychologist. Dr. Friesen concluded that Ms. Mickelson gave good effort and there was no evidence of symptom exaggeration. I accept Dr. Friesen's opinion on the implication of the test results, which she summarized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Ms. Mickelson has average verbal and non-verbal intelligence, with not any significant difference between them. A calculation of her pre-accident IQ indicates that she has not experienced a decrease in her general intellectual functioning. Compared with her pre-accident level of intelligence and same-aged peers, she exhibited deficits/weaknesses in: (a) divided attention; (b) switching attention; (c) sustained attention; (d) encoding complex visual stimuli; (e) organizing complex visual stimuli; (f) word-finding; (g) problem solving; (h) motor speed for both hands; and (i) sense of smell. She also produced intrusions during recall, perseverated, produced a smiley face instead of a circle with three dots, and needed to work slowly to preserve accuracy. Together, Ms. Mickelson's pattern of test scores is consistent with frontal lobe dysfunction. Psychological test results indicated that she is experiencing psychological distress, characterized by symptoms of depression and posttraumatic anxiety.</w:t>
      </w:r>
    </w:p>
    <w:p>
      <w:pPr>
        <w:spacing w:before="120" w:line="260" w:lineRule="atLeast"/>
        <w:ind w:left="720"/>
        <w:rPr>
          <w:lang w:val="en-US" w:eastAsia="en-US" w:bidi="ar-SA"/>
        </w:rPr>
      </w:pPr>
      <w:r>
        <w:rPr>
          <w:rFonts w:ascii="arial" w:eastAsia="arial" w:hAnsi="arial" w:cs="arial"/>
          <w:color w:val="000000"/>
          <w:sz w:val="20"/>
          <w:lang w:val="en-US" w:eastAsia="en-US" w:bidi="ar-SA"/>
        </w:rPr>
        <w:t>. . .</w:t>
      </w:r>
    </w:p>
    <w:p>
      <w:pPr>
        <w:spacing w:before="120" w:line="260" w:lineRule="atLeast"/>
        <w:ind w:left="720"/>
        <w:rPr>
          <w:lang w:val="en-US" w:eastAsia="en-US" w:bidi="ar-SA"/>
        </w:rPr>
      </w:pPr>
      <w:r>
        <w:rPr>
          <w:rFonts w:ascii="arial" w:eastAsia="arial" w:hAnsi="arial" w:cs="arial"/>
          <w:color w:val="000000"/>
          <w:sz w:val="20"/>
          <w:lang w:val="en-US" w:eastAsia="en-US" w:bidi="ar-SA"/>
        </w:rPr>
        <w:t>Test results, as described above, indicate her to have ongoing symptoms of concussion or mild traumatic brain injury (these terms are interchangeable).</w:t>
      </w:r>
    </w:p>
    <w:p>
      <w:pPr>
        <w:spacing w:before="120" w:line="260" w:lineRule="atLeast"/>
        <w:ind w:left="720"/>
        <w:rPr>
          <w:lang w:val="en-US" w:eastAsia="en-US" w:bidi="ar-SA"/>
        </w:rPr>
      </w:pPr>
      <w:r>
        <w:rPr>
          <w:rFonts w:ascii="arial" w:eastAsia="arial" w:hAnsi="arial" w:cs="arial"/>
          <w:color w:val="000000"/>
          <w:sz w:val="20"/>
          <w:lang w:val="en-US" w:eastAsia="en-US" w:bidi="ar-SA"/>
        </w:rPr>
        <w:t>. . .</w:t>
      </w:r>
    </w:p>
    <w:p>
      <w:pPr>
        <w:spacing w:before="120" w:line="260" w:lineRule="atLeast"/>
        <w:ind w:left="720"/>
        <w:rPr>
          <w:lang w:val="en-US" w:eastAsia="en-US" w:bidi="ar-SA"/>
        </w:rPr>
      </w:pPr>
      <w:r>
        <w:rPr>
          <w:rFonts w:ascii="arial" w:eastAsia="arial" w:hAnsi="arial" w:cs="arial"/>
          <w:color w:val="000000"/>
          <w:sz w:val="20"/>
          <w:lang w:val="en-US" w:eastAsia="en-US" w:bidi="ar-SA"/>
        </w:rPr>
        <w:t>Furthermore, the pattern of her neuropsychological deficits is most consistent with frontal lobe dysfunction, resulting from the mild traumatic brain injury that she sustained in the accident, rather than depression and/or alcohol dependence. It is plausible and probable, therefore, that Ms. Mickelson's neuropsychological deficits are due to the accident of November 10, 2015.</w:t>
      </w:r>
    </w:p>
    <w:p>
      <w:pPr>
        <w:spacing w:before="120" w:line="260" w:lineRule="atLeast"/>
        <w:ind w:left="720"/>
        <w:rPr>
          <w:lang w:val="en-US" w:eastAsia="en-US" w:bidi="ar-SA"/>
        </w:rPr>
      </w:pPr>
      <w:r>
        <w:rPr>
          <w:rFonts w:ascii="arial" w:eastAsia="arial" w:hAnsi="arial" w:cs="arial"/>
          <w:color w:val="000000"/>
          <w:sz w:val="20"/>
          <w:lang w:val="en-US" w:eastAsia="en-US" w:bidi="ar-SA"/>
        </w:rPr>
        <w:t>Ms. Mickelson exhibited deficits in attention, memory, and executive functioning. These specific deficits would have a deleterious impact on her ability to work in situations where there is a low threshold [for] errors (e.g., medication administration errors), where she is expected to solve problems not encountered previously (e.g., medical emergencies), and where she needs to be able to multi-task and attend to important information (e.g., patient information conveyed during clinical case conferences). Ms. Mickelson's deficits, therefore, will preclude her ability to engage in work as a health care aide.</w:t>
      </w:r>
    </w:p>
    <w:p>
      <w:pPr>
        <w:spacing w:before="120" w:line="260" w:lineRule="atLeast"/>
        <w:ind w:left="720"/>
        <w:rPr>
          <w:lang w:val="en-US" w:eastAsia="en-US" w:bidi="ar-SA"/>
        </w:rPr>
      </w:pPr>
      <w:r>
        <w:rPr>
          <w:rFonts w:ascii="arial" w:eastAsia="arial" w:hAnsi="arial" w:cs="arial"/>
          <w:color w:val="000000"/>
          <w:sz w:val="20"/>
          <w:lang w:val="en-US" w:eastAsia="en-US" w:bidi="ar-SA"/>
        </w:rPr>
        <w:t>Individuals with traumatic brain injury typically experience maximal spontaneous neurological recovery within 2 years of injury, with the bulk of recovery occurring in the first 6 months. Given that 1 year has elapsed since the accident, Ms. Mickelson likely has achieved the bulk of her recovery by now and if she experiences further recovery, it is likely to be minimal.</w:t>
      </w:r>
    </w:p>
    <w:p>
      <w:pPr>
        <w:spacing w:before="120" w:line="260" w:lineRule="atLeast"/>
        <w:ind w:left="720"/>
        <w:rPr>
          <w:lang w:val="en-US" w:eastAsia="en-US" w:bidi="ar-SA"/>
        </w:rPr>
      </w:pPr>
      <w:r>
        <w:rPr>
          <w:rFonts w:ascii="arial" w:eastAsia="arial" w:hAnsi="arial" w:cs="arial"/>
          <w:color w:val="000000"/>
          <w:sz w:val="20"/>
          <w:lang w:val="en-US" w:eastAsia="en-US" w:bidi="ar-SA"/>
        </w:rPr>
        <w:t>Because it is likely that Ms. Mickelson has achieved a plateau in her recovery of neuropsychological function, it is probable that her deficits will persist into the future. Additionally, brain injuries have a cumulative effect and should she experience another brain injury, she will be more vulnerable to experiencing an exacerbation of her current deficits.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During cross-examination, Dr. Friesen persuasively rebutted the defendants' theory that Ms. Mickelson's tinnitus or fatigue or anxiety, or a combination thereof, affected her test results. I accept Dr. Friesen's evidence that the test scores are consistent with frontal lobe dysfunction and were not the product of fatigue, psychological distress, or tinnitus.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Jaymi Dumper is an otolaryngologist -- otherwise known as an ear, nose, and throat specialist. In his report, he relates that it took quite a bit of time to get a history of the first day after the MVA -- he found her "relatively amnestic of the time of the accident". Dr. Dumper testified that Ms. Mickelson seemed very distractible and had trouble communicating. During cross-examination, Dr. Dumper explained that most people with tinnitus are better off with competing sound -- for instance, when they are in a restaurant surrounded by other conversation -- but this is not the case for Ms. Mickelson. Dr. Dumper described the interrelationship between inner ear and brain function. His opinion, which I accept, is that her tinnitus is secondary in importance to the effects of her brain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One of the important foundations of the opinions of the plaintiff's experts, including the neurologist Dr. Donald Cameron and the psychiatrist Dr. Darcy Muir, each of whom concluded that the plaintiff suffered a mild traumatic brain injury in the MVA, is that there was a period of altered consciousness after the collision. The defendants submit that contemporaneous documentation does not support the plaintiff's assertion of a less than fully conscious state. In particular, the defendants point to the patient care report completed by a paramedic and the hospital emergency record. The paramedic report notes Glasgow Coma Score of 15 (full-score) and the paramedic and hospital records each indicate no loss of consciousness.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However, neither the full-score GCS nor the fact that Ms. Mickelson did not lose consciousness are facts that determine the issue of whether she experienced an altered state of consciousness. I find that Ms. Mickelson's memory of the MVA and the time following to be markedly patchy. I have considered the possibility that some of the gaps in her memory might be put down to the fact she experienced an unpleasant and unexpected event. But, having heard her account, I conclude that it is more probable than not that Ms. Mickelson's state of consciousness was altered as a result of striking her head in the MVA even though she was not "knocked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led the evidence of Dr. Alexander Moll, a neurologist of long experience. His conclusion that Ms. Mickelson did not suffer a brain injury is stated in his report to be on four bases: (1) that the impact was "low and minimal"; (2) that Ms. Mickelson is able to remember many of her thoughts and actions immediately before, during, and following the collision; (3) the absence of any abnormal neurological findings; and (4) the absence of any findings on the MRI. He suspects that her cognitive difficulties can be put down to an anxiety disorder. Although Dr. Moll's evidence runs contrary to the weight of the expert evidence on brain injury in this case, I would be prepared to accept his conclusion on the absence of brain injury if I found his reasoning persuasive. However, I do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First, it is clear that Dr. Moll did not understand how the MVA occurred or the forces involved in the collision. Dr. Moll's inaccurate impression was that the plaintiff's vehicle was struck on the passenger side, and relied on inaccurate information that the impact was minimal. To the contrary, I find that the impact forces were substantial. Second, while I suppose it is not wholly inaccurate to assert that Ms. Mickelson is able to remember many of her thoughts and actions around the time of the collision, I find that this statement does not account for the significant gaps in her memory for these events. Third, the absence of objective signs or positive imaging results does not address the hypothesis that the plaintiff suffered a mild traumatic brain injury and falls into the statistical cluster of those who do not recover from this type of injury. Finally, in cross-examination Dr. Moll agreed that there are four types of symptoms commonly associated with a mild traumatic brain injury and post-concussive syndrome: physical, emotional, cognitive, and sleep; and, he admitted that Ms. Mickelson had complained of several relevant symptoms in each of these categories.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accept the evidence of Dr. Cameron and Dr. Muir that Ms. Mickelson suffered a mild traumatic brain injury in the MVA. She continues to suffer the effects of a post-concussive syndrome. I conclude that she will continue to adapt to these deficits, but the evidence does not make room for any optimism that she will achieve further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Over the period of time since the MVA, I am satisfied on the basis of all of the evidence that her cognitive issues have been multi-factorial: I accept that it is difficult to tease out how much of her cognitive difficulties are accounted for by post-concussive syndrome versus depression and anxiety versus chronic pain. That said, as time has gone on, the partial lifting of her depression and the decrease in her pain have not resulted in a significant improvement in cognitive function. This lends weight to Dr. Friesen's interpretation of the neuropsychological test findings as being consistent with frontal lobe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satisfied on a balance of probabilities that, but for the MVA, Ms. Mickelson would not have the cognitive deficits that partially disable her. I conclude that Ms. Mickelson falls into the 10 to 20 percent of unfortunate people that do not recover from the effects of a mild traumatic brain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proper approach to the assessment of non-pecuniary damages is encapsulated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45-46. The factors to be considered include the age of the plaintiff, the nature of her injuries, the severity and duration of her pain, disability, emotional suffering, loss or impairment of life, the impairment of family and social relationships, the impairment of physical and mental abilities, and loss of lifestyle. A stoic nature ought not to result in a lesser 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submits that an award in the range of $175,000 to $225,000 is appropriate, citing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2006 BCSC 1929</w:t>
        </w:r>
      </w:hyperlink>
      <w:r>
        <w:rPr>
          <w:rFonts w:ascii="arial" w:eastAsia="arial" w:hAnsi="arial" w:cs="arial"/>
          <w:color w:val="000000"/>
          <w:sz w:val="20"/>
          <w:lang w:val="en-US" w:eastAsia="en-US" w:bidi="ar-SA"/>
        </w:rPr>
        <w:t xml:space="preserve"> ($225,000); </w:t>
      </w:r>
      <w:r>
        <w:rPr>
          <w:rFonts w:ascii="arial" w:eastAsia="arial" w:hAnsi="arial" w:cs="arial"/>
          <w:i/>
          <w:color w:val="000000"/>
          <w:sz w:val="20"/>
          <w:lang w:val="en-US" w:eastAsia="en-US" w:bidi="ar-SA"/>
        </w:rPr>
        <w:t>Tan v. Mintzler</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2016 BCSC 1183</w:t>
        </w:r>
      </w:hyperlink>
      <w:r>
        <w:rPr>
          <w:rFonts w:ascii="arial" w:eastAsia="arial" w:hAnsi="arial" w:cs="arial"/>
          <w:color w:val="000000"/>
          <w:sz w:val="20"/>
          <w:lang w:val="en-US" w:eastAsia="en-US" w:bidi="ar-SA"/>
        </w:rPr>
        <w:t xml:space="preserve"> ($210,000); </w:t>
      </w:r>
      <w:r>
        <w:rPr>
          <w:rFonts w:ascii="arial" w:eastAsia="arial" w:hAnsi="arial" w:cs="arial"/>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 xml:space="preserve"> ($200,000); </w:t>
      </w:r>
      <w:r>
        <w:rPr>
          <w:rFonts w:ascii="arial" w:eastAsia="arial" w:hAnsi="arial" w:cs="arial"/>
          <w:i/>
          <w:color w:val="000000"/>
          <w:sz w:val="20"/>
          <w:lang w:val="en-US" w:eastAsia="en-US" w:bidi="ar-SA"/>
        </w:rPr>
        <w:t>Burdett v. Eidse</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2010 BCSC 219</w:t>
        </w:r>
      </w:hyperlink>
      <w:r>
        <w:rPr>
          <w:rFonts w:ascii="arial" w:eastAsia="arial" w:hAnsi="arial" w:cs="arial"/>
          <w:color w:val="000000"/>
          <w:sz w:val="20"/>
          <w:lang w:val="en-US" w:eastAsia="en-US" w:bidi="ar-SA"/>
        </w:rPr>
        <w:t xml:space="preserve">, rev'd on other grounds </w:t>
      </w:r>
      <w:hyperlink r:id="rId567" w:history="1">
        <w:r>
          <w:rPr>
            <w:rFonts w:ascii="arial" w:eastAsia="arial" w:hAnsi="arial" w:cs="arial"/>
            <w:i/>
            <w:color w:val="0077CC"/>
            <w:sz w:val="20"/>
            <w:u w:val="single"/>
            <w:shd w:val="clear" w:color="auto" w:fill="FFFFFF"/>
            <w:lang w:val="en-US" w:eastAsia="en-US" w:bidi="ar-SA"/>
          </w:rPr>
          <w:t>2011 BCCA 191</w:t>
        </w:r>
      </w:hyperlink>
      <w:r>
        <w:rPr>
          <w:rFonts w:ascii="arial" w:eastAsia="arial" w:hAnsi="arial" w:cs="arial"/>
          <w:color w:val="000000"/>
          <w:sz w:val="20"/>
          <w:lang w:val="en-US" w:eastAsia="en-US" w:bidi="ar-SA"/>
        </w:rPr>
        <w:t xml:space="preserve"> ($200,000);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($185,000); and </w:t>
      </w:r>
      <w:r>
        <w:rPr>
          <w:rFonts w:ascii="arial" w:eastAsia="arial" w:hAnsi="arial" w:cs="arial"/>
          <w:i/>
          <w:color w:val="000000"/>
          <w:sz w:val="20"/>
          <w:lang w:val="en-US" w:eastAsia="en-US" w:bidi="ar-SA"/>
        </w:rPr>
        <w:t>Harrison v. Loblaws</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2018 BCSC 575</w:t>
        </w:r>
      </w:hyperlink>
      <w:r>
        <w:rPr>
          <w:rFonts w:ascii="arial" w:eastAsia="arial" w:hAnsi="arial" w:cs="arial"/>
          <w:color w:val="000000"/>
          <w:sz w:val="20"/>
          <w:lang w:val="en-US" w:eastAsia="en-US" w:bidi="ar-SA"/>
        </w:rPr>
        <w:t xml:space="preserve"> ($175,000). The defendants submit that non-pecuniary damages in the range of $110,000 to $130,000 would provide proper compensation. They cite </w:t>
      </w:r>
      <w:r>
        <w:rPr>
          <w:rFonts w:ascii="arial" w:eastAsia="arial" w:hAnsi="arial" w:cs="arial"/>
          <w:i/>
          <w:color w:val="000000"/>
          <w:sz w:val="20"/>
          <w:lang w:val="en-US" w:eastAsia="en-US" w:bidi="ar-SA"/>
        </w:rPr>
        <w:t>Christensen v. Jand</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2018 BCSC 1294</w:t>
        </w:r>
      </w:hyperlink>
      <w:r>
        <w:rPr>
          <w:rFonts w:ascii="arial" w:eastAsia="arial" w:hAnsi="arial" w:cs="arial"/>
          <w:color w:val="000000"/>
          <w:sz w:val="20"/>
          <w:lang w:val="en-US" w:eastAsia="en-US" w:bidi="ar-SA"/>
        </w:rPr>
        <w:t xml:space="preserve"> ($85,000); </w:t>
      </w:r>
      <w:r>
        <w:rPr>
          <w:rFonts w:ascii="arial" w:eastAsia="arial" w:hAnsi="arial" w:cs="arial"/>
          <w:i/>
          <w:color w:val="000000"/>
          <w:sz w:val="20"/>
          <w:lang w:val="en-US" w:eastAsia="en-US" w:bidi="ar-SA"/>
        </w:rPr>
        <w:t>Luis v. Marchiori</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2015 BCSC 1</w:t>
        </w:r>
      </w:hyperlink>
      <w:r>
        <w:rPr>
          <w:rFonts w:ascii="arial" w:eastAsia="arial" w:hAnsi="arial" w:cs="arial"/>
          <w:color w:val="000000"/>
          <w:sz w:val="20"/>
          <w:lang w:val="en-US" w:eastAsia="en-US" w:bidi="ar-SA"/>
        </w:rPr>
        <w:t xml:space="preserve"> ($120,000); </w:t>
      </w:r>
      <w:r>
        <w:rPr>
          <w:rFonts w:ascii="arial" w:eastAsia="arial" w:hAnsi="arial" w:cs="arial"/>
          <w:i/>
          <w:color w:val="000000"/>
          <w:sz w:val="20"/>
          <w:lang w:val="en-US" w:eastAsia="en-US" w:bidi="ar-SA"/>
        </w:rPr>
        <w:t>Hill v. Murray</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2014 BCSC 1528</w:t>
        </w:r>
      </w:hyperlink>
      <w:r>
        <w:rPr>
          <w:rFonts w:ascii="arial" w:eastAsia="arial" w:hAnsi="arial" w:cs="arial"/>
          <w:color w:val="000000"/>
          <w:sz w:val="20"/>
          <w:lang w:val="en-US" w:eastAsia="en-US" w:bidi="ar-SA"/>
        </w:rPr>
        <w:t xml:space="preserve"> ($120,000); and </w:t>
      </w:r>
      <w:r>
        <w:rPr>
          <w:rFonts w:ascii="arial" w:eastAsia="arial" w:hAnsi="arial" w:cs="arial"/>
          <w:i/>
          <w:color w:val="000000"/>
          <w:sz w:val="20"/>
          <w:lang w:val="en-US" w:eastAsia="en-US" w:bidi="ar-SA"/>
        </w:rPr>
        <w:t>Mullens v. Toor</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2016 BCSC 1645</w:t>
        </w:r>
      </w:hyperlink>
      <w:r>
        <w:rPr>
          <w:rFonts w:ascii="arial" w:eastAsia="arial" w:hAnsi="arial" w:cs="arial"/>
          <w:color w:val="000000"/>
          <w:sz w:val="20"/>
          <w:lang w:val="en-US" w:eastAsia="en-US" w:bidi="ar-SA"/>
        </w:rPr>
        <w:t xml:space="preserve"> ($140,000).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Reference to awards made in similar cases can be of assistance in arriving at a fair award for non-pecuniary damages, and the cases cited by counsel that feature mild traumatic brain injuries have assisted in identifying the appropriate range. That said, each case must be decided on its own facts. An individualized assessment is called for, and it is neither possible nor desirable to develop a tariff: see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paras. 39-43.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fixing the amount of non-pecuniary damages in this case, the central consideration is the post-concussive syndrome. It has altered Ms. Mickelson's previously vibrant personality and stunted her capacity to function at a high level. It has also resulted in termination of her education plans and career plans. Considering all of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circumstances, and that she has lost a modest amount of her capacity for domestic chores, I assess her non-pecuniary damages at $200,000.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have elected to assess her domestic capacity loss as part of her non-pecuniary damages because I think it highly probable that the plaintiff will continue to do her domestic chores and pay a relatively minor price of some increased pain and discomfort. See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at paras. 33-34.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Past Loss of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paras. 30-31, the Court explained that a claim for what is often described as "past loss of income" is actually a claim for past loss of earning capacity -- i.e., "a claim for the loss of the value of the work that the injured plaintiff would have performed but was unable to perform because of the injury". The value of the loss may be measured in different ways: for example, by actual earnings the plaintiff would have received, by a replacement-cost evaluation of tasks that the plaintiff is now unable to do, by an assessment of reduced company profits, or by a shared family income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this case, I consider the appropriate method to assess this aspect of Ms. Mickelson's damages is by attempting to measure Ms. Mickelson's actual lost earnings. I begin with the premise that she would have continued in her care-attendant employment at Wexford Creek. She excelled at this valuable work and enjoyed it, and I consider this premise extremely likely. From this starting point, I will take account of reasonable possibilities established by 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first of these contingencies is that Ms. Mickelson may have lost time from work on account of injury or illness -- lower back problems kept her away from her work for significant periods of time in 2012 and 2013. The second reasonable (albeit slight) possibility is that Ms. Mickelson may have left her work or worked less hours to make time to pursue her educational goals. I think this contingency is entitled to very modest weight because I conclude that Ms. Mickelson would not have considered going back to school until her student loans were nearly paid off, and this probably would not have occurred until shortly before the trial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do not discount the past loss of capacity on account of the change in ownership and consequent layoff notices at Wexford Creek. In the context of my finding that Ms. Mickelson was an excellent and valued employee, I am satisfied by the evidence of the Wexford Creek human resources manager, Kim Eliason, that it is a virtual certainty that Ms. Mickelson would have continued in her employment without interruption. Put another way, the chance that Ms. Mickelson would not have been rehired does not rise to the level of being a reasonable possibility.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starting point is full-time annual earnings of approximately $44,000 per annum for the 3.25 years from the accident date to the trial date. This is $143,000. I deduct 15% from this sum for contingencies, to arrive at approximately $121,500. Examining Ms. Mickelson's tax return information, I conclude that she usually pays slightly over 15% for income taxes. Accordingly, I assess the net loss of past income earning capacity at the rounded sum of $100,000.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Future Loss of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Ms. Mickelson is required to prove a real and substantial possibility of events resulting in a future loss in order to recover damages for loss of future earning capacity. If such is proven -- and in general terms the defendants concede that the plaintiff has cleared this threshold -- then it is open to the plaintiff to quantify her loss according to the earnings that she will lose (the "earnings approach"), or by the harm that has been caused to her capacity as a capital asset in the working world (the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principles to be applied in making the assessment under this head of damages were summarized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129"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task is to make a fair and reasonable award of damages, not to calculate them mathematically. In assessing damages, real and substantial possibilities of loss are to be weighed according to their relative likelihood while making allowances for the chance that the assumptions upon which an award is based may prove to be wrong.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earnings approach will be more appropriate than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I conclude that it is appropriate to assess Ms. Mickelson's loss of future earning capacity using an earnings approach because she had a secure attachment to the work force, is in the latter part of her working life, and has lost most of her earning capacity. Her loss is more easily measured than in many cases.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Mickelson claims $730,000 under this head of loss, premised on a series of assumptions: (1) she would have begun her master's degree by September 2018; (2) she would have taken three years to complete her master's program; (3) she would have worked part-time while engaged in the master's program; (4) thereafter she would have earned $42,000 per annum net of contingencies, plus benefits; (5) she would have worked to age 70; and (6) she has no residual employment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I accept that all of these assumptions are reasonable possibilities that arise on the evidence and ought to be weighed in accordance with their likelihood, and there is no doubt that Ms. Mickelson demonstrated the pre-MVA academic capacity to cope with graduate work, there are many uncertainties and gaps in the evidence. First, I do not know anything about Ms. Mickelson's odds of being accepted into the particular type of master's programs that would equip her for the counselling career she wanted. Second, there is the question of whether Ms. Mickelson would have moved away from Nanaimo if it was necessary to do so to take her master's. Third, I do not know if it is feasible to do this type of graduate work while working part-time. Fourth, I do not know how long it usually takes to complete such a program. If, for instance, Ms. Mickelson would have been entirely out of the workforce for three years, could she afford to pursue this plan? And, if she could, I am far from sure she would have been able to recoup the three years' lost earnings as a care attendant. After all, a person emerging with a master's degree would be at the beginning of this new counselling career and until well established their earnings would likely be less -- and possibly much less -- than the statistical average Ms. Mickelson's claim assumes. Further, Ms. Mickelson would have emerged with her new credentials having only a relatively short career horizon within which to make up the lost earnings.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submit that the proper starting place for evaluating this head of damages is a $20,000 loss per annum until the plaintiff turns 65, which amounts to approximately $250,000 using the present value multiplier. Pointing to contingencies, including the plaintiff's history of back problems, the defendants urge an award of $160,000.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adopt an approach different from that advocated for by either side. I start by accepting Mr. Carson's estimate of the present value of Ms. Mickelson's future (without accident) earnings as a care attendant to age 70. He estimates this sum, which is net of all labour market contingencies, at $460,000. (Although this figure is notionally based on employment to age 70, in fact Mr. Carson has accounted for participation rates for persons in this statistical employment category of "nurse's aides, orderlies and patient services associates". For instance at age 65, income is discounted to reflect that only 42.5% of persons in this employment category remain in the workforce; at age 70, income is deeply discounted because only 16.9% of eligible persons are still participating.)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modify this figure to arrive at an estimate of Ms. Mickelson's without-MVA earning capacity. First, there is an adjustment to be made for contingencies that arise on the evidence. I accept that Mr. Carson has already accounted for many of the usual negative labour market contingencies. However, with the plaintiff's fairly recent bouts of pre-MVA back pain, there is a further negative adjustment that ought to be made. On the positive side, there is the possibility that Ms. Mickelson might have done some of her work in care-attendant positions that paid benefits on top of her wages. Also on the positive side, there is the fact that at the time of the MVA, the plaintiff was in a position that paid slightly higher than the average earnings that form the basis of Mr. Carson's calculations (about $44,000 versus about $40,000). Finally, in relation to the possibility that the plaintiff may have left the workforce to try to change careers my assessment is that the positive and negative influences on her pre-MVA earning capacity are in rough balance: I estimate the chances of a net monetary benefit of a career change to be equal to the chances of a net monetary deficit. After weighing all of the evidence, I consider that there ought to be a small positive adjustment to Mr. Carson's figure and I assess the present value of Ms. Mickelson's without-MVA future earning capacity at $500,000.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Because of Ms. Mickelson's post-concussive syndrome, I accept that she is not "competitively employable" as that term was used by Mr. Lawless, the expert retained to provide a vocational assessment. And, I accept that because she has not worked since the MVA, this presents its own set of difficulties. Nonetheless, after gazing into the crystal ball, I think it is likely that Ms. Mickelson will do some low-paying work on a part-time basis -- with the assistance of some occupational therapy and counselling for the residuum of her anxiety and depression. Ms. Mickelson is intelligent and resilient, and I think she will continue to adapt to her cognitive weaknesses and her tinnitus. Perhaps most importantly, she retains the will to return to work and has a strong work ethic. She has applied for work in bookstores and a gift shop, and I think these were reasonable choices given her residual capacity. That said, as her time in the witness box wore on, my impression was that she became fatigued and her cognitive issues became more pronounced. This highlights the unlikelihood that she would be able to manage a full day of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average, I estimate that she will earn approximately $8000 per annum. Making use of Mr. Carson's present value tables, I assess the value of her residual employment capacity at $100,000. It follows that I assess her damages for loss of future earning capacity at $400,000.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Mitigation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defendants argue that Ms. Mickelson has failed to mitigate her losses by not making reasonable efforts to search out alternative employment, or any efforts to retrain. They submit that she ought to have secured at least part-time work by the middle of 2017. I conclude that the evidence does not support this submission.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noted above, I foresee the likelihood that Ms. Mickelson will attach herself to the labour force again, in a limited way, following some occupational therapy and counselling. However, I find that Ms. Mickelson's efforts have been reasonable to this point. It has been over three years since the MVA, but for most of this time she has been suffering from the combination of physical and cognitive problems. It is only fairly recently that she has been able to get the better of her chronic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her work ethic, I do not doubt Ms. Mickelson's motivation to be employed. She applied for more than a half dozen positions -- with a resume that overstated the level of her present skills and abilities -- and did not get work. Further, I do not think it is reasonably possible that any other efforts would have met with success during the period from the middle of 2017 up until the time of trial. And, with her continuing cognitive difficulties, I cannot conclude that Ms. Mickelson has failed to mitigate by not undertaking retraining.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 of Future Care and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Damages for cost of future care are to compensate for expenses to be incurred to sustain or promote mental or physical health. The services and items must be reasonable -- both in the sense of being medically required or justified, and in the sense that the plaintiff will be likely to incur them based on the evidence. See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78 (S.C.), aff'd </w:t>
      </w:r>
      <w:hyperlink r:id="rId132"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28-30; and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55-56.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Medical justification can be established by a health care professional other than a doctor, such as an occupational therapist, but there must be a link between a physician's assessment of pain, disability, and recommended treatment and the recommended future care item: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39; </w:t>
      </w:r>
      <w:r>
        <w:rPr>
          <w:rFonts w:ascii="arial" w:eastAsia="arial" w:hAnsi="arial" w:cs="arial"/>
          <w:i/>
          <w:color w:val="000000"/>
          <w:sz w:val="20"/>
          <w:lang w:val="en-US" w:eastAsia="en-US" w:bidi="ar-SA"/>
        </w:rPr>
        <w:t>Gao v. Dietrich</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2018 BCCA 372</w:t>
        </w:r>
      </w:hyperlink>
      <w:r>
        <w:rPr>
          <w:rFonts w:ascii="arial" w:eastAsia="arial" w:hAnsi="arial" w:cs="arial"/>
          <w:color w:val="000000"/>
          <w:sz w:val="20"/>
          <w:lang w:val="en-US" w:eastAsia="en-US" w:bidi="ar-SA"/>
        </w:rPr>
        <w:t xml:space="preserve"> at paras. 68-70.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general, I agree with the defendants' submission that the evidence does not justify many of the services and items claimed. The defendants support Ms. Mickelson's participation in counselling to assist her with anxiety and depression, and occupational therapy so that she can work toward re-entering the work force. They also concede that there is justification for tinnitus training. I am satisfied that Ms. Mickelson is likely to avail herself of the counselling, occupational therapy, and tinnitus training, and I award the amount claimed, $28,047. The rationale for the occupational therapy is to assist Ms. Mickelson in setting up compensatory strategies to cope with her cognitive issues. This therapy is important to maximize the chances of achieving Ms. Mickelson's goal of returning to work in some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evidence does not support the extent of the claims for physiotherapy and massage therapy. The claim for vestibular therapy fails because Ms. Mickelson gave no evidence about balance issues. And, the evidence she gave about her improved physical condition substantially undermines the claim for more orthopaedic physiotherapy and massage therapy, as well as the claim for attendance at a pain clinic. The evidence does support a very modest fund for treatment in the event of flare-ups of her soft-tissue injuries, and I award $2500 on this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do not accept the claim for a pool pass -- Ms. Mickelson was active before the MVA and is doing her best to try to be active again. She presumably paid for some activities before the MVA to stay fit and I do not think it fair to the defendants that they be required to pay for this type of fitness activity after the MVA.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Mickelson takes the medication Sertraline, and this continuing cost of $4166 is justified by Dr. Muir's opinion. She may continue to require over-the-counter medications to deal with flare-ups of her pain, so I will award the rounded figure of $4500 for all medications (including the Sertraline). I also award the cost of a cervical pillow, a blind spot mirror, a tinnitus masker and attenuators, to a total cost of $15,214. I conclude that the other assistive devices -- such as a new mattress, a wall calendar, and two accordion files -- fall outside the bounds of costs that ought to be reasonably borne by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claim for household services, totalling approximately $65,000, is out of proportion to the quite modest current effects of the plaintiff's loss of capacity to attend to domestic chores. She manages to attend to the vast majority, and I have chosen to recognize this modest loss of capacity as part of her 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Accordingly, the total awarded for cost of future care is $50,261. As for special damages, the parties agree that they amount to $11,271.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am satisfied that this award of damages, taken as a whole, is fair and reasonable to both the plaintiff and the defendants: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556"/>
        <w:gridCol w:w="2091"/>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4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$ 200,000</w:t>
            </w:r>
          </w:p>
        </w:tc>
        <w:tc>
          <w:tcPr>
            <w:tcW w:w="471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3"/>
        <w:gridCol w:w="1464"/>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loss of earning capacity</w:t>
            </w:r>
          </w:p>
        </w:tc>
        <w:tc>
          <w:tcPr>
            <w:tcW w:w="143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100,000</w:t>
            </w:r>
          </w:p>
        </w:tc>
        <w:tc>
          <w:tcPr>
            <w:tcW w:w="471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7"/>
        <w:gridCol w:w="1359"/>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Future loss of earning capacity</w:t>
            </w:r>
          </w:p>
        </w:tc>
        <w:tc>
          <w:tcPr>
            <w:tcW w:w="133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400,000</w:t>
            </w:r>
          </w:p>
        </w:tc>
        <w:tc>
          <w:tcPr>
            <w:tcW w:w="471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450"/>
        <w:gridCol w:w="1778"/>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37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Cost of future care</w:t>
            </w:r>
          </w:p>
        </w:tc>
        <w:tc>
          <w:tcPr>
            <w:tcW w:w="174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50,261</w:t>
            </w:r>
          </w:p>
        </w:tc>
        <w:tc>
          <w:tcPr>
            <w:tcW w:w="512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Special damages</w:t>
            </w:r>
          </w:p>
        </w:tc>
        <w:tc>
          <w:tcPr>
            <w:tcW w:w="512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u w:val="single"/>
                <w:lang w:val="en-US" w:eastAsia="en-US" w:bidi="ar-SA"/>
              </w:rPr>
              <w:t>11,217</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Total</w:t>
            </w:r>
          </w:p>
        </w:tc>
        <w:tc>
          <w:tcPr>
            <w:tcW w:w="4813"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$ 761,478</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is also entitled to court order interest on her past pecuniary losses.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parties have liberty to apply if they are not able to agree upon the appropriate costs order. If Supreme Court Scheduling is not notified within 45 days of any party's intention to make application respecting costs, the order will go with costs to the plaintiff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D.W. THOMPSON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78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Mott v. Welch, [2008] B.C.J. No. 1970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I.H. Pitfield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6-9, 2008.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21,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M062237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1970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1388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171 A.C.W.S. (3d) 223</w:t>
      </w:r>
    </w:p>
    <w:p>
      <w:pPr>
        <w:spacing w:before="120" w:line="260" w:lineRule="atLeast"/>
        <w:rPr>
          <w:lang w:val="en-US" w:eastAsia="en-US" w:bidi="ar-SA"/>
        </w:rPr>
      </w:pPr>
      <w:r>
        <w:rPr>
          <w:rFonts w:ascii="arial" w:eastAsia="arial" w:hAnsi="arial" w:cs="arial"/>
          <w:color w:val="000000"/>
          <w:sz w:val="20"/>
          <w:lang w:val="en-US" w:eastAsia="en-US" w:bidi="ar-SA"/>
        </w:rPr>
        <w:t>Between Gillian Frances Mott, Plaintiff, and Susan Lee Welch and Greater Vancouver Transportation Authority, doing business as Translink,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6" style="position:absolute;z-index:2516776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0" w:name="Keywords_9"/>
      <w:bookmarkEnd w:id="90"/>
      <w:r>
        <w:rPr>
          <w:rFonts w:ascii="arial" w:eastAsia="arial" w:hAnsi="arial" w:cs="arial"/>
          <w:b/>
          <w:color w:val="000000"/>
          <w:sz w:val="20"/>
          <w:lang w:val="en-US" w:eastAsia="en-US" w:bidi="ar-SA"/>
        </w:rPr>
        <w:t xml:space="preserve">Transportation law — Carriers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Passengers — Standard of care — Action by plaintiff for personal injuries suffered when she collided with an armrest while seating herself on a bus operated by defendant Welch — Plaintiff changed seats and claimed she fell while driver accelerated — Action dismissed — No evidence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part of driver — Sole cause of the accident was plaintiff's omission to take precautions to ensure her own safety on a moving bus.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91" w:name="Case Summary_9"/>
            <w:bookmarkEnd w:id="9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for personal injuries suffered when she collided with an armrest while seating herself on a bus owned by the defendant Transportation Authority and operated by the defendant Welch. The plaintiff alleged Welsh operated the bus in a negligent manner. The defendant argued the plaintiff failed to take proper safety precautions. The plaintiff fell as she attempted to change seats on the moving bus, causing the sacral-lumbar portion of her back to strike the plastic armrest affixed to a seat. The plaintiff claimed that the defendant suddenly accelerated, causing the plaintiff to lose her balance. </w:t>
            </w:r>
            <w:r>
              <w:rPr>
                <w:lang w:val="en-US" w:eastAsia="en-US" w:bidi="ar-SA"/>
              </w:rPr>
              <w:cr/>
            </w:r>
          </w:p>
          <w:p>
            <w:pPr>
              <w:spacing w:before="120" w:line="260" w:lineRule="atLeast"/>
              <w:ind w:left="240"/>
              <w:jc w:val="both"/>
              <w:rPr>
                <w:lang w:val="en-US" w:eastAsia="en-US" w:bidi="ar-SA"/>
              </w:rPr>
            </w:pPr>
            <w:bookmarkStart w:id="92" w:name="Holdings of Court_9"/>
            <w:bookmarkEnd w:id="92"/>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plaintiff's injuries did not result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sole cause of the accident was the plaintiff's omission to take precautions to ensure her own safety on a moving bus. She omitted to hold the stanchion that was readily available to her as she sat down. She did not establish that the bus was operated in any manner which could be classified as negligent. </w:t>
            </w:r>
            <w:r>
              <w:rPr>
                <w:lang w:val="en-US" w:eastAsia="en-US" w:bidi="ar-SA"/>
              </w:rPr>
              <w:cr/>
            </w:r>
          </w:p>
          <w:p>
            <w:pPr>
              <w:rPr>
                <w:lang w:val="en-US" w:eastAsia="en-US" w:bidi="ar-SA"/>
              </w:rPr>
            </w:pPr>
          </w:p>
        </w:tc>
      </w:tr>
    </w:tbl>
    <w:p>
      <w:pPr>
        <w:jc w:val="both"/>
        <w:rPr>
          <w:lang w:val="en-US" w:eastAsia="en-US" w:bidi="ar-SA"/>
        </w:rPr>
      </w:pPr>
      <w:bookmarkStart w:id="93" w:name="Counsel_17"/>
      <w:bookmarkEnd w:id="9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7" style="position:absolute;z-index:2517288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C.M. McClughan.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E. Lyszkiewicz.</w:t>
      </w:r>
      <w:r>
        <w:rPr>
          <w:lang w:val="en-US" w:eastAsia="en-US" w:bidi="ar-SA"/>
        </w:rPr>
        <w:cr/>
      </w:r>
    </w:p>
    <w:p>
      <w:pPr>
        <w:spacing w:after="240"/>
        <w:rPr>
          <w:lang w:val="en-US" w:eastAsia="en-US" w:bidi="ar-SA"/>
        </w:rPr>
      </w:pPr>
      <w:bookmarkStart w:id="94" w:name="Judgment_16"/>
      <w:bookmarkEnd w:id="94"/>
      <w:r>
        <w:pict>
          <v:line id="_x0000_s1098" style="position:absolute;z-index:25177907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95" w:name="I.H. PITFIELD J."/>
            <w:bookmarkEnd w:id="95"/>
            <w:r>
              <w:rPr>
                <w:rFonts w:ascii="arial" w:eastAsia="arial" w:hAnsi="arial" w:cs="arial"/>
                <w:b/>
                <w:color w:val="000000"/>
                <w:sz w:val="30"/>
                <w:lang w:val="en-US" w:eastAsia="en-US" w:bidi="ar-SA"/>
              </w:rPr>
              <w:t>I.H. PITFIELD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Mott seeks general and special damages because of injury to the sacral-lumbar area of her back sustained when she collided with an armrest while seating herself on a bus owned by the Greater Vancouver Transportation Authority and operated by Ms. Welch.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Mott says that the bus was operated in a negligent manner. The defendants say that the injury resulted from Ms. Mott's failure to take proper precautions for her own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principles which apply in this case involving a Public Transportation Authority were summarized by Barrow J. in </w:t>
      </w:r>
      <w:r>
        <w:rPr>
          <w:rFonts w:ascii="arial" w:eastAsia="arial" w:hAnsi="arial" w:cs="arial"/>
          <w:i/>
          <w:color w:val="000000"/>
          <w:sz w:val="20"/>
          <w:lang w:val="en-US" w:eastAsia="en-US" w:bidi="ar-SA"/>
        </w:rPr>
        <w:t>McNaught v. Alblas</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2006 BCSC 535</w:t>
        </w:r>
      </w:hyperlink>
      <w:r>
        <w:rPr>
          <w:rFonts w:ascii="arial" w:eastAsia="arial" w:hAnsi="arial" w:cs="arial"/>
          <w:color w:val="000000"/>
          <w:sz w:val="20"/>
          <w:lang w:val="en-US" w:eastAsia="en-US" w:bidi="ar-SA"/>
        </w:rPr>
        <w:t xml:space="preserve">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[3] The parties do not disagree as to the applicable law. It is appropriate to first note the comments of Hudson J. in </w:t>
      </w:r>
      <w:r>
        <w:rPr>
          <w:rFonts w:ascii="arial" w:eastAsia="arial" w:hAnsi="arial" w:cs="arial"/>
          <w:i/>
          <w:color w:val="000000"/>
          <w:sz w:val="20"/>
          <w:lang w:val="en-US" w:eastAsia="en-US" w:bidi="ar-SA"/>
        </w:rPr>
        <w:t>Day v. Toronto Transportation Commission</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[1940] 4 D.L.R. 484</w:t>
        </w:r>
      </w:hyperlink>
      <w:r>
        <w:rPr>
          <w:rFonts w:ascii="arial" w:eastAsia="arial" w:hAnsi="arial" w:cs="arial"/>
          <w:color w:val="000000"/>
          <w:sz w:val="20"/>
          <w:lang w:val="en-US" w:eastAsia="en-US" w:bidi="ar-SA"/>
        </w:rPr>
        <w:t xml:space="preserve"> (SCC) where he wrote:</w:t>
      </w:r>
    </w:p>
    <w:p>
      <w:pPr>
        <w:spacing w:before="120" w:line="260" w:lineRule="atLeast"/>
        <w:ind w:left="1080"/>
        <w:rPr>
          <w:lang w:val="en-US" w:eastAsia="en-US" w:bidi="ar-SA"/>
        </w:rPr>
      </w:pPr>
      <w:r>
        <w:rPr>
          <w:rFonts w:ascii="arial" w:eastAsia="arial" w:hAnsi="arial" w:cs="arial"/>
          <w:color w:val="000000"/>
          <w:sz w:val="20"/>
          <w:lang w:val="en-US" w:eastAsia="en-US" w:bidi="ar-SA"/>
        </w:rPr>
        <w:t>Although the carrier of passengers is not an insurer, yet if an accident occurs and the passenger is injured, there is a heavy burden on the defendant carrier to establish that he had used all due, proper and reasonable care and skill to avoid or prevent injury to the passenger. The care required is of a very high degree ...</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[4] The most recent statement of the law from the Court of Appeal in this province is found in </w:t>
      </w:r>
      <w:r>
        <w:rPr>
          <w:rFonts w:ascii="arial" w:eastAsia="arial" w:hAnsi="arial" w:cs="arial"/>
          <w:i/>
          <w:color w:val="000000"/>
          <w:sz w:val="20"/>
          <w:lang w:val="en-US" w:eastAsia="en-US" w:bidi="ar-SA"/>
        </w:rPr>
        <w:t>Wang v. Harrod</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Wang</w:t>
      </w:r>
      <w:r>
        <w:rPr>
          <w:rFonts w:ascii="arial" w:eastAsia="arial" w:hAnsi="arial" w:cs="arial"/>
          <w:color w:val="000000"/>
          <w:sz w:val="20"/>
          <w:lang w:val="en-US" w:eastAsia="en-US" w:bidi="ar-SA"/>
        </w:rPr>
        <w:t xml:space="preserve">]. The law as there explained was conveniently summarized by Humphries J. in </w:t>
      </w:r>
      <w:r>
        <w:rPr>
          <w:rFonts w:ascii="arial" w:eastAsia="arial" w:hAnsi="arial" w:cs="arial"/>
          <w:i/>
          <w:color w:val="000000"/>
          <w:sz w:val="20"/>
          <w:lang w:val="en-US" w:eastAsia="en-US" w:bidi="ar-SA"/>
        </w:rPr>
        <w:t>Lawson v. British Columbia Transit Authority</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2002 BCSC 1438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Lawson</w:t>
      </w:r>
      <w:r>
        <w:rPr>
          <w:rFonts w:ascii="arial" w:eastAsia="arial" w:hAnsi="arial" w:cs="arial"/>
          <w:color w:val="000000"/>
          <w:sz w:val="20"/>
          <w:lang w:val="en-US" w:eastAsia="en-US" w:bidi="ar-SA"/>
        </w:rPr>
        <w:t>]. There at para. 18 she said this:</w:t>
      </w:r>
    </w:p>
    <w:p>
      <w:pPr>
        <w:spacing w:before="120" w:line="260" w:lineRule="atLeast"/>
        <w:ind w:left="1080"/>
        <w:rPr>
          <w:lang w:val="en-US" w:eastAsia="en-US" w:bidi="ar-SA"/>
        </w:rPr>
      </w:pPr>
      <w:r>
        <w:rPr>
          <w:rFonts w:ascii="arial" w:eastAsia="arial" w:hAnsi="arial" w:cs="arial"/>
          <w:color w:val="000000"/>
          <w:sz w:val="20"/>
          <w:lang w:val="en-US" w:eastAsia="en-US" w:bidi="ar-SA"/>
        </w:rPr>
        <w:t>... once an accident has occurred, the defendant must meet the heavy burden of establishing that he used all proper and reasonable care and skill to avoid or prevent injury to the passenger. The standard of care imposed is the conduct expected of a reasonably prudent bus driver in the circumstances. The court must consider the experience of an average bus driver, as well as anything that the particular driver knew or should have known about the passenger. The standard of care required is higher when the driver knew or ought to have known that the passenger was handicapped or elderly.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To the foregoing, I would add and endorse the observation made by McLachlin J., as she then was, in </w:t>
      </w:r>
      <w:r>
        <w:rPr>
          <w:rFonts w:ascii="arial" w:eastAsia="arial" w:hAnsi="arial" w:cs="arial"/>
          <w:i/>
          <w:color w:val="000000"/>
          <w:sz w:val="20"/>
          <w:lang w:val="en-US" w:eastAsia="en-US" w:bidi="ar-SA"/>
        </w:rPr>
        <w:t>Planidin v. Dykes</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[1984] B.C.J. No. 907</w:t>
        </w:r>
      </w:hyperlink>
      <w:r>
        <w:rPr>
          <w:rFonts w:ascii="arial" w:eastAsia="arial" w:hAnsi="arial" w:cs="arial"/>
          <w:color w:val="000000"/>
          <w:sz w:val="20"/>
          <w:lang w:val="en-US" w:eastAsia="en-US" w:bidi="ar-SA"/>
        </w:rPr>
        <w:t xml:space="preserve"> where, in respect of a case involving a fall on a bus, the learned judge said: "In my view, these cases illustrate that each case must be decided on its own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do not doubt that Ms. Mott did her best to recall the circumstances surrounding the incident. However, I am not persuaded that her perception of that which transpired conforms to the reality. In the circumstances, I find that the injury Ms. Mott sustained was not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bus operator or the Transit Authority.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Mott boarded the bus in question in White Rock on February 8, 2005, soon after 3:00 p.m. destined for Vancouver. She was wearing high-heeled shoes, and carrying a violin case attached by a strap to her back, a small suitcase containing binders of music, and a purse. She deposited her fare while standing in the stairwell of the bus. The bus began to move before she left the stairwell to take a seat. She gripped the fare box in order to maintain her stability. Ms. Mott testified to uttering a remark that reflected her surprise at losing her balance. She said nothing to the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Mott emerged from the stairwell and made her way to a courtesy seat behind the driver on the left side of the bus. She sat down in the rear-most of the two seats facing the centre-line of the bus. To her right was an open space, and further to her right was a collapsible chair with the seat and armrests in the down or extended position. The collapsible chair is affixed to the wall of the bus in an area set aside for riders in wheelchairs. This configuration is unique to buses of the kind on which Ms. Mott was riding and which are used by the Transit Authority for the longer highway runs between White Rock and downtown 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Mott placed her violin on the floor beside her, and placed her suitcase under the collapsible seat to her right. She placed her purse on the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the bus next stopped, an elderly passenger moved from a seat in the rear of the bus to the front in order to depart. There is no rear exit in the kind of bus Ms. Mott was riding. After the departing passenger had passed her, Ms. Mott stood up. She held the floor-to-roof stanchion adjacent to the courtesy seat with her right hand. She rotated clockwise so that her back was to the collapsible seat. As she did so, she changed her grip in order to hold the stanchion with her left hand. Ms. Mott let go of the stanchion she had been holding with her left hand as she proceeded to sit down in the collapsible seat and before she was seated. Ms. Mott testified to her recollection that the bus accelerated from the bus stop causing her to lose her balance and to descend with some force. The sacral-lumbar portion of her back struck the plastic armrest affixed to the left side of the collapsible seat. A photograph of the injury taken later in the day indicates that the point of contact was directly on the sacral-lumbar area or the coccyx, and not to the left or right of the spine. Ms. Mott made no mention of the incident to the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Mott rode the bus into downtown Vancouver, transferred to another bus that would take her to her destination where she would give music lessons to one or more students, and then continue to a rehearsal or concert with her string quartet. She then returned home later in the evening. By that time bruising in the contact area was apparent and stiffness and discomfort prevailed.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Mott first visited her physician on February 10, 2005. She notified the Transit Authority of the incident and lodged her complaint. It was not until February 23, 2005, fifteen days after the incident, that Ms. Welch was interviewed by her supervisor or manager with respect to the incident and asked to complete an incident sheet. Ms. Welch advised her supervisor and testified in this court that she had no recollection whatever of the incident described by Ms. Mott, or of Ms. Mott as a passenger.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Mott testified that she did not speak to the driver at the time of the incident because she thought she was not approachable. She testified that she formed that opinion by watching Ms. Welch interact with other passengers. The interaction which Ms. Mott described occurred after the incident. There is no reason why, in the event Ms. Mott thought that Ms. Welch had operated the bus in an irresponsible manner, she could not or would not have mentioned it immediately upon sustaining the injury of which she complains.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Welch is an experienced driver who has worked with the Transit Authority for approximately 20 years. No evidence of her driving record, whether good or bad, was adduced. There is insufficient evidence from which I am able to assess traffic conditions or driving conditions generally, or from which to conclude that the motion of the bus at the time of the mishap was out of the ordinary.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Mott testified that she was a frequent bus rider. She readily acknowledged that she was aware that buses were subject to motion against which a standing rider had to take reasonable precautions.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bus was well-equipped with stanchions and overhead grips in the area where Ms. Mott first sat and the seat to which she moved.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evidence indicates, and I find, that the bus was travelling on a four-lane road with two lanes in each direction of travel. The centre lane in the direction of travel was reserved for through traffic. The curb lane was available for parking. There is no evidence that there were restrictions against parking at the time that this mishap occurred. While neither Ms. Welch nor Ms. Mott had a specific recollection of traffic conditions at the stop where the mishap occurred, I am prepared to infer and find as a fact that vehicles were parked in the curb lane ahead of the bus stop zone. That is the reasonable inference given that the bus swayed upon, or soon after, leaving the stop. The swaying motion is consistent with the movement of the bus from the curb lane to the centre through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Mott testified to her recollection that the bus suddenly accelerated. I find that contact with the left armrest of the seat is inconsistent with acceleration which would have tended to cause Ms. Mott to move to the rear of the bus toward the right-hand armrest. The fact Ms. Mott hit the left armrest is more consistent with deceleration of the bus which caused her body to move from the centre of the seat where she intended to sit, to a position over the left side armrest.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no evidence from any rider on the bus who observed the incident or the motion of the bus at the time the mishap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 evidence that has been adduced, I conclude and find as a fact that the sole cause of the accident was Ms. Mott's omission to take precautions to ensure her own safety on a moving bus. She omitted to hold the stanchion that was readily available to her as she sat down. I am not persuaded on a balance of probabilities that the bus was operated in any manner which could be classified as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action is dismissed. In the absence of agreement, the parties may speak to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I.H. PITFIELD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Rabachuk v. Cooke, [2001] B.C.J. No. 2087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S038282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2087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1349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339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Tony Rabachuk, plaintiff, and Donald A. Cooke,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0"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6" w:name="Keywords_10"/>
      <w:bookmarkEnd w:id="96"/>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Surgical operations by doctors.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7" w:name="Case Summary_10"/>
            <w:bookmarkEnd w:id="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Rabachuk brought an action against Cooke for damages for a post-operative condition suffered by Rabachuk following a hernia operation. Cooke left a plastic sheath in the surgical site which fell off of an instrument used during the operation.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8" w:name="Holdings of Court_10"/>
            <w:bookmarkEnd w:id="98"/>
            <w:r>
              <w:rPr>
                <w:rFonts w:ascii="arial" w:eastAsia="arial" w:hAnsi="arial" w:cs="arial"/>
                <w:color w:val="000000"/>
                <w:sz w:val="20"/>
                <w:lang w:val="en-US" w:eastAsia="en-US" w:bidi="ar-SA"/>
              </w:rPr>
              <w:t>HELD: Rabachuk was entitled to damages of $2,500 for the fact that Rabachuk required a second operation to remove the sheath.</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facts presented a prima facie case that insufficient care was used in examining the instrument to ensure that nothing was left behind.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9" w:name="Legislation Cited_1"/>
      <w:bookmarkEnd w:id="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1"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0" w:name="Counsel_18"/>
      <w:bookmarkEnd w:id="10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2"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Donald W. Maskall, for the plaintiff. Raj Samtani,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1" w:name="Judgment_17"/>
      <w:bookmarkEnd w:id="101"/>
      <w:r>
        <w:pict>
          <v:line id="_x0000_s1103"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2" w:name="GRIST J."/>
            <w:bookmarkEnd w:id="102"/>
            <w:r>
              <w:rPr>
                <w:rFonts w:ascii="arial" w:eastAsia="arial" w:hAnsi="arial" w:cs="arial"/>
                <w:b/>
                <w:color w:val="000000"/>
                <w:sz w:val="30"/>
                <w:lang w:val="en-US" w:eastAsia="en-US" w:bidi="ar-SA"/>
              </w:rPr>
              <w:t>GRIST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parties originally brought this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on for summary trial before Mr. Justice Leggatt. On reviewing the affidavit evidence and the expert opinions tendered by the parties, he determined that the action could not succeed in respect of damages claimed for a post-operative condition suffered by the plaintiff after a hernia operation. The decision was predicated on the finding that the post-operative condition was due to a recognised complication associated with hernia repair and independent of the fact that a plastic sheath was left behind at the surgical site after the operation. The plastic sheath was removed approximately two weeks after the initial operation. This left only the claim for damages for the necessity of the second procedure, which was to be subsequently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matter was taken to appeal and the Court of Appeal held that the trial judge erred in failing to resolve whether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surgeon's failure to detect the loss of the plastic sheath at the operation site in light of an agreement between Counsel that sufficient evidence existed in the material to resolve all issues outstanding in the case. The matter was remitted for total resolution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hernia repair was attempted using a machine known as an endoscopic articulating stapler. The plaintiff relies on the fact the defendant had difficulty in using the stapler when it was introduced into the abdominal cavity. The machine was a new model and was different from instruments previously used in that it had a flexible end piece. During the operation the machine became troublesome, was taken out and reintroduced, and subsequently an older machine was used and the operation was completed. After the operation the stapler was examined by the manufacturer's sales representative who noticed and brought to the surgeon's attention the fact that the plastic sheath had broken off the end of the machine. The plaintiff says that the instrument should have been examined as a matter of routine before the operation was completed and especially in circumstances where there was difficulty in its operation. If the loss of the part had been discovered during the operation, it could have been retrieved and the subsequent operation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says this is a matter of common sense and does not require the support of expert opinion, ter Neuzen v. Korn </w:t>
      </w:r>
      <w:hyperlink r:id="rId234"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is cited.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Evidence was introduced by the defendant in the form of the expert opinions of doctors O'Regan, Panton, Blair and Schmidt, all experienced surgeons. All four supported the choice of treatment and specifically the choice of surgical technique. The evidence was also consistent in that the loss of the plastic sheath was as a result of instrument failure and that the recovery was done appropriately. Further, all four supported the fact that the incident did not contribute to the later pain and inflammation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Each of these surgeons offered a general comment on the role of the defendant in the plaintiff's care. In doctor O'Regan's case, he said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Met the standard of care in his intra operative ...care and treatment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However, none of these witnesses specifically commented on the failure to detect that a piece of the instrument had been left behind, a fact that was only discovered after the operation was complete, on examination by the sales representative. I find their generalised comments of little assistance when attention is not focused on the question crucial to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case offers little evidence upon which to make a determination. The plaintiff has plead res ipsa loquitur, but as pointed out in Fontaine v. British Columbia </w:t>
      </w:r>
      <w:hyperlink r:id="rId593" w:history="1">
        <w:r>
          <w:rPr>
            <w:rFonts w:ascii="arial" w:eastAsia="arial" w:hAnsi="arial" w:cs="arial"/>
            <w:i/>
            <w:color w:val="0077CC"/>
            <w:sz w:val="20"/>
            <w:u w:val="single"/>
            <w:shd w:val="clear" w:color="auto" w:fill="FFFFFF"/>
            <w:lang w:val="en-US" w:eastAsia="en-US" w:bidi="ar-SA"/>
          </w:rPr>
          <w:t>(1997) 46 B.C.L.R. (3d) 1</w:t>
        </w:r>
      </w:hyperlink>
      <w:r>
        <w:rPr>
          <w:rFonts w:ascii="arial" w:eastAsia="arial" w:hAnsi="arial" w:cs="arial"/>
          <w:color w:val="000000"/>
          <w:sz w:val="20"/>
          <w:lang w:val="en-US" w:eastAsia="en-US" w:bidi="ar-SA"/>
        </w:rPr>
        <w:t xml:space="preserve"> (S.C.C.), at p.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would appear that the law would be better served if the maxim "res ipsa loquitur" was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After all, it was nothing more than an attempt to deal with circumstantial evidence. That evidence is more sensibly dealt with by the trier of fact, who should weigh the circumstantial evidence with the direct evidence, if any, to determine whether the plaintiff has established on a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ultimate, I consider the following facts:</w:t>
      </w:r>
      <w:r>
        <w:rPr>
          <w:rFonts w:ascii="arial" w:eastAsia="arial" w:hAnsi="arial" w:cs="arial"/>
          <w:sz w:val="20"/>
          <w:lang w:val="en-US" w:eastAsia="en-US" w:bidi="ar-SA"/>
        </w:rPr>
        <w:cr/>
      </w:r>
    </w:p>
    <w:p>
      <w:pPr>
        <w:numPr>
          <w:numId w:val="2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foreign body was left in the patient and not discovered until after the operation was complete.</w:t>
      </w:r>
    </w:p>
    <w:p>
      <w:pPr>
        <w:numPr>
          <w:numId w:val="2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sheath was of sufficient size (1 centimetre by 2 centimetres) to be seen and a visible component of the instrument used.</w:t>
      </w:r>
    </w:p>
    <w:p>
      <w:pPr>
        <w:numPr>
          <w:numId w:val="2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had been difficulty in the operation of the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my mind these facts present a prima facie case that insufficient care was exercised in examining the instrument used to ensure that nothing was left behind during the operation. This said, as recognised by Mr. Justice Leggatt, the consequential damages are restricted to the recovery of the plastic sheath. The operation was under general anaesthetic but limited to two small incisions needed to introduce a scope and retract the offending part. Damages should be assessed in the sum of $2,500.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4"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Weafer (Litigation Guardian of) v. Vancouver Coastal Health Authority et al., 2007 CHFL para. 15,475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Cole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April 10, 2007.</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S026072</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2007</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2007 CHFL para. 15,475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2007 BCSC 481</w:t>
        </w:r>
      </w:hyperlink>
    </w:p>
    <w:p>
      <w:pPr>
        <w:spacing w:before="120" w:line="260" w:lineRule="atLeast"/>
        <w:rPr>
          <w:lang w:val="en-US" w:eastAsia="en-US" w:bidi="ar-SA"/>
        </w:rPr>
      </w:pPr>
      <w:r>
        <w:rPr>
          <w:rFonts w:ascii="arial" w:eastAsia="arial" w:hAnsi="arial" w:cs="arial"/>
          <w:color w:val="000000"/>
          <w:sz w:val="20"/>
          <w:lang w:val="en-US" w:eastAsia="en-US" w:bidi="ar-SA"/>
        </w:rPr>
        <w:t>Weafer (Litigation Guardian of) v. Vancouver Coastal Health Authority et al.</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5" style="position:absolute;z-index:25167974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03" w:name="Keywords_11"/>
      <w:bookmarkEnd w:id="103"/>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Pre-existing conditions — Plaintiff received overdose of medication after surgery — Plaintiff claimed overdose responsible for anoxic brain injury — Defendants admitted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but claimed overdose not responsible for plaintiff's current medical condition — Plaintiff failed to prove he suffered brain injury — Awarded $55,000 for post-traumatic stress disorder, $5,000 in trust, $3,000 for psychological counselling.</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04" w:name="Case Summary_11"/>
            <w:bookmarkEnd w:id="104"/>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Weafer, underwent successful back surgery in 2001. The drug Ketamine, an anesthetic and analgesic, was administered after surgery to reduce pain. The drug was given too quickly, resulting in an overdose. A code blue was called and, during this time, Weafer underwent a near-death experience. After being released from the hospital, Weafer appeared to have difficulty processing speech and doing routine tasks. He alleged that he had suffered an anoxic brain injury because his breathing had stopped for a significant amount of time. The defendants claimed that Weafer had never stopped breathing, and therefore did not incur a brain injury. </w:t>
            </w:r>
            <w:r>
              <w:rPr>
                <w:lang w:val="en-US" w:eastAsia="en-US" w:bidi="ar-SA"/>
              </w:rPr>
              <w:cr/>
            </w:r>
          </w:p>
          <w:p>
            <w:pPr>
              <w:spacing w:before="120" w:line="260" w:lineRule="atLeast"/>
              <w:ind w:left="240"/>
              <w:jc w:val="both"/>
              <w:rPr>
                <w:lang w:val="en-US" w:eastAsia="en-US" w:bidi="ar-SA"/>
              </w:rPr>
            </w:pPr>
            <w:bookmarkStart w:id="105" w:name="Holdings of Court_11"/>
            <w:bookmarkEnd w:id="105"/>
            <w:r>
              <w:rPr>
                <w:rFonts w:ascii="arial" w:eastAsia="arial" w:hAnsi="arial" w:cs="arial"/>
                <w:color w:val="000000"/>
                <w:sz w:val="20"/>
                <w:lang w:val="en-US" w:eastAsia="en-US" w:bidi="ar-SA"/>
              </w:rPr>
              <w:t xml:space="preserve">HELD: The plaintiff failed to prove he had a brain injury, but the defendants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damages were awarded against them.</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Cole J. concluded that there was no evidence that showed a causal connection between the defendants' actions and the injuries alleged to have been suffered. The evidence showed that Weafer did not stop breathing; this contributed to the failure of his claim. The Court also determined that Weafer's pre-existing conditions and some of his medications contributed to his medical problems. However, the Court recognized that the near-death experience was terrifying, and determined that the associated psychological problems should be resolved within a year. Therefore, Weafer was awarded $55,000 for post-traumatic stress, $5,000 in trust, and $3,000 for one year of psychological counselling. </w:t>
            </w:r>
            <w:r>
              <w:rPr>
                <w:lang w:val="en-US" w:eastAsia="en-US" w:bidi="ar-SA"/>
              </w:rPr>
              <w:cr/>
            </w:r>
          </w:p>
          <w:p>
            <w:pPr>
              <w:rPr>
                <w:lang w:val="en-US" w:eastAsia="en-US" w:bidi="ar-SA"/>
              </w:rPr>
            </w:pPr>
          </w:p>
        </w:tc>
      </w:tr>
    </w:tbl>
    <w:p>
      <w:pPr>
        <w:jc w:val="both"/>
        <w:rPr>
          <w:lang w:val="en-US" w:eastAsia="en-US" w:bidi="ar-SA"/>
        </w:rPr>
      </w:pPr>
      <w:bookmarkStart w:id="106" w:name="Counsel_19"/>
      <w:bookmarkEnd w:id="10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6" style="position:absolute;z-index:2517309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L.A. Wong and D.J. Holubitsky for the plaintiff; C.L. Forth and A. Sayn-Wittgenstein for the defendants.</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811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600433 B.C. Ltd. v. XJ Motors Ltd., [2011] B.C.J. No. 1735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23 and July 22, 2011;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S112523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1735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1144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R.P.R. (5th) 308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2420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600433 B.C. Ltd., also known as Wax Buff and Grind Detailing Inc., Plaintiff, and XJ Motors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8"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7" w:name="Keywords_12"/>
      <w:bookmarkEnd w:id="107"/>
      <w:r>
        <w:rPr>
          <w:rFonts w:ascii="arial" w:eastAsia="arial" w:hAnsi="arial" w:cs="arial"/>
          <w:b/>
          <w:color w:val="000000"/>
          <w:sz w:val="20"/>
          <w:lang w:val="en-US" w:eastAsia="en-US" w:bidi="ar-SA"/>
        </w:rPr>
        <w:t>Landlord and tenant law — Commercial tenancies — Tenant's obligations — Restrictive covenants — Landlord's remedies — Termination of lease (forfeiture) — Grounds — Non-monetary default — Relief from forfeiture — Considerations — Conduct of parties — Application by tenant for relief from forfeiture dismissed — Tenant sublet and vacated property — Landlord gave notice of termination due to breach of assignment, use and occupation provisions — Tenant relied on alleged prior waiver of consent to assignment covenant — Current and past breaches of several provisions and covenants precluded relief from forfeiture — Tenant did not come to court with clean hands due to misrepresentations during related injunction proceedings — Landlord awarded special costs as per lease — Law and Equity Act, ss. 24, 26.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8" w:name="Case Summary_12"/>
            <w:bookmarkEnd w:id="1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tenant, Wax Buff and Grind Detailing, for relief from forfeiture of the continuation of a lease in respect of a property owned by the defendant landlord, XJ Motors. In 2006, the tenant took assignment of a 2003 lease. The tenant was permitted to use and occupy the promises for the purposes of an automobile dealer. The assignment agreement expressly limited the consent of the landlord to that particular assignment and included a covenant not to assign or sublet any part of the property without the landlord's prior written consent. In 2007, the tenant sublet the property to Affinity Auto without the landlord's knowledge. The landlord learned of the sublet when it witnessed a new sign outside of the property. The tenant advised that Affinity was a partner in its automobile dealership. The landlord agreed to allow Affinity to continue to occupy the property. In 2008, Affinity contacted the landlord and advised that it had a sublease and sought assurances its sublease would be honoured in the event of the tenant's bankruptcy or default under the lease. Various renovations had been undertaken without the landlord's consent and without obtaining required civic permits. Affinity vacated the property in 2010. In 2011, the tenant sublet the property to MOMO Lease and Finance, but advised MOMO not to move in immediately. The landlord subsequently learned that the tenant had vacated for new premises and sublet the property. The landlord advised that the tenant was in breach of the assignment and use and occupation provisions of the lease. Following further correspondence between the parties, the landlord gave notice of termination for breach of covenants and demanded payment of outstanding rent. The tenant relied on prior waiver of the covenants, citing the sublet to Affinity. An ex parte injunction obtained by the tenant was set aside for misrepresentation and failure to make full disclosure.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9" w:name="Holdings of Court_12"/>
            <w:bookmarkEnd w:id="10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tenant breached the lease by leaving the property vacant, by subletting to MOMO without consent, and by failing to provide proof of appropriate insurance. In addition, the tenant previously undertook renovations and a prior sublease without prior consent of the landlord. The terms of the sublease with Affinity lacked appropriate protections concerning restriction on use and renovations. The tenant did not come to court with clean hands based on its conduct in the related injunction proceedings. The landlord had entered a new lease. In such circumstances, it was appropriate to refuse relief from forfeiture. The landlord was entitled to an order of special costs as per the lease.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0" w:name="Legislation Cited_2"/>
      <w:bookmarkEnd w:id="1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9"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Commercial Tenancy Act, </w:t>
      </w:r>
      <w:r>
        <w:rPr>
          <w:rFonts w:ascii="arial" w:eastAsia="arial" w:hAnsi="arial" w:cs="arial"/>
          <w:i/>
          <w:color w:val="000000"/>
          <w:sz w:val="20"/>
          <w:lang w:val="en-US" w:eastAsia="en-US" w:bidi="ar-SA"/>
        </w:rPr>
        <w:t>RSBC 1996, CHAPTER 57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609" w:history="1">
        <w:r>
          <w:rPr>
            <w:rFonts w:ascii="arial" w:eastAsia="arial" w:hAnsi="arial" w:cs="arial"/>
            <w:i/>
            <w:color w:val="0077CC"/>
            <w:sz w:val="20"/>
            <w:u w:val="single"/>
            <w:shd w:val="clear" w:color="auto" w:fill="FFFFFF"/>
            <w:lang w:val="en-US" w:eastAsia="en-US" w:bidi="ar-SA"/>
          </w:rPr>
          <w:t>RSBC 1996, CHAPTER 253, s. 24</w:t>
        </w:r>
      </w:hyperlink>
      <w:r>
        <w:rPr>
          <w:rFonts w:ascii="arial" w:eastAsia="arial" w:hAnsi="arial" w:cs="arial"/>
          <w:color w:val="000000"/>
          <w:sz w:val="20"/>
          <w:lang w:val="en-US" w:eastAsia="en-US" w:bidi="ar-SA"/>
        </w:rPr>
        <w:t>, s. 26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1" w:name="Counsel_20"/>
      <w:bookmarkEnd w:id="1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0"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M.R. Epstein and S. Glanzberg.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P.A. Brackstone.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2" w:name="Judgment_18"/>
      <w:bookmarkEnd w:id="112"/>
      <w:r>
        <w:pict>
          <v:line id="_x0000_s1111"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3" w:name="G.D. BURNYEAT J."/>
            <w:bookmarkEnd w:id="113"/>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Applying pursuant to s. 24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Plaintiff seeks to be relieved of the forfeiture of the continuation of a lease of 1767 West 3rd Avenue, Vancouver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XJ Motors Ltd. ("XJ") is the owner of the Property. Cecil Wishart is the principal of XJ. The Plaintiff was a tenant in the Property. Michael Wood is the principal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1, 2003, XJ leased the Property to a Mr. McCullough ("Lease"). The terms of the Lease included the following:</w:t>
      </w:r>
      <w:r>
        <w:rPr>
          <w:rFonts w:ascii="arial" w:eastAsia="arial" w:hAnsi="arial" w:cs="arial"/>
          <w:sz w:val="20"/>
          <w:lang w:val="en-US" w:eastAsia="en-US" w:bidi="ar-SA"/>
        </w:rPr>
        <w:cr/>
      </w:r>
    </w:p>
    <w:p>
      <w:pPr>
        <w:numPr>
          <w:numId w:val="2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restriction on renovations or alterations to the Property without the landlord's consent (paragraph 3.02);</w:t>
      </w:r>
    </w:p>
    <w:p>
      <w:pPr>
        <w:numPr>
          <w:numId w:val="2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requirement for the tenant to use and occupy the Property for the purposes of a "showroom, warehouse, office space, but not for any other business or purpose unless consented to in writing by the landlord [which consent shall not be unreasonably withheld]" (paragraph 3.06);</w:t>
      </w:r>
    </w:p>
    <w:p>
      <w:pPr>
        <w:numPr>
          <w:numId w:val="2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restriction against assignments, subleases, transfers, or otherwise encumbering the tenant's interest in the Property without the consent of XJ (paragraph 3.08);</w:t>
      </w:r>
    </w:p>
    <w:p>
      <w:pPr>
        <w:numPr>
          <w:numId w:val="2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terminate the Lease for breach of any of the covenants after 15 days notice, or, without notice, in the event the Property was vacant for 30 days (paragraph 4.03);</w:t>
      </w:r>
    </w:p>
    <w:p>
      <w:pPr>
        <w:numPr>
          <w:numId w:val="2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non-waiver provision (paragraph 4.05) which reads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Non [sic] condoning, excusing or overlooking by the Landlord or any default or breach of a provision of this Lease shall operate as a waiver of the Landlord's right to enforce any future or subsequent breach of such provision;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the tenant to keep in force during the lease term a commercial general liability policy for the benefit of both the tenant and the landlord in an amount not less than $2,000,000 and an all risks property insurance policy on all objects owned or operated by the tenant in the Property. The policies were to name XJ as a third party insured. The tenant was required to provide XJ with a copy of the policies in force throughout the term of the lease (paragraph 10.01).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With the consent of XJ, the Plaintiff took an assignment of the Lease pursuant to a July 10, 2006 assignment agreement ("Assignment Agreement"). The Assignment Agreement expressly limited the consent of XJ to that particular assignment. Paragraph 7 of the Assignment Agreement set out the covenants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balance of the Term and the Extension Term, the Assignee will: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 the Rent by way of post-dated cheques delivered to the Landlord at time of signing this Assignment for the entire Lease Term, and guarantee to the Landlord that said Cheques shall clear as dated, and pay to the Landlord a $100 fee for any of said Cheques that are not honoured by the Assignee's Bank.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assign the Lease or sublet or part with possession of the Property or any part thereof without the prior written consent of the Landlord, requested and granted in accordance with the Lease.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all of the other Tenant's Covenants as if the Assignee was the tenant originally named in the Lease;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indemnify and save harmless the Assignor and the Covenantor from all actions, suits, costs, losses, damages, charges and expenses for or in respect of any breach by the Assignee of the Tenant's Covenants arising on and after the Effective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Paragraph 9 of the Assignment Agreement amended paragraph 3.06 of the Lease to allow the Plaintiff: "... to use and occupy the premises for the purposes of an Automobile Dealer".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AFFINITY AUTO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Without seeking the approval of and without advising XJ, the Plaintiff in November of 2007 sublet the Property to Affinity Auto Group Inc. ("Affinity"). Mr. Wishart did not learn of the occupation of Affinity until he drove past the Property and noticed a new sign. When Mr. Wishart inquired, Mr. Wood advised that Affinity carried on an auto dealership and that he was a partner in the business. On that basis, Mr. Wishart agreed to allow Affinity to continue to occupy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late 2008, the principal of Affinity contacted Mr. Wood and advised him that Affinity had a sublease, that Affinity was not controlled by or affiliated with Mr. Wood, that Affinity had invested a substantial amount of money in the Property, and that Affinity wanted to make sure that its sublease would be honoured if the Plaintiff defaulted on the Lease or went bankrupt. Mr. Wood states that this was the first time that he and XJ became aware that the Plaintiff had sublet the Property to Affinity.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Various renovations had been performed on the Property. These renovations were done without the consent of XJ and without obtaining the necessary civic permits. Mr. Wishart and Mr. Wood met in February 2009 to discuss the ongoing renovations. Howard Malchy is the leasing agent for XJ. At the February 2009 meeting, both Mr. Malchy and Mr. Wishart advised the Plaintiff that the consent of XJ was required for any renovations. As Mr. Wishart had met the principal of Affinity and was satisfied with Affinity as a tenant, there was no specific discussion at the meeting about rejecting Affinity as a subtenant. Mr. Wishart states that XJ was prepared to accept Affinity as a sub-tenant.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XJ obtained a copy of the Affinity sublease. It provided for a monthly lease rate of $15,000 per month and allowed Affinity to use and renovate the Property as it saw fit. The Affinity sublease also failed to include any covenant requiring Affinity to comply with the terms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Affinity vacated the Property in the spring of 2010. At that time, the Plaintiff reoccupied the Property to operate an auto sale business under the name "Auto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FURTHER SUBLEASE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February 17, 2011, the Plaintiff entered into a sublease with MOMO Lease and Finance Inc. ("MOMO"). The sublease ("MOMO Sublease") allowed occupation commencing March 16, 2011 at a rate payable of $8,500 per month. Roy Lee is the Vice President of MOMO. In his May 6, 2011 Affidavit, Mr. Lee states that Mr. Wood confirmed that the consent of XJ had been obtained for the MOMO Sublease. On February 18, 2011, MOMO delivered a deposit cheque of $9,520 representing rent for one month plus HST.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order to arrange to take possession of the Property, a representative of MOMO met Mr. Wood on March 15, 2011 and was provided with the keys to the Property but was advised that MOMO should not move into the Property immediately as there was a "problem. On March 16, 2007, a representative of MOMO was advised by Mr. Wood that MOMO could not move in because Mr. Wood had "issues" to deal with. Mr. Lee also states in his Affidavit: "A few days later I visited Mr. Woods' office and Mr. Wood advised me that we could not move in because the landlord was being unreasonable and the landlord did not approve of MOMO as a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second week of March 2011, XJ learned that the Plaintiff had vacated the Property. Mr. Wishart went to the Property and observed that the Plaintiff had removed all of its motor vehicles, that the Property was vacant, and that there appeared to be no ongoing business at the Property. Mr. Wishart had heard "through the industry" that Mr. Wood had leased alternate premises and was attempting to or was in the process of subletting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March 16, 2011, counsel for XJ wrote to the Plaintiff notifying it of apparent breaches of the restriction in the Lease concerning assignment or subletting without consent and its breach of the requirement to use and occupy the Property. There was no initial response to that March 16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March 18, 2011 Mr. Malchy on behalf of XJ went to the Property and took a photograph of a sign on the Property which stated: "Auto One Lease Inc. Please note that we have moved to our new location at 8555 Cambie Street Vancouver Tel 604 636-1888".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March 22, 2011, counsel for XJ wrote requesting a response to the March 16 letter and requesting proof of the insurance: "We request confirmation of the terms of your tenant's insurance that specifies the time period after which vacant premises will constitute a breach of the insurance policy. This request is made pursuant to section 11.1 of the original head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March 22, 2011, the Plaintiff responded stating in part that the Plaintiff (a) was a "holding company and as such has no particular business interest"; (b) originally intended "to operate a car detailing facility in the space"; (c) abandoned its car detailing investment; (d) "subleased the space to Affinity Auto Group in 2007"; and that (e) Affinity ceased to occupy the space in 2010, and auto/ONE, a company affiliated with ... [the plaintiff] moved into the space"; (f) "auto/ONE has moved its operation"; and (g) "The space is currently empty, remains insured and has power, yard maintenance, garbage service and alarm system monitoring in place." The letter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landlord, and his agent, Mr. Howard Malchy were aware of of [sic] the subleasing and never required written approval in the past. We simply continued to do business according to the Landlord's dictates. We continued to operate and rely on the Landlord's actions, discussions and representations on how things were to proceed in the past when subleasing the premises. It was implicit and explicit from the Landlord's discussions with us and his actions that he was waiving any enforceability of the sub-lease requirements under the Lease or in receiving any written approvals from him in subleasing the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our view that as long the lease was being paid, the premises being improved and the tenants were doing essentially the same business that the Lease would continue in full force and effect. There was no problem dotting the i's and crossing the t's as it were. From your letter, it seems that the Landlord is now changing mid-course in his procedure on how he wishes to do business and proceed under the 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the subtenant, Affinity Auto Group had agreed to apply for permits to complete the work at 1767 West 3rd Ave. When it was discovered that they had not done so, 600433 BC Ltd paid for the permits and construction necessary to complete the work to the City's specifications. Further, the Company maintained an open dialogue with the City when it did not meet specific time targets, and never incurred any penalties or costs due to non-compliance with any City ordinance.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XJ replied on March 24, 2011 and advised that the prior consent of XJ for any sublease or assignment was required and that the Plaintiff would expose itself to damages to XJ and to prospective sublessees or assignees if it failed to obtain that consent. The letter repeated the request for proof of insurance and advised the Plaintiff it was required to abide by the terms of the Lease and the Assignment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March 25, 2011, the Plaintiff wrote to XJ requesting permission to sublease the Property. The Plaintiff did not identify the prospective tenant and did not advise that it had already entered into the MOMO Sublease.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an April 4, 2011 response, XJ requested financial and business information concerning the prospective tenant in order to consider the request for its consent. That letter was expressly without prejudice to the rights of XJ to rely on the defaults referred to in the March 16 and 24, 2011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April 5, 2011, XJ made demand for proof of insurance. The effect of that notice would be to allow XJ to obtain insurance at the expense of the Plaintiff if proof of insurance was not provided. On April 11, 2011, the Plaintiff provided a certificate of liability insurance. That certificate set out that the insured was Auto One Lease Inc. and not the Plaintiff. Further, the Plaintiff did not provide a property policy nor the terms of the commercial general liability policy as required by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April 14, 2011 Mr. Wishart and Mr. Malchy inspected the Property and found that there were no cars on the Property and that it appeared that no business was being operated from the Property. A locksmith also attended "in case it was necessary at a future date to change the 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April 14, 2011 the Plaintiff wrote and advised that it had vacated the Property on March 16, 2011 with an intention to sublet. The Plaintiff did not provide any of the information requested concerning a prospective tenant nor did it undertake to do so. The Plaintiff denied any breaches of the Lease and dismissed XJ's notices as a "veiled attempt ... to gain control of the space". On the same day counsel for the Plaintiff wrote to counsel for XJ stating that the Plaintiff had complied with the terms of the Lease and was not in breach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On April 15, 2011, the Plaintiff obtained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injunction restraining XJ from changing the locks on the Property. The affidavit of Michael Wood was sworn in support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determining that the Plaintiff was not intending to honour the MOMO Sublease, a demand was made by MOMO for the return of the deposit. Mr. Lee states that he contacted Mr. Wishart on April 18, 20011 "to assist me in recovering the deposit", and that he provided Mr. Wishart with a copy of the MOMO Sublease. On the same day, Mr. Wood returned the MOMO Sublease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April 28, 2011 Mr. Malchy went to the Property and saw a different sign indicating that the Plaintiff had moved locations and that its regular showroom was now on Cambie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May 3, 2011, XJ gave notice of termination of the Lease for breach of the covenants restricting subletting, not allowing the Property to be vacant, and not providing proof of insurance. XJ also demanded that the Plaintiff allow it to cash the April and May rent cheques without prejudice to the right of XJ to rely on the prior defaults. The May 3, 2011 letter on behalf of XJ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Tenant is in breach of several covenants in the Lease, as described below. These breaches entitle the Landlord to terminate the Lease. Attached is a notice of 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Landlord has learned that the Tenant has entered into a sublease or assignment agreement without seeking or obtaining the Landlord's consent, in breach of paragraph 3.08 of the Lease and article 7(b) of the July 10, 2006 Assignment, Assumption and Amendment of Lease Agreement. Attached is a copy of that February 17, 2011 sublease with Momo Lease and Finance Inc.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the Tenant purports to rely on an alleged prior waiver with respect to a November 2007 sublease to Affinity Auto Group. However, even assuming that waiver took place, it could not operate as a subsequent waiver of the Landlord's rights under paragraph 3.08.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the Tenant has not obtained and provided the necessary insurance as required by paragraph 10.01 of the Lease. That breach remains uncured since the April 5, 2011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Thirdly, paragraph 3.06 of the Lease, as amended, requires the Tenant to use and occupy the premises for the purposes of an automobile dealer. In breach of that covenant the Tenant has ceased to conduct any business from the premises. The Landlord first notified the Tenant of this breach on March 22, 2011. It has not been 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its response through counsel, the Plaintiff took the position that there was no sublease, that MOMO was never given possession, and that the Plaintiff had never been given an opportunity to present MOMO as a sub-tenant. The Plaintiff also refused to allow XJ to cash the rent cheques on the basis that it be without prejudice to the rights of XJ.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SETTING ASIDE THE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On May 11, 2011,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injunction obtained by the Plaintiff was set aside on the bases that the Plaintiff had failed to make full and frank disclosure of all material facts and had misrepresented material facts. The Oral Reasons for Judgment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a number of material facts were not brought to the attention of the Court. First, it was not drawn to the attention of the Court that a sublease had been signed. In fact, it was argued that the Plaintiff would lose the ability to find a subtenant if the lease was terminated and the injunction not granted. Second, it was not revealed that the Plaintiff was no longer occupying the premises. In fact, an April 14, 2011 letter to the landlord indicated that the premises had already been vacated. Third, it was not revealed that the keys had already been delivered to the potential subtenant. Fourth, there was a failure to disclose that a sublease had been signed on February 17, 2011. The statement was made was that "no new subtenant had entered the premises". In fact, it was the case that the keys to the premises had been handed over to the subtenant.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paragraph 41 of the affidavit of Mr. Wood which was filed in support of the ex parte application, Mr. Wood stated "does not have the potential sublessee and has delayed searching for one since the matter has begun". That fails to mention that a subtenancy had been signed on February 17, 2011. Accordingly, the Plaintiff had not been searching because there was no need to do so. A subtenant had been found. Clearly, it was not appropriate for Mr. Wood to state that the Plaintiff did not have a potential subtenant. As well, Mr. Wood did not reveal that an April 14, 2011, 2:15 p.m. email had been sent seeking financial information from its subtenant in order to pass that information on to the landlord after the request had been made to the landlord regarding the possibility of an assignment of the 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XJ submits that the affidavit of Mr. Wood which was before the Court when the April 15 injunction was obtained demonstrates it was not a case of innocent omissions and that the Plaintiff deliberately concealed the existence of the MOMO Sublease from the Court: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paragraph 14 of his affidavit Mr. Wood deposes that on March 14, 2011 the Plaintiff began moving to a new location "with the intention of subleasing the current space from the existing lease". This leaves the false impression that the Plaintiff did not have a sublease in place as of March 14, 2011."</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paragraph 15 Mr. Wood deposes that the Plaintiff did not complete its move until March 20. Mr. Wood does not disclose that no business was carried on for some time before that, and at least as far back as March 14. That is a significant omission because of the landlord's right to terminate if the Property was vacant for 30 days. Mr. Wood did not disclose the signs that he had posted on the Property by no later than March 18, 2011 indicating the business had moved to Cambie Street."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paragraphs 20-23 Mr. Wood gives evidence concerning the liability insurance, but does not refer at all to the property insurance."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paragraph 30 Mr. Wood deposes that XJ has at all times complied with the terms of the Lease, and that no new sub-tenant entered the premises. This is false. Mr. Wood knew that the Plaintiff had breached the restrictions on subletting without consent. Mr. Wood knew that the Plaintiff had provided MOMO with the keys to the Property."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paragraph 31 Mr. Wood deposes that on March 25, 2011 the Plaintiff formally requested permission from XJ to sublease the space. This again creates the false impression that there had been no prior sublease."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paragraph 41 Mr. Wood testified that the Plaintiff did not have a potential sublessee, and had "delayed searching for one since this matter has begun". However, the Plaintiff had in fact already sublet the premises, and MOMO had attempted to enforce that sublease. MOMO was at all times available to sublet the Property, and the Plaintiff was actually still holding MOMO's deposit. Indeed, on April 14, 2011 Mr. Wood had emailed MOMO requesting a copy of its business plan."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March 25, 2011 letter requests permission to sublease to a tenant of the Plaintiff's choice. The letter does not refer to the existence of a prior sublease, which MOMO was apparently attempting to enforce at the time, nor to the existence of MOMO at all."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thrust of the Plaintiff's evidence was that the landlord was unreasonably withholding consent. In fact, the tenant had previously committed itself to a sublease prior to requesting that consent, and had never responded to XJ's information requests. The Plaintiff concealed all this evidence from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May 12, 2011, XJ re-entered the Property and changed the locks. When XJ re-entered the Property there were five vehicles at the Property. XJ alleges that none of the five vehicles are owned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XJ has now relet the Property to a company associated with MOMO ("New Lease"). The New Lease provides for base payments of $6,500.00 per month. Subsequent to re-entering the Property and entering into the New Lease, XJ obtained copies of printouts from the City of Vancouver's business licence department. These disclose that Auto One terminated its business licence for the Property on March 8, 2011. While not approved, MOMO also submitted an application for a business licence on March 8, 2011. On May 5, 2011 after XJ terminated the Lease, a new company related to Auto One applied for and obtained a business licence for the Property. That was terminated on May 24, 2011, when a business licence was issued in connection with the New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Section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relieve against all penalties and forfeitures, and in granting the relief may impose any terms as to costs, expenses, damages, compensations and all other matters that the court thinks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Relief against forfeiture is an equitable remedy. The factors to consider include the conduct of the plaintiff, the gravity of the breaches, the disparity between the value of the property forfeited, and the damage caused by the breach: </w:t>
      </w:r>
      <w:r>
        <w:rPr>
          <w:rFonts w:ascii="arial" w:eastAsia="arial" w:hAnsi="arial" w:cs="arial"/>
          <w:i/>
          <w:color w:val="000000"/>
          <w:sz w:val="20"/>
          <w:lang w:val="en-US" w:eastAsia="en-US" w:bidi="ar-SA"/>
        </w:rPr>
        <w:t>Saskatchewan River Bungalow Ltd. v. Maritime Life Assurance Co.</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[1994] 2 S.C.R. 490</w:t>
        </w:r>
      </w:hyperlink>
      <w:r>
        <w:rPr>
          <w:rFonts w:ascii="arial" w:eastAsia="arial" w:hAnsi="arial" w:cs="arial"/>
          <w:color w:val="000000"/>
          <w:sz w:val="20"/>
          <w:lang w:val="en-US" w:eastAsia="en-US" w:bidi="ar-SA"/>
        </w:rPr>
        <w:t xml:space="preserve">. As well, the Court can deny the remedy due to a party coming to Court with "unclean hands": </w:t>
      </w:r>
      <w:r>
        <w:rPr>
          <w:rFonts w:ascii="arial" w:eastAsia="arial" w:hAnsi="arial" w:cs="arial"/>
          <w:i/>
          <w:color w:val="000000"/>
          <w:sz w:val="20"/>
          <w:lang w:val="en-US" w:eastAsia="en-US" w:bidi="ar-SA"/>
        </w:rPr>
        <w:t>Armenian Community Centre v. Morland Marketing Inc.</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[1995] O.J. No. 3730</w:t>
        </w:r>
      </w:hyperlink>
      <w:r>
        <w:rPr>
          <w:rFonts w:ascii="arial" w:eastAsia="arial" w:hAnsi="arial" w:cs="arial"/>
          <w:color w:val="000000"/>
          <w:sz w:val="20"/>
          <w:lang w:val="en-US" w:eastAsia="en-US" w:bidi="ar-SA"/>
        </w:rPr>
        <w:t xml:space="preserve"> (Ont. C.G.D.), where Cumming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Ross</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Ross v. The T. Eaton Co.</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(1992), 11 O.R. (3d) 115</w:t>
        </w:r>
      </w:hyperlink>
      <w:r>
        <w:rPr>
          <w:rFonts w:ascii="arial" w:eastAsia="arial" w:hAnsi="arial" w:cs="arial"/>
          <w:color w:val="000000"/>
          <w:sz w:val="20"/>
          <w:lang w:val="en-US" w:eastAsia="en-US" w:bidi="ar-SA"/>
        </w:rPr>
        <w:t xml:space="preserve"> (C.A.)], the Court of Appeal held that an essential condition for a tenant to meet for forfeiture relief is that he or she have made diligent efforts to comply with the terms of the lease. In </w:t>
      </w:r>
      <w:r>
        <w:rPr>
          <w:rFonts w:ascii="arial" w:eastAsia="arial" w:hAnsi="arial" w:cs="arial"/>
          <w:i/>
          <w:color w:val="000000"/>
          <w:sz w:val="20"/>
          <w:lang w:val="en-US" w:eastAsia="en-US" w:bidi="ar-SA"/>
        </w:rPr>
        <w:t>Shiloh Spinners Ltd. v. Harding</w:t>
      </w:r>
      <w:r>
        <w:rPr>
          <w:rFonts w:ascii="arial" w:eastAsia="arial" w:hAnsi="arial" w:cs="arial"/>
          <w:color w:val="000000"/>
          <w:sz w:val="20"/>
          <w:lang w:val="en-US" w:eastAsia="en-US" w:bidi="ar-SA"/>
        </w:rPr>
        <w:t>, [1973] A.C. 691 (H.L.) at 723-24, the House of Lords considered the meaning of "appropriate" circumstances to grant relief against forfeiture. It was held that "[t]he word "appropriate" involves consideration of the conduct of the applicant for relief, in particular whether his default was wilful, of the gravity of the breaches, and of the disparity between the value of the property of which forfeiture is claimed as compared with the damage caused by the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Similarly, in </w:t>
      </w:r>
      <w:r>
        <w:rPr>
          <w:rFonts w:ascii="arial" w:eastAsia="arial" w:hAnsi="arial" w:cs="arial"/>
          <w:i/>
          <w:color w:val="000000"/>
          <w:sz w:val="20"/>
          <w:lang w:val="en-US" w:eastAsia="en-US" w:bidi="ar-SA"/>
        </w:rPr>
        <w:t>Re Jeans West Unisex Ltd. v. Hung</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(1975), 9 O.R. (2d) 390</w:t>
        </w:r>
      </w:hyperlink>
      <w:r>
        <w:rPr>
          <w:rFonts w:ascii="arial" w:eastAsia="arial" w:hAnsi="arial" w:cs="arial"/>
          <w:color w:val="000000"/>
          <w:sz w:val="20"/>
          <w:lang w:val="en-US" w:eastAsia="en-US" w:bidi="ar-SA"/>
        </w:rPr>
        <w:t xml:space="preserve"> (H.C.), the Court held that factors to consider when exercising its discretion to grant equitable relief include the breach of other covenants in the lease. Relief may also be granted in cases of fraud, accident, surprise or mistake: </w:t>
      </w:r>
      <w:r>
        <w:rPr>
          <w:rFonts w:ascii="arial" w:eastAsia="arial" w:hAnsi="arial" w:cs="arial"/>
          <w:i/>
          <w:color w:val="000000"/>
          <w:sz w:val="20"/>
          <w:lang w:val="en-US" w:eastAsia="en-US" w:bidi="ar-SA"/>
        </w:rPr>
        <w:t>Re Rexdale Investments v. Gibson</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[1967] 1 O.R. 251</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Relief from forfeiture will not be granted where arrears of rent have not been paid or tendered deliberately: </w:t>
      </w:r>
      <w:r>
        <w:rPr>
          <w:rFonts w:ascii="arial" w:eastAsia="arial" w:hAnsi="arial" w:cs="arial"/>
          <w:i/>
          <w:color w:val="000000"/>
          <w:sz w:val="20"/>
          <w:lang w:val="en-US" w:eastAsia="en-US" w:bidi="ar-SA"/>
        </w:rPr>
        <w:t>FPJ Properties Ltd. v. Parkway Finch Food Services Ltd.</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(1980) 15 R.P.R. 1</w:t>
        </w:r>
      </w:hyperlink>
      <w:r>
        <w:rPr>
          <w:rFonts w:ascii="arial" w:eastAsia="arial" w:hAnsi="arial" w:cs="arial"/>
          <w:color w:val="000000"/>
          <w:sz w:val="20"/>
          <w:lang w:val="en-US" w:eastAsia="en-US" w:bidi="ar-SA"/>
        </w:rPr>
        <w:t xml:space="preserve"> (Co. Ct.); </w:t>
      </w:r>
      <w:r>
        <w:rPr>
          <w:rFonts w:ascii="arial" w:eastAsia="arial" w:hAnsi="arial" w:cs="arial"/>
          <w:i/>
          <w:color w:val="000000"/>
          <w:sz w:val="20"/>
          <w:lang w:val="en-US" w:eastAsia="en-US" w:bidi="ar-SA"/>
        </w:rPr>
        <w:t>Medd v. Farm Number One</w:t>
      </w:r>
      <w:r>
        <w:rPr>
          <w:rFonts w:ascii="arial" w:eastAsia="arial" w:hAnsi="arial" w:cs="arial"/>
          <w:color w:val="000000"/>
          <w:sz w:val="20"/>
          <w:lang w:val="en-US" w:eastAsia="en-US" w:bidi="ar-SA"/>
        </w:rPr>
        <w:t xml:space="preserve"> (1986) 6 C.P.C. (2d) 116 (H.C.J.); aff'd </w:t>
      </w:r>
      <w:hyperlink r:id="rId616" w:history="1">
        <w:r>
          <w:rPr>
            <w:rFonts w:ascii="arial" w:eastAsia="arial" w:hAnsi="arial" w:cs="arial"/>
            <w:i/>
            <w:color w:val="0077CC"/>
            <w:sz w:val="20"/>
            <w:u w:val="single"/>
            <w:shd w:val="clear" w:color="auto" w:fill="FFFFFF"/>
            <w:lang w:val="en-US" w:eastAsia="en-US" w:bidi="ar-SA"/>
          </w:rPr>
          <w:t>(1987) 56 O.R. (2d) 391</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71-73)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Dominelli Service Stations Ltd. v. Petro-Canada Inc.</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[1992] O.J. No. 1158</w:t>
        </w:r>
      </w:hyperlink>
      <w:r>
        <w:rPr>
          <w:rFonts w:ascii="arial" w:eastAsia="arial" w:hAnsi="arial" w:cs="arial"/>
          <w:color w:val="000000"/>
          <w:sz w:val="20"/>
          <w:lang w:val="en-US" w:eastAsia="en-US" w:bidi="ar-SA"/>
        </w:rPr>
        <w:t xml:space="preserve"> (Ont. C.J.G.D.), B. Wright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Persons who come to court requesting the Court to exercise its discretion in their favour should be aware that Courts will do so only where the persons who seek relief disclose to the Court all of the relevant matters in an honest and forthright manner. (at p.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All of the relevant circumstances should be considered, including breaches of covenants relied on by the landlord to justify termination of a lease as well as breaches of covenants which are not relied upon: </w:t>
      </w:r>
      <w:r>
        <w:rPr>
          <w:rFonts w:ascii="arial" w:eastAsia="arial" w:hAnsi="arial" w:cs="arial"/>
          <w:i/>
          <w:color w:val="000000"/>
          <w:sz w:val="20"/>
          <w:lang w:val="en-US" w:eastAsia="en-US" w:bidi="ar-SA"/>
        </w:rPr>
        <w:t>Triple Holdings (BC) Inc. v. Kontzamanis</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[2004] B.C.J. No. 594</w:t>
        </w:r>
      </w:hyperlink>
      <w:r>
        <w:rPr>
          <w:rFonts w:ascii="arial" w:eastAsia="arial" w:hAnsi="arial" w:cs="arial"/>
          <w:color w:val="000000"/>
          <w:sz w:val="20"/>
          <w:lang w:val="en-US" w:eastAsia="en-US" w:bidi="ar-SA"/>
        </w:rPr>
        <w:t xml:space="preserve"> (S.C.) at paras. 22, 30 and 49; and </w:t>
      </w:r>
      <w:r>
        <w:rPr>
          <w:rFonts w:ascii="arial" w:eastAsia="arial" w:hAnsi="arial" w:cs="arial"/>
          <w:i/>
          <w:color w:val="000000"/>
          <w:sz w:val="20"/>
          <w:lang w:val="en-US" w:eastAsia="en-US" w:bidi="ar-SA"/>
        </w:rPr>
        <w:t>Re Jeans West Unisex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addition to relying on the breaches of the Lease by leaving the Property vacant, by subletting to MOMO without consent, and by failing to provide proof that appropriate insurance was in place, XJ also points out that the Plaintiff previously undertook renovations of the Property without consent and previously entered into the sublease with Affinity without obtaining the prior consent of XJ. XJ also points out that the terms of the Affinity sublease failed to include appropriate protections for XJ including restrictions on use, the ability to renovate, and a covenant that Affinity would abide by the terms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Regarding the insurance that was required under the Lease, there is no evidence that the insurance in place named XJ as an insured party. Vacating the Property on or about March 15, 2011 and allowing the Property to remain vacant until when XJ re-entered the Property might jeopardize the insurance that was in place. The Plaintiff also allowed third parties to store their vehicles on the Property. It is the submission of XJ that this was contrary to the terms of the Lease, it might have had the effect of invalidating any insurance that was in place, and it opened up the possibility that there might be damage or vandalism to the Property.</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Vacating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materials before the Court and in the correspondence with counsel for XJ, the Plaintiff admits that it vacated the Property sometime between March 8, 2011 when it terminated its business licence for the Property and March 15, 2011 when vacant possession for the purposes of the MOMO Sublease was required. I find that the requirement to occupy stipulated by paragraph 3.06 of the Lease was breached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Subletting the Property Without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that entering into the MOMO Sublease on February 17, 2011 without the prior consent of XJ was a breach of paragraph 3.08 of the Lease. Whether or not MOMO was advised that consent had already been obtained, it is clear that it had not. Even though MOMO may not have entered into possession of the Property, the MOMO Sublease was signed, the deposit required under the MOMO Sublease had been paid, and the keys to the Property were provided. That is enough to constitute the subletting of the Property. The agreement with MOMO was binding on the Plaintiff so that made it a reletting without the approval of XJ.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Entering into the MOMO Sublease was deliberate and not inadvertent. It is clear that Mr. Wood was aware that consent was required and, in fact, may well have advised the principal of MOMO that consent had been or would be obtained. When the Plaintiff entered into the MOMO Sublease without obtaining the prior approval of XJ, the Plaintiff breached paragraph 3.08 of the Lease. While the Plaintiff made submissions to the effect that XJ had previously waived its entitlement to rely on the provisions of paragraph 3.08 of the Lease, I cannot reach that conclusion. If the Plaintiff and Mr. Wood were of that opinion, it is unlikely Mr. Wood would have sought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am also satisfied that XJ can rely on paragraph 4.05 of the Lease. The first word in the paragraph "Non" should have been "No". The use of the word "Non" makes the paragraph nonsensical. Despite that, I am satisfied that it was the intention of the parties to the original Lease and that it was the intention of the Plaintiff when it agreed to perform all of the "Tenant's Covenants" as set out in the Assignment Agreement, that the Plaintiff would be bound by paragraph 4.05 and that, even if there had been waiver by XJ relating to the Affinity sublease, that "condoning, excusing or overlooking" by XJ did not eliminate the ability of XJ to enforce the Lease if there was a future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It is the submission of XJ that, once the MOMO sublease had been signed without the required prior consent of XJ, the default was not capable of remedy: </w:t>
      </w:r>
      <w:r>
        <w:rPr>
          <w:rFonts w:ascii="arial" w:eastAsia="arial" w:hAnsi="arial" w:cs="arial"/>
          <w:i/>
          <w:color w:val="000000"/>
          <w:sz w:val="20"/>
          <w:lang w:val="en-US" w:eastAsia="en-US" w:bidi="ar-SA"/>
        </w:rPr>
        <w:t>Wakefield v. Cottingham</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[1959] O.R. 551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Pink Panther Food Corp. v. N.D. McLennan Ltd.</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(1990), 75 O.R. (2d) 651</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Greenwin Construction Co. Ltd. v. Stone &amp; Webster Canada Ltd.</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(2001), 55 O.R. (3d) 345</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However the </w:t>
      </w:r>
      <w:r>
        <w:rPr>
          <w:rFonts w:ascii="arial" w:eastAsia="arial" w:hAnsi="arial" w:cs="arial"/>
          <w:i/>
          <w:color w:val="000000"/>
          <w:sz w:val="20"/>
          <w:lang w:val="en-US" w:eastAsia="en-US" w:bidi="ar-SA"/>
        </w:rPr>
        <w:t>Wakefield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Pink Panther</w:t>
      </w:r>
      <w:r>
        <w:rPr>
          <w:rFonts w:ascii="arial" w:eastAsia="arial" w:hAnsi="arial" w:cs="arial"/>
          <w:color w:val="000000"/>
          <w:sz w:val="20"/>
          <w:lang w:val="en-US" w:eastAsia="en-US" w:bidi="ar-SA"/>
        </w:rPr>
        <w:t xml:space="preserve"> decisions were based on s. 18(7) of the </w:t>
      </w:r>
      <w:r>
        <w:rPr>
          <w:rFonts w:ascii="arial" w:eastAsia="arial" w:hAnsi="arial" w:cs="arial"/>
          <w:i/>
          <w:color w:val="000000"/>
          <w:sz w:val="20"/>
          <w:lang w:val="en-US" w:eastAsia="en-US" w:bidi="ar-SA"/>
        </w:rPr>
        <w:t>Landlord and Tenant Act</w:t>
      </w:r>
      <w:r>
        <w:rPr>
          <w:rFonts w:ascii="arial" w:eastAsia="arial" w:hAnsi="arial" w:cs="arial"/>
          <w:color w:val="000000"/>
          <w:sz w:val="20"/>
          <w:lang w:val="en-US" w:eastAsia="en-US" w:bidi="ar-SA"/>
        </w:rPr>
        <w:t xml:space="preserve">, R.S.O. 1950, c. 199, which states that relief against forfeiture does not apply: "(a) to a covenant or condition against the assigning, under-letting, parting with the possession, or disposing of the land leased." There is no similar provision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in the </w:t>
      </w:r>
      <w:r>
        <w:rPr>
          <w:rFonts w:ascii="arial" w:eastAsia="arial" w:hAnsi="arial" w:cs="arial"/>
          <w:i/>
          <w:color w:val="000000"/>
          <w:sz w:val="20"/>
          <w:lang w:val="en-US" w:eastAsia="en-US" w:bidi="ar-SA"/>
        </w:rPr>
        <w:t>Commercial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57</w:t>
      </w:r>
      <w:r>
        <w:rPr>
          <w:rFonts w:ascii="arial" w:eastAsia="arial" w:hAnsi="arial" w:cs="arial"/>
          <w:color w:val="000000"/>
          <w:sz w:val="20"/>
          <w:lang w:val="en-US" w:eastAsia="en-US" w:bidi="ar-SA"/>
        </w:rPr>
        <w:t xml:space="preserve">. In the absence of a specific statutory provision, the power given to the Court under s. 24 of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broad enough to allow the granting of relief from forfeiture despite the Plaintiff entering into the MOMO Sublease.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am also satisfied that the Court has the power to make an order relieving the Plaintiff from the forfeiture of the Lease even though the interests of a third party intervened when XJ entered into the MOMO Sublease. If the Court can allow a mortgagor to redeem property after an order absolute of foreclosure has been granted and after the mortgagee has sold the Property to a third party, there is no reason why the equitable jurisdiction is not available to make an order relieving against forfeiture even though the interests of third parties have intervened.</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Failure to Insure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Demands for production of insurance policies were made on March 22, 2011 and March 24, 2011. XJ then gave notice that it intended to rely on paragraph 10.01 of the Lease. While the Plaintiff provided a certificate of liability insurance on April 11, 2011, the certificate did not name the Plaintiff as an insured, the policy terms were not provided, and no property policy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also provided a certificate of property insurance on May 3, 2011. This certificate did not name either the Plaintiff or XJ as an insured as was required under the Lease and the effective date on the insurance was April 12, 2011. Further the Plaintiff did not provide any of the terms of the property insurance. I find that the failure to prove that the stipulated insurance was in place and the failure to provide copies of the insurance are breaches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Section 26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or any judge of it may, on terms the court or judge may think fit, relieve against a forfeiture for breach of a covenant or condition to insure against loss or damage by fire if no loss or damage by fire has happened and the breach has, in the opinion of the court, been committed through accident, mistake or otherwise without fraud 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there is an insurance on foot at the time of the application to the court or judge that conforms with the covenant to insure.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No loss occurred. No damage by fire has occurred. However, I cannot conclude that the breach of proving that there was insurance available which named XJ as a loss payee was committed "through accident, mistake or otherwise without fraud 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also cannot come to the conclusion that the insurance required under the Lease was in place at the time of this application on behalf of the Plaintiff. Accordingly, I am not satisfied that I retain the power to relieve from forfeiture. Even if I am incorrect in coming to that conclusion, I am satisfied that the breach of paragraph 10 of the Lease is a breach that allowed XJ to bring the Lease to an end and that it is a breach for which I must grant relief if the Plaintiff to be allowed to go back into possession of the Property.</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Previous Defaults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that there were previous defaults and that it is appropriate to take those defaults into account when determining whether it is appropriate to relieve the Plaintiff from the forfeiture of the ability to continue to lease the Property. First, the lease of the Property to Affinity without the approval of XJ and with what may be misrepresentations by Mr. Wood about his relationship with Affinity. Second, the undertaking of renovations to the Property by either Affinity or the Plaintiff without the approval of XJ and, apparently, without the approval of the City of Vancouver. However, I find that these previous defaults were condoned or waived by XJ.</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Other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Dealing with the value to the Plaintiff of the property forfeited, the submission of XJ is that the value is "nominal" as the Plaintiff made no actual use of the Property, conducted no actual business on the Property, and that it has no business other than to attempt to sublet the Property for an amount which is in excess of what it must pay under the Lease. This "use" of the Plaintiff of the Property is not a permitted use as the use of the Property is restricted to the </w:t>
      </w:r>
      <w:r>
        <w:rPr>
          <w:rFonts w:ascii="arial" w:eastAsia="arial" w:hAnsi="arial" w:cs="arial"/>
          <w:color w:val="000000"/>
          <w:sz w:val="20"/>
          <w:u w:val="single"/>
          <w:lang w:val="en-US" w:eastAsia="en-US" w:bidi="ar-SA"/>
        </w:rPr>
        <w:t>occupation</w:t>
      </w:r>
      <w:r>
        <w:rPr>
          <w:rFonts w:ascii="arial" w:eastAsia="arial" w:hAnsi="arial" w:cs="arial"/>
          <w:color w:val="000000"/>
          <w:sz w:val="20"/>
          <w:lang w:val="en-US" w:eastAsia="en-US" w:bidi="ar-SA"/>
        </w:rPr>
        <w:t xml:space="preserve"> "for the purposes of an Automobile Dealer". I am also satisfied that the temporary storage of vehicles on the Property is other than in accordance with the Lease. There is no evidence that the vehicles on the premises were being offered for sale by either a third party or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also find that the Plaintiff has not tendered the arrears of rent in order to bring the Lease into good standing. Rather, the Plaintiff rejected the suggestion that there be a continuation of the payment of the amounts required under the Lease without prejudice to the position of XJ that the Lease was in default. It is only as a result of an order made in this Action that an amount equivalent to the payments required under the Lease are held by the solicitors for XJ. Accordingly, I find that the Plaintiff has not unconditionally tendered the rent that it owes under the 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Does the Plaintiff come to Court with Clean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It can hardly be said that Plaintiff comes to the Court with clean hands. What the Plaintiff told XJ and what the Plaintiff told the Court was, at best, a misrepresentation of the facts and was, at worst, a deliberate attempt to deceive both XJ and the Court. I find that the Plaintiff and Mr. Wood of the Plaintiff have consistently made statements intended to mislead. I find that the Plaintiff advised MOMO that XJ had approved the assignment of the lease when that was not the case. I find that the Plaintiff advised MOMO that the Landlord was being "unreasonable", even though it is not clear that any attempt had been made to obtain the approval of XJ. I find that the Plaintiff deliberately misled the Court in order to obtain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injunction on April 15, 2011. On that ground alone, I am satisfied that relief from forfeiture should not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have also concluded that relief from forfeiture should not be granted because the Property has been re-let. The presence of the New Lease would result in XJ being obligated to pay considerable damages if this new tenant was required to give up vacant possession in order that the Plaintiff could go into occupation again. The entity under the New Lease is different than the entity that signed the MOMO Sublease. Accordingly, I cannot accede to the submission of the Plaintiff that it should be allowed to go back into possession so that either the MOMO Sublease can go into effect (although it is no longer binding on MOMO), or a sublease with the same terms as the New Lease will be made available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Taking into account the factors set out, I am satisfied that an Order should not be made relieving the Plaintiff from the forfeiture of the ability to make the payments under the Lease. I come to this conclusion as a result of the previous defaults, the current defaults, the failure of the Plaintiff to come to Court with clean hands, and the fact that XJ has entered into a new lease of the Property. In all of the circumstances, the application of the Plaintiff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Pursuant to paragraph 12.01(c) of the Lease, XJ is entitled to recover Special Costs against the Plaintiff. I order that any funds held in trust by counsel for XJ can be released to XJ. If the parties cannot agree regarding the amount of the Special Costs, I order that there be a reference to the Registrar to determine the amount of the Special Costs. If the Special Costs assessed by the Registrar are less than the balance which is paid to XJ, then XJ will refund to the Plaintiff any additional amount. If the Special Costs assessed are in excess of the amount paid by counsel for XJ to XJ, when the balance will remain payable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2"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0847395 B.C. Ltd. v. Guilbride Estate, [2009] B.C.J. No. 1266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Duncan and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 and 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09-1396 and 08-5229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1266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847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179 A.C.W.S. (3d) 938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0847395 B.C. Ltd., Petitioner, and The Estate of Doris N. Guilbride, The Crown in Right of Canada, Chemainus Garden Land Ltd. and Kurt Patrick Guilbride as Executor of the Estate of Doris N. Guilbride, Respondents And between Chemainus Garden Land Ltd., Plaintiff, and The Estate of Doris N. Guilbride and Kurt Patrick Guilbride as Executor of the Estate of Doris N. Guilbride, Defendants, Plaintiffs by Counterclaim, and Chemainus Garden Properties Inc., Marilyn Rose Fleming and Robert Leonard Wansbrough,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3"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4" w:name="Keywords_13"/>
      <w:bookmarkEnd w:id="114"/>
      <w:r>
        <w:rPr>
          <w:rFonts w:ascii="arial" w:eastAsia="arial" w:hAnsi="arial" w:cs="arial"/>
          <w:b/>
          <w:color w:val="000000"/>
          <w:sz w:val="20"/>
          <w:lang w:val="en-US" w:eastAsia="en-US" w:bidi="ar-SA"/>
        </w:rPr>
        <w:t>Real property law — Mortgages — Mortgage agreement — Persons liable — Mortgagors — Mortgagee's remedies — Foreclosure order — Application for — Petition by numbered company mortgagee for orders for foreclosure of a mortgage, judgment, appointment of a receiver and other relief in relation to 30 acres where an RV park was owned by the respondent estate executor, granted — There were no triable issues raised by the mortgagor — Respondent declared in default and $1,523,665 plus interest was declared owing plus all costs properly incurred by the petitioner under the mortgage terms — The redemption date was four months from the decision, failing which the respondents were foreclosed of all rights, title, interest and equity of redemption in the mortgage.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5" w:name="Case Summary_13"/>
            <w:bookmarkEnd w:id="1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numbered company for orders for foreclosure of a mortgage, judgment, appointment of a receiver and other relief in relation to 30 acres of land where an RV park owned by the respondent as executor of the estate of Ms. Guilbride was operated. Meanwhile, the respondent executor sought a stay of proceedings and an order pursuant to Rule 52(11) converting the foreclosure petition to an action, requiring the parties to exchange pleadings, and mandating that the resulting action be heard at the same time as another action involving a claim for specific performance of an agreement for sale and purchase of the subject lands. The central question was whether a bona fide triable defence existed between the petitioner mortgagee and respondent mortgagor sufficient to justify a stay of the foreclosure and referral to the trial list, to be heard at the same time as the specific performance action. There was no dispute that the mortgagee had loaned the mortgagor/respondent roughly $1.2 million and at minimum stood entitled to a form of judgment for principal sums advanced under the mortgage. The petitioner held the subject mortgage as a result of an assignment from the original mortgagee, Seaboard Mortgage Corp. Potential triable issues raised included: (1) whether Seaboard wrongfully permitted interest to accrue on the mortgage in a way that could raise a triable issue as between the petitioner and respondent; (2) whether a dispute over who would pay the interest payments, or the alleged negligent or fraudulent misrepresentations raised against the purchasers could potentially invalidate the Seaboard Mortgage or inhibit its application; and (3) whether the respondent delegated his authority to Ann Guilbride when creating the agreement for purchase and sale and the Seaboard Mortgage in a way that offended the rule against trustee delegation of discretionary authority. If so, this might potentially invalidate the respondent's obligations under these contracts.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6" w:name="Holdings of Court_13"/>
            <w:bookmarkEnd w:id="116"/>
            <w:r>
              <w:rPr>
                <w:rFonts w:ascii="arial" w:eastAsia="arial" w:hAnsi="arial" w:cs="arial"/>
                <w:color w:val="000000"/>
                <w:sz w:val="20"/>
                <w:lang w:val="en-US" w:eastAsia="en-US" w:bidi="ar-SA"/>
              </w:rPr>
              <w:t>HELD: Respondent declared in default and all monies owed secured by the mortgage were due and owing, namely $1,523,665 plus interest at the rate of 11.</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per cent per annum calculated annually in addition to all costs properly incurred by the petitioner under the mortgage terms as against the respondent. The redemption date was four months from the decision, failing which the respondents were to be foreclosed of all rights, title, interest and equity of redemption in the mortgage. The estate was ordered to pay the amount owed under the mortgage plus the petitioner's assessed costs. The sale of the lands was ordered subject to court approval, with the petitioner having conduct of sale. A certificate of pending litigation issued. A stay of proceedings was not justified under Rule 52(11) on any of the grounds. The respondent had not disputed that the monies advanced under the mortgage to the estate and claimed in the foreclosure were due and owed by him as estate executor. He had effectively ratified the mortgage by his conduct. He did not dispute the obligation to pay interest at 11.5 per cent per annum. As for Seaboard's failure to collect interest, ground (1), the mortgage instrument stipulated no such duty on the part of the petitioner. As to ground (2), the respondent alleged in the specific performance action that the purchasers undertook responsibility to pay the interest. However, nowhere was it stipulated in the mortgage document, disclosure statement, offer of credit, or other mortgage related documentation that the mortgage payments were the responsibility, not of the mortgagor, but of third parties, or whether they were to be paid during the term, or accrued as the mortgage disclosure statement and mortgage indicated. Even if the purchasers guaranteed the respondent's mortgage obligation, on the evidence offered at the hearing it had not remotely been demonstrated that it was made known to Seaboard, or incorporated as a term into the mortgage, whose main purpose was to encumber the land with the obligations undertaken by the mortgagor/respondent. The respondent failed to demonstrate that his raised a defence to the petition. As for ground (3), on the material before the court it was the respondent who clearly ratified the borrowings and mortgage that the petitioner sought to enforce, and on the materials provided, the claim of invalid delegation failed to raise a defence that deserved to be tried. While there were defences and claims to be tried as between the purchasers and the respondent, these were not interposed between the petitioner and respondent, and none of those proposed constituted a bona fide triable defence to the petition. Whether the accrued interest was the responsibility of the purchasers or the respondent would be decided in the specific performance/misrepresentation and rescission action. If the respondent was successful, he would recover the accrued interest from the purchasers. A receiver manager was appointed in order to secure any surplus rental income the RV park was receiving for the benefit of the petitioner. The interests of both parties were fairly served by a four-month redemption period. The petitioner was awarded its costs for the two-day hearing on Scale B.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7" w:name="Legislation Cited_3"/>
      <w:bookmarkEnd w:id="1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4"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B.C. Reg. 221/90, Rule 47, Rule 52(11)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629" w:history="1">
        <w:r>
          <w:rPr>
            <w:rFonts w:ascii="arial" w:eastAsia="arial" w:hAnsi="arial" w:cs="arial"/>
            <w:i/>
            <w:color w:val="0077CC"/>
            <w:sz w:val="20"/>
            <w:u w:val="single"/>
            <w:shd w:val="clear" w:color="auto" w:fill="FFFFFF"/>
            <w:lang w:val="en-US" w:eastAsia="en-US" w:bidi="ar-SA"/>
          </w:rPr>
          <w:t>RSBC 1996, CHAPTER 253, s. 39</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8" w:name="Counsel_21"/>
      <w:bookmarkEnd w:id="1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G.N. Harney and P.F. Waller.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Kurt Patrick Guilbride as Executor of the Estate of Doris N. Guilbride, Counsel for the Defendants/Plaintiffs by counterclaim in Action No. 08 5229: N.W.P. Fraser.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9" w:name="Judgment_19"/>
      <w:bookmarkEnd w:id="119"/>
      <w:r>
        <w:pict>
          <v:line id="_x0000_s1116"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0" w:name="N. BROWN J."/>
            <w:bookmarkEnd w:id="120"/>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and respondent seek conflicting orders. The first is petitioner 0847395 B.C. Ltd. seeking orders for foreclosure of a mortgage, judgment, appointment of a receiver and other relief in relation to approximately 30 acres located in the Municipality of Cowichan, where an RV park, owned by the respondent as executor of the estate of Doris N. Guilbride, is operated.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second matter is the application of the respondent Kurt Guilbride, as executor of his mother's estate ("the Respondent"). He asks for a stay of proceedings and an order pursuant to Rule 52(11)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that the foreclosure petition convert to an action, the parties exchange pleadings, and the resulting action be heard at the same time as action No. 085229. That action involves a claim for specific performance of an agreement for sale and purchase of the subject lands, brought by Chemainus Garden Land Ltd. against Kurt Guilbride as vendor/executor of the estate of Doris N. Guilbride. He answers that claim with a counterclaim and adds two others as defendants, Marilyn Fleming and Robert Leonard Wansbrough. They were owners of the numbered company that in November 2008 made an agreement for purchase and sale of the subject lands, with Mr. Guilbride as executor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central question here is whether a bona fide triable defence exists between the petitioner mortgagee and respondent mortgagor sufficient to justify a stay of the foreclosure and referral to the trial list, to be heard at the same time as the specific performance action, currently set for 10 days in September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Under Rule 52(11), the chambers judge must be satisfied that there is "a real substantial question to be tried, a dispute as to facts or law which raises a reasonable doubt or defence that deserves to be tried," </w:t>
      </w:r>
      <w:r>
        <w:rPr>
          <w:rFonts w:ascii="arial" w:eastAsia="arial" w:hAnsi="arial" w:cs="arial"/>
          <w:i/>
          <w:color w:val="000000"/>
          <w:sz w:val="20"/>
          <w:lang w:val="en-US" w:eastAsia="en-US" w:bidi="ar-SA"/>
        </w:rPr>
        <w:t>HSBC Bank Canada v. Channel Ridge Properties Ltd.</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2009 BCSC 118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Royal Bank of Canada v. Rizkalla</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(1984), 59 B.C.L.R. 324</w:t>
        </w:r>
      </w:hyperlink>
      <w:r>
        <w:rPr>
          <w:rFonts w:ascii="arial" w:eastAsia="arial" w:hAnsi="arial" w:cs="arial"/>
          <w:color w:val="000000"/>
          <w:sz w:val="20"/>
          <w:lang w:val="en-US" w:eastAsia="en-US" w:bidi="ar-SA"/>
        </w:rPr>
        <w:t xml:space="preserve"> (S.C.) at 325. These and other tests were intended to give some definition to 'bona fide triable defence'. But before the question of a bona fide defence even comes into question, the defences identified must be ones that stand directly between the mortgagor and the mortgagee, not other parties tangentially involved in some activity or aspect related to the mortgage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authorities explain that on stay applications such as this it is not necessary for the chambers judge to assess the facts in a detailed way or make findings between affidavits that conflict on pivotal issues. However, I do not see the authorities to be saying either that the facts should be viewed passively simply because there is disagreement about some of the facts. To the extent the case requires, they should be probed to sufficiently clarify the issues and supporting facts; and the effect especially of those facts not in dispute should be brought to bear on the question of whether there is a bona fide triable defence standing in the way of a summary order-especially in a case such as this, with no disputing of the fact that the mortgagee has loaned the mortgagor roughly $1.2 million, and at minimum stands entitled to a form of judgment for principle sums advanced under the mortgage to the Respondent. In any event, the facts here are fairly intricate, and while not all of them are directly relevant, a sufficient understanding of them is necessary in order to place the two matters in proper perspective and come to a just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THE PARTIES AND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0847395 B.C. Ltd. (the "Petitioner") holds the subject mortgage in these foreclosure proceedings as a result of an assignment taken from the original mortgagee, Seaboard Mortgage Corporation, as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2001 the Respondent, Kurt Guilbride, was granted probate of the estate of his mother, Doris N. Guilbride. Part of the estate included the subject property where space for RV's was rented.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May 30, 2003 the Chemainus Credit Union obtained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and conduct of sale of the subject property. The Credit Union's mortgage had been in default for a considerable period, along with two accompanying forbearance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April 26, 2004 the Respondent granted his wife Ann Guilbride power of attorney to "take care of his banking, mail and other general matters." The power of attorney stated that Ann Guilbride could do on his behalf anything that he could lawfully do by an attorney.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Purchase of the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right to purchase the subject lands is currently owned by Chemainus Garden Land Ltd., which in turn is owned by Ms. Marilyn Fleming, Mr. Len Wansbrough, Mr. Robert Matthews and a Mr. Dodds. This current suing purchaser is the successor of two companies. The first of these, 772043 B.C. Ltd. then owned only by Ms. Fleming and Mr. Wansbrough, (the "Purchasers") entered into a conditional agreement for the purchase and sale of the subject property with the Respondent Kurt Guilbride, held out to them at the time as executor of the estate. He was incarcerated at the time that the terms of the purchase and sale agreement were finalized. Both the agreement and the mortgage were signed by his wife pursuant to the power of attorney granted to her by the Respondent. The validity of the mortgage as a result of this signing is one of the potential triable defences to the petition to be considered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Guilbride is the Respondent to the petition, defendant to the specific performance action, counterclaimant for rescission of the agreement, and counterclaimant as plaintiff against Ms. Fleming and Mr. Wansbrough. For the sake of simplicity, I refer to Mr. Guilbride only as "the Respondent" clarifying his litigation status and the context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Agreement for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time of making of the agreement for purchase and sale, the property was still encumbered with the said Credit Union mortgage and two related forbearance agreements. In November 2008, the Purchasers offered the Respondent terms, ostensibly accepted, that included them making arrangements for new funding in order to pay out the existing mortgage etc. They needed time to see if the municipality would allow rezoning, so the agreement contained subject terms that allowed for that process and other related matters. All subject clauses have since been removed, with the final purchase price being $2,300,000.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Purchasers, following up on their agreement, arranged financing through Seaboard Mortgage Corporation (the "Seaboard Mortgage"). Seaboard paid out the existing Credit Union mortgage and advanced funds for various other property related purposes, but nowhere near to the full $2,300,000 face value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Purchasers guaranteed the Seaboard Mortgage. Therefore, the Purchasers owned the original purchasing company, guaranteed the Seaboard Mortgage (facilitated in order to pay out the Credit Union mortgage and fund the agreement for purchase and sale) and also partly own the current purchasing company. Counsel for the Petitioner advised that Mr. Fleming and Mr. Wansbrough are not named in the petition because they have acknowledged the validity and efficacy of their guarantees and because there is sufficient equity in the property to cover the guarantees. In any event, I refer to them as the Purchasers, though at present they are only part owners of Chemainus Garden Land Ltd., which currently holds the right to purchase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Mr. Guilbride was represented at all material times by a solicitor. Since he was incarcerated, communication with his wife and solicitor about various matters relating to the agreement took place by phone. The court had already granted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for foreclosure on the Credit Union mortgage and had approved a pending order for sale by another party by the time the agreement of purchase and sale was being negotiated, so there was not much time to finalize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contract for purchase and sale provided that in the one to two years anticipated interim before the final closing, Ann Guilbride would have the right to continue living in a house on the property. She and the executor would continue to deal with tenants and manage the business, receiving $3,000 per month for doing so, though of course Mr. Guilbride was incarcerated for most of this period. In the two years after the purchase and sale agreement and the mortgage were made, Mrs. Guilbride met regularly with the Purchasers, who otherwise 'operated' the RV business, paid the accounts,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 to Mrs. Guilbride's affidavit, she met regularly with the Purchasers in order to review accounts for the operation. The potential relevance of this lies in the fact that the Petitioner submits that it should have been apparent that monthly interest payments allegedly required to be paid were not being made, raising questions about the Guilbrides' claim that until the Fall of 2008, they understood that the Purchasers had been making payments in accordance with what the Guilbrides believed was the Purchasers' contractual obligations. However, it is not appropriate for me to make any findings in relation to this or like questions, which can be delved into in conjunction with the specific performance action, where responsibility for the interest payments will be one of the main issues to be decided between the Respondent, the Purchasers and the current owner of the right to purchase, Chemainus Garden Lands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interim agreement, which largely incorporated the first proposed offer, was signed by Mrs. Guilbride on or about November 8, 2006. It provided for arrangement of a mortgage for $2.3 million at 11.5%. The mortgagee advanced some funds under it for purposes over and above paying out the Credit Union mortgage. In passing, I note the wording of Addendum #2 to the agreement, which likely will figure prominently in the specific performance action, though is not determinative of anything with respect to the mortgage itself: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 or their nominee will arrange to provide financing sufficient to fund the repayment of the existing first mortgage liability, fund the rezoning process, fund future operations of Chemainus Gardens RV Park and all new costs of a first mortgage financing including all interest payments accruing at 11.5%, subject to the seller agreeing to granting a first mortgage in the amount of $2,300,000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Seaboard Mortgage, Later Assigned to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November 8, 2006 offer of credit from Seaboard addressed to Ann Guilbride confirmed various terms, the only one of significance here is the entry under 'Loan Payments': "Interest only payments required monthly during the term of the mortgage with full payment due at the end of the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the requisite November 14, 2008 'Fixed Credit Disclosure Statement', provided that interest was to be "made by the Borrower [the Respondent] as follows: ACCRUED".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Ann Guilbride signed the mortgage documents as attorney for the Respondent. It provided for payment of interest only, at the rate of 11.5%, calculated annually with no regular interim payment dates stipulated-logically in harmony with an accrual of interest until the end of the two year term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mortgage originally stipulated calculation of interest monthly, but after the mortgage was executed by Mrs. Guilbride, the monthly provision was changed by pen to 'annually' and initialled by the guarantors, without, Mrs. Guilbride says, her knowledge; Ms. Fleming says with it, stating that the reference to "monthly" was a mistake. In either case, this change in the method of calculation effectively reduced the amount of the interest obligation payable to the Respondent's benefit; and this is tangential to the real issues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for the issue of who was responsible for paying the interest payable, the central question as between the Respondent and the Purchasers-irrespective of how it was to be calculated-the Respondent alleges that the Purchasers made oral representations that they would pay monthly interest due on the mortgage. The Respondent and his wife depose that they were therefore shocked when they "first learned in November 2008", two years after the agreement was signed, that the Purchasers had not made any interest payments. Annual interest payable had just been added to the principal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Respondent says that the alleged agreement of the Purchasers to pay the mortgage on a monthly basis was an inducement, but did not explain whether the obligation was supposed to be a term of the Seaboard Mortgage, or a term of the agreement for purchase and sale, or the subject of an oral collateral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Respondent alleges changes have been made to the agreement for purchase and sale and mortgage-in the case of the mortgage, the just mentioned beneficial-for-the-Respondent change (monthly to annually) in the method of calculating interest. But none of these changes describe a term denoting responsibility for payment of the mortgage interest [that] was supposed to form part of the mortgage and was then either improperly deleted, or improperly not included in the first place. It is certainly not a term anywhere to be found in the mortgage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noted, the right to purchase has been assigned to Chemainus Garden Lands Ltd., which is owned by the Purchasers and, since 2008, also Mr. Robert Matthews and a Mr. Dodds, who both took an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Matthews' father, through his Manitoba company, Superior Buildings Ltd., has agreed to fund the capital Chemainus Garden Lands Ltd. expects will be needed in order to complete the purchase of the property from the Respondent. On March 18, 2009, Superior Builders Ltd. also provided the required capital to the Petitioner in order to pay out the Seaboard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will be clearly evident by now, the Respondent has repudiated the agreement and refuses to complete it, alleging fraudulent misrepresentation, negligent misrepresentation, breach of warranty and breach of contract by the Purchasers, claiming rescission and damages in tandem with those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should be noted that Robert Matthews was not involved in any of the initial discussions, and did not become involved in the transaction until the Fall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September 2008, the Purchasers received an appraisal saying the property was worth about $3.28 million. This would be the most recent available appraisal, one perhaps affected by recent economic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If some visual clarification of the relationship of the parties helps, a schematic prepared by the Petitioner, with some modifications made, is appended to these reasons. It does not form part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POTENTIAL TRIABLE ISSUES RAISED</w:t>
      </w:r>
      <w:r>
        <w:rPr>
          <w:rFonts w:ascii="arial" w:eastAsia="arial" w:hAnsi="arial" w:cs="arial"/>
          <w:sz w:val="20"/>
          <w:lang w:val="en-US" w:eastAsia="en-US" w:bidi="ar-SA"/>
        </w:rPr>
        <w:cr/>
      </w:r>
    </w:p>
    <w:p>
      <w:pPr>
        <w:numPr>
          <w:numId w:val="2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Seaboard "wrongfully permit" interest to accrue on the mortgage in a way that could raise a triable issue as between the Petitioner and the Respondent?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Could the dispute over who would pay the interest payments, or the alleged negligent or fraudulent misrepresentations raised against the Purchasers potentially invalidate the Seaboard Mortgage or inhibit its application?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Respondent delegate his authority to Ann Guilbride when creating the agreement for purchase and sale and the Seaboard Mortgage in a way that offends the rule against trustee delegation of discretionary authority? If so, could this potentially invalidate the Respondent's obligations under these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Though the onus of proving that there is no bona fide triable issue between the parties is borne by the Petitioner, it is the Respondent who proposes the triable issues. As such, I will deal with his arguments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 Respondent's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Respondent relies chiefly on affidavit evidence and an offer of credit that stated that "the mortgage interest payments would be made monthly," in order to establish a bona fide triable issue that: interest was supposed to be paid monthly on the mortgage; that the Purchasers were to pay it; and that Seaboard negligently failed to collect it, allowing nearly $300,000 in interest to accrue.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Counsel focused most of his argument on the alleged misrepresentations, and alleged negligent/fraudulent behaviour of the Purchasers. As I understand the Respondent's argument, the misunderstanding (intended or otherwise) between the Purchasers and the Respondent about who was to pay the mortgage invalidates the Respondent's obligation to pay interest under the Seaboard Mortgage. The Respondent does not actually say so, but in effect argues that the representations made by the Purchasers misled the Respondent to the extent that he was not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to the terms of the Seaboard Mortgage between himself and Seaboard.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also submits that "Seaboard wrongly permitted" interest to accrue on the principle balance of the mortgage and that the Petitioner now seeks to "take advantage of this wrong in a summary foreclosure." Although the contractual or tortious foundation for a cause of action relating to a mortgagee's failure to collect interest owed to itself under the mortgage was not made out, I assume that some form of duty to advise the mortgagor that it was not collecting interest is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relies on Rule 52(11), and authorities already alluded to, for burdening the Petitioner with the responsibility of satisfying the court that there could be "no reasonable doubt" (one of several ways of defining bona fide triable issue) that there was no issue that should be tried; and that, as mentioned earlier, it is not the responsibility of the chambers judge to make findings between competing claims and affidavits based on a detailed assessment and weighing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addition, the Respondent pointed to authorities that forbid an executor to delegate a discretionary decision. He submits that the agreement for both the purchase and sale and the mortgage are invalid because the Respondent-executor lacked the capacity to delegate his discretionary authority to decide, to Ann Guilbride. At the same time, the Respondent does not deny that Seaboard (and now the Petitioner) is entitled to recovery of the principle funds advanced. He did not explain the legal framework that would support such a claim by the Petitioner, but presumably this would be on a restitutionary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 Petitioner's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Petitioner's counsel submits that the Respondent failed to establish the existence of a defence or counterclaim; and that in any event of the proposed defences, the Respondent's materials do not meet the evidentiary threshold necessary to warrant referral of the petition to the trial list. He emphasizes that the issue must be one that relates to the relationship of the parties, as mortgagor and mortgagee, and that the authorities are clear that an incidental dispute with others does not constitute such a bona fide triable issue. He points out that the Respondent has acknowledged his indebtedness and has in fact attempted to secure financing that would pay out both the outstanding principle and accrued interest, but has been unable so far to secure it. He submits that the issues in the specific performance action are ones that stand between the Respondent and the Purchasers, and do not impact the Respondent's liability under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With respect to the Respondent challenging the authority of Ann Guilbride to sign the mortgage on his behalf as attorney for the executor, counsel submits that the Respondent did not delegate his authority in the way the law frowns on; that the Respondent's own affidavit material indicates that he was party to, and made all the decisions, and that it is material that he was represented by a solicitor at all times: </w:t>
      </w:r>
      <w:r>
        <w:rPr>
          <w:rFonts w:ascii="arial" w:eastAsia="arial" w:hAnsi="arial" w:cs="arial"/>
          <w:i/>
          <w:color w:val="000000"/>
          <w:sz w:val="20"/>
          <w:lang w:val="en-US" w:eastAsia="en-US" w:bidi="ar-SA"/>
        </w:rPr>
        <w:t>Bain v. The Empire Life Insurance Company</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2004 BCSC 1577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 v. Therapeutics Inc.</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2004 BCCA 483</w:t>
        </w:r>
      </w:hyperlink>
      <w:r>
        <w:rPr>
          <w:rFonts w:ascii="arial" w:eastAsia="arial" w:hAnsi="arial" w:cs="arial"/>
          <w:color w:val="000000"/>
          <w:sz w:val="20"/>
          <w:lang w:val="en-US" w:eastAsia="en-US" w:bidi="ar-SA"/>
        </w:rPr>
        <w:t>. He submits that the discretionary decision to mortgage was not delegated to Mrs. Guilbride: the Respondent ratified it, to which Mrs. Guilbride gave only her attorney signature, as instructed by Mr. Guilbride. Counsel emphasized that this is a commercial property, a commercial transaction and that the Guilbrides are sophisticated represented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also submits that it would be manifestly unfair for the Petitioner to be refused relief when: no interest payments have been made for many months; the Respondent has had the benefit of the funds advanced; has acknowledged responsibility for the principle sum; and that the issues involve matters to be decided as between the Respondent and the Purchasers, not the Petitioner, who has not been shown anywhere to be party to any professed agreement about who would be responsible for payment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is clear that the Respondent has not disputed that the monies advanced under the mortgage to the estate and claimed in the foreclosure are due and owed by him as the estate's executor. He has effectively ratified the mortgage by his conduct, as discussed further below. With respect to the interest, the Respondent did not dispute the obligation to pay interest at 11.5% per annum. In essence he says it was the obligation of another party to pay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overarching issue in this case is whether the claim asserted by the Respondent is a defence to the petitioner's claim. As explained in </w:t>
      </w:r>
      <w:r>
        <w:rPr>
          <w:rFonts w:ascii="arial" w:eastAsia="arial" w:hAnsi="arial" w:cs="arial"/>
          <w:i/>
          <w:color w:val="000000"/>
          <w:sz w:val="20"/>
          <w:lang w:val="en-US" w:eastAsia="en-US" w:bidi="ar-SA"/>
        </w:rPr>
        <w:t>Canadian Western Bank v. 0777419 B.C. Ltd.</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2009 BCSC 683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under Rule 52(11)(d), there are, in most cases, two issues. The first is whether the claim asserted by the applicant or defendant in relation to which it seeks a trial is a defence to the claim, as opposed to merely a counterclaim. If it is merely a counterclaim, the resolution of it would not disentitle the plaintiff or petitioner to the relief it seeks. It may give rise to a set off against that to which the petitioner or plaintiff may otherwise be entitled, but to the extent that is so, and if it is otherwise appropriate, the court may address that issue by staying any execution on the judgment to which the plaintiff would be entitled. If the claim asserted by the applicant amounts to a defence, properly understood, then the second issue arises, and that is whether, on the materials, the evidentiary threshold necessary to warrant referral of the matter to the trial list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Northland Bank (Liquidator of) v. Kocken</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(1993), 100 D.L.R. (4th) 753</w:t>
        </w:r>
      </w:hyperlink>
      <w:r>
        <w:rPr>
          <w:rFonts w:ascii="arial" w:eastAsia="arial" w:hAnsi="arial" w:cs="arial"/>
          <w:color w:val="000000"/>
          <w:sz w:val="20"/>
          <w:lang w:val="en-US" w:eastAsia="en-US" w:bidi="ar-SA"/>
        </w:rPr>
        <w:t xml:space="preserve"> (B.C.C.A.) our Court of Appeal laid down guiding principles that help determine whether a foreclosure proceeding should be stayed and the matter referred to the trial list. A detailed consideration of the merits is not required. In </w:t>
      </w:r>
      <w:r>
        <w:rPr>
          <w:rFonts w:ascii="arial" w:eastAsia="arial" w:hAnsi="arial" w:cs="arial"/>
          <w:i/>
          <w:color w:val="000000"/>
          <w:sz w:val="20"/>
          <w:lang w:val="en-US" w:eastAsia="en-US" w:bidi="ar-SA"/>
        </w:rPr>
        <w:t>Northland</w:t>
      </w:r>
      <w:r>
        <w:rPr>
          <w:rFonts w:ascii="arial" w:eastAsia="arial" w:hAnsi="arial" w:cs="arial"/>
          <w:color w:val="000000"/>
          <w:sz w:val="20"/>
          <w:lang w:val="en-US" w:eastAsia="en-US" w:bidi="ar-SA"/>
        </w:rPr>
        <w:t xml:space="preserve"> the mortgagor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lending bank for failing to sell hypothecated shares given as security in a timely way. Such action would have extinguished the debt. In addition to this triable issue, there were others "with respect to the mortgage itself which are so linked with the issue raised by way of set-off that they should be resolved together": </w:t>
      </w:r>
      <w:r>
        <w:rPr>
          <w:rFonts w:ascii="arial" w:eastAsia="arial" w:hAnsi="arial" w:cs="arial"/>
          <w:i/>
          <w:color w:val="000000"/>
          <w:sz w:val="20"/>
          <w:lang w:val="en-US" w:eastAsia="en-US" w:bidi="ar-SA"/>
        </w:rPr>
        <w:t>Northland</w:t>
      </w:r>
      <w:r>
        <w:rPr>
          <w:rFonts w:ascii="arial" w:eastAsia="arial" w:hAnsi="arial" w:cs="arial"/>
          <w:color w:val="000000"/>
          <w:sz w:val="20"/>
          <w:lang w:val="en-US" w:eastAsia="en-US" w:bidi="ar-SA"/>
        </w:rPr>
        <w:t xml:space="preserve">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Royal Bank</w:t>
      </w:r>
      <w:r>
        <w:rPr>
          <w:rFonts w:ascii="arial" w:eastAsia="arial" w:hAnsi="arial" w:cs="arial"/>
          <w:color w:val="000000"/>
          <w:sz w:val="20"/>
          <w:lang w:val="en-US" w:eastAsia="en-US" w:bidi="ar-SA"/>
        </w:rPr>
        <w:t xml:space="preserve"> at para. 325, Madam Justice McLachlin, as she then was,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dispute as to the legal principles which should guide this court in determining whether the petitioner's claim should be referred for trial. Unless it is manifestly clear that the mortgagers are without a defence that deserves to be tried, their application to place the matter on the trial list should be granted [...] When the affidavit material contains evidentiary conflicts, a trial is warranted if:</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facts in dispute;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resolution of those facts would determine the outcome of an issue in dispute;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resolution of the issue will determine the outcome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Further on the question of the weight of evidence required in order to establish a bona fide triable issue, I note the court's approval in </w:t>
      </w:r>
      <w:r>
        <w:rPr>
          <w:rFonts w:ascii="arial" w:eastAsia="arial" w:hAnsi="arial" w:cs="arial"/>
          <w:i/>
          <w:color w:val="000000"/>
          <w:sz w:val="20"/>
          <w:lang w:val="en-US" w:eastAsia="en-US" w:bidi="ar-SA"/>
        </w:rPr>
        <w:t>Royal Bank,</w:t>
      </w:r>
      <w:r>
        <w:rPr>
          <w:rFonts w:ascii="arial" w:eastAsia="arial" w:hAnsi="arial" w:cs="arial"/>
          <w:color w:val="000000"/>
          <w:sz w:val="20"/>
          <w:lang w:val="en-US" w:eastAsia="en-US" w:bidi="ar-SA"/>
        </w:rPr>
        <w:t xml:space="preserve"> of the decision </w:t>
      </w:r>
      <w:r>
        <w:rPr>
          <w:rFonts w:ascii="arial" w:eastAsia="arial" w:hAnsi="arial" w:cs="arial"/>
          <w:i/>
          <w:color w:val="000000"/>
          <w:sz w:val="20"/>
          <w:lang w:val="en-US" w:eastAsia="en-US" w:bidi="ar-SA"/>
        </w:rPr>
        <w:t>Bank of B.C. v. Pickering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(1983), 62 B.C.L.R. 136</w:t>
      </w:r>
      <w:r>
        <w:rPr>
          <w:rFonts w:ascii="arial" w:eastAsia="arial" w:hAnsi="arial" w:cs="arial"/>
          <w:color w:val="000000"/>
          <w:sz w:val="20"/>
          <w:lang w:val="en-US" w:eastAsia="en-US" w:bidi="ar-SA"/>
        </w:rPr>
        <w:t xml:space="preserve"> (C.A.), and the definitions of a bona fide triable issue offered in it: "no substantial question to be tried"; "no dispute as to facts or law which raise a reasonable doubt"; "manifest clarity that [appellants] are without a defence that deserves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Petitioner must therefore satisfy that it is manifestly clear that the Respondent has no defence to their petition if a referral of this matter to the trial list is to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coming to my decision I am also mindful of the comment of the Court of Appeal in </w:t>
      </w:r>
      <w:r>
        <w:rPr>
          <w:rFonts w:ascii="arial" w:eastAsia="arial" w:hAnsi="arial" w:cs="arial"/>
          <w:i/>
          <w:color w:val="000000"/>
          <w:sz w:val="20"/>
          <w:lang w:val="en-US" w:eastAsia="en-US" w:bidi="ar-SA"/>
        </w:rPr>
        <w:t>Zurich Indemnity Co. of Canada v. Western Delta Lands Inc.</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(1997), 38 B.C.L.R. (3d) 273</w:t>
        </w:r>
      </w:hyperlink>
      <w:r>
        <w:rPr>
          <w:rFonts w:ascii="arial" w:eastAsia="arial" w:hAnsi="arial" w:cs="arial"/>
          <w:color w:val="000000"/>
          <w:sz w:val="20"/>
          <w:lang w:val="en-US" w:eastAsia="en-US" w:bidi="ar-SA"/>
        </w:rPr>
        <w:t xml:space="preserve"> at para.'s 24 and 25:</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in any given case, a mortgagee should be impeded in pursuing foreclosure, is a matter within the discretion of the judge to be exercised in accordance with principle. The factors to be considered will vary with the reason being put forward to justify the delay. When that reason is a cross-claim by the mortgagor, the factors will include a consideration of the merits of the cross-claim and any economic jeopardy to either party.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one hand, mortgagees ought not to be delayed in pursuing their remedies by specious cross-claims of the mortgagor. On the other hand, a mortgagor with a serious cross-claim founded in evidence should not be summarily deprived of his right of redemption and left to his remedy at law against the mortgagee on that cross-claim.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 Triable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turn now to the potential triable issues and defences raised by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Representations Made about Payment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term of the mortgage and the rate of interest to be calculated during the term of it is undisputed. The only question truly in dispute with respect to interest payable under the mortgage is which party is obligated to pay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Respondent alleges in the specific performance action that the Purchasers undertook responsibility to pay it. However, nowhere is it stipulated in the mortgage document, disclosure statement, offer of credit, or other mortgage related documentation that the mortgage payments were the responsibility, not of the mortgagor (Respondent), but of third parties-setting aside for the moment questions of how payments were to be calculated; or whether they were to be paid during the term, or accrued, as the mortgage disclosure statement and mortgage indicate.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it is, the Purchasers guaranteed the Respondent's mortgage obligation. As such they would themselves be potentially liable to pay accrued interest in the case of default. Whether they were required by an agreement between them and the Respondent to pay the mortgage interest in the interim or as accrued up to the date the sale is a contractual matter between them and the Respondent; but whether such an arrangement was made, on the evidence offered at the hearing it has not remotely been demonstrated that it was made known to Seaboard, or incorporated as a term into the mortgage-whose main purpose was to encumber the land with the obligations undertaken by the mortgagor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Respondent relied upon a number of authorities in support of its argument that the conduct of the Purchasers was sufficient to grant a stay of proceedings. I have distinguished these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Fuchs v. Dunlop</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(1977), 3 B.C.L.R. 180</w:t>
        </w:r>
      </w:hyperlink>
      <w:r>
        <w:rPr>
          <w:rFonts w:ascii="arial" w:eastAsia="arial" w:hAnsi="arial" w:cs="arial"/>
          <w:color w:val="000000"/>
          <w:sz w:val="20"/>
          <w:lang w:val="en-US" w:eastAsia="en-US" w:bidi="ar-SA"/>
        </w:rPr>
        <w:t xml:space="preserve"> (S.C.) involved a case in which the vendor allegedly made fraudulent misrepresentations about the size of the land and other matters. MacDonald J. stated that the proper procedure was to commence a separate action and then to apply for a stay of proceedings on execution of what was in that case an already granted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of foreclosure. This would allow the action for misrepresentation on the agreement for sale to be decided first. However the vendor making the fraudulent misrepresentations took a mortgage back, so the petitioner was potentially a party to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First City Developments Ltd. v. Landel Holdings Ltd.</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(1979), 13 B.C.L.R. 358</w:t>
        </w:r>
      </w:hyperlink>
      <w:r>
        <w:rPr>
          <w:rFonts w:ascii="arial" w:eastAsia="arial" w:hAnsi="arial" w:cs="arial"/>
          <w:color w:val="000000"/>
          <w:sz w:val="20"/>
          <w:lang w:val="en-US" w:eastAsia="en-US" w:bidi="ar-SA"/>
        </w:rPr>
        <w:t xml:space="preserve"> Trainor J. considered whether under Rule 52(11) a petition ought to be referred to the trial list. </w:t>
      </w:r>
      <w:r>
        <w:rPr>
          <w:rFonts w:ascii="arial" w:eastAsia="arial" w:hAnsi="arial" w:cs="arial"/>
          <w:i/>
          <w:color w:val="000000"/>
          <w:sz w:val="20"/>
          <w:lang w:val="en-US" w:eastAsia="en-US" w:bidi="ar-SA"/>
        </w:rPr>
        <w:t>First City</w:t>
      </w:r>
      <w:r>
        <w:rPr>
          <w:rFonts w:ascii="arial" w:eastAsia="arial" w:hAnsi="arial" w:cs="arial"/>
          <w:color w:val="000000"/>
          <w:sz w:val="20"/>
          <w:lang w:val="en-US" w:eastAsia="en-US" w:bidi="ar-SA"/>
        </w:rPr>
        <w:t xml:space="preserve"> involved questions of priority, the proper application of insurance proceeds against the mortgage and undue influence on guarantors; and a bona fide triable issue as between the parties and the mortgagee was clearly discernible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Though the Respondent also relied upon </w:t>
      </w:r>
      <w:r>
        <w:rPr>
          <w:rFonts w:ascii="arial" w:eastAsia="arial" w:hAnsi="arial" w:cs="arial"/>
          <w:i/>
          <w:color w:val="000000"/>
          <w:sz w:val="20"/>
          <w:lang w:val="en-US" w:eastAsia="en-US" w:bidi="ar-SA"/>
        </w:rPr>
        <w:t>Northland</w:t>
      </w:r>
      <w:r>
        <w:rPr>
          <w:rFonts w:ascii="arial" w:eastAsia="arial" w:hAnsi="arial" w:cs="arial"/>
          <w:color w:val="000000"/>
          <w:sz w:val="20"/>
          <w:lang w:val="en-US" w:eastAsia="en-US" w:bidi="ar-SA"/>
        </w:rPr>
        <w:t>, I do not see this case assisting the Respondent here insofar as establishing an equivalent triable issue as between the Petitioner and the Respondent is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HSBC Bank of Canada</w:t>
      </w:r>
      <w:r>
        <w:rPr>
          <w:rFonts w:ascii="arial" w:eastAsia="arial" w:hAnsi="arial" w:cs="arial"/>
          <w:color w:val="000000"/>
          <w:sz w:val="20"/>
          <w:lang w:val="en-US" w:eastAsia="en-US" w:bidi="ar-SA"/>
        </w:rPr>
        <w:t xml:space="preserve"> Fenlon J. ordered a petition to be converted to an action pursuant to Rule 52(11). In that case the court found that the respondent's claim, if established, went to the root of the foreclosure action and raised a defence to the petitioner's claim. In </w:t>
      </w:r>
      <w:r>
        <w:rPr>
          <w:rFonts w:ascii="arial" w:eastAsia="arial" w:hAnsi="arial" w:cs="arial"/>
          <w:i/>
          <w:color w:val="000000"/>
          <w:sz w:val="20"/>
          <w:lang w:val="en-US" w:eastAsia="en-US" w:bidi="ar-SA"/>
        </w:rPr>
        <w:t>HSBC Bank of Canada</w:t>
      </w:r>
      <w:r>
        <w:rPr>
          <w:rFonts w:ascii="arial" w:eastAsia="arial" w:hAnsi="arial" w:cs="arial"/>
          <w:color w:val="000000"/>
          <w:sz w:val="20"/>
          <w:lang w:val="en-US" w:eastAsia="en-US" w:bidi="ar-SA"/>
        </w:rPr>
        <w:t xml:space="preserve">, if the evidence of the respondent [regarding its rebuffed attempt to redeem the mortgage] were to be accepted, the mortgaging bank could be barred from retaining interest and fees collected on the loan from the date of first refusal: </w:t>
      </w:r>
      <w:r>
        <w:rPr>
          <w:rFonts w:ascii="arial" w:eastAsia="arial" w:hAnsi="arial" w:cs="arial"/>
          <w:i/>
          <w:color w:val="000000"/>
          <w:sz w:val="20"/>
          <w:lang w:val="en-US" w:eastAsia="en-US" w:bidi="ar-SA"/>
        </w:rPr>
        <w:t>HSBC Bank of Canada</w:t>
      </w:r>
      <w:r>
        <w:rPr>
          <w:rFonts w:ascii="arial" w:eastAsia="arial" w:hAnsi="arial" w:cs="arial"/>
          <w:color w:val="000000"/>
          <w:sz w:val="20"/>
          <w:lang w:val="en-US" w:eastAsia="en-US" w:bidi="ar-SA"/>
        </w:rPr>
        <w:t xml:space="preserve"> at para. 16. In the case here, the Respondent made no attempts to redeem the mortgage, or raise any similar equities between himself and the Petitioner during the term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summary, apart from what counsel for the Petitioner not inaccurately characterized as mere innuendo found in the Respondents affidavits [that] Robert Matthews, a director of the Petitioner, and currently a part owner of Chemainus Garden Lands Ltd., was somehow improperly involved in some way with the Purchasers, there is nothing tying the Petitioner to misrepresentations allegedly made by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Respondent fails to demonstrate that this raises a defence to the petition; and to any extent that it might conceivably tend in that direction, it does not meet even the low evidentiary threshold required. No stay is justified on these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by Seaboard to Collect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Respondent's next proposed defence to the petition relates to the failure of the mortgagee to collect interest, presumably from the Purchasers, during the term of the mortgage. But the mortgage instrument stipulates no such duty on the part of the Petitioner. Further, the Respondent presented no facts or legal principle that burdens the Petitioner with this responsibility in the circumstances shown in this case: For example, no hypothecated shares that the Petitioner had a duty to sell in a timely way-so resulting in an extinguishment of the Respondent's debt; no claim that the Petitioner had refused to allow the Respondent to redeem the mortgage; no claim of misrepresentation by the Petitioner (who I note is not a defendant by counterclaim in the specific performance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practical terms, the Respondent is saying that the Petitioner (mortgagee) was obligated to act as his agent and to collect interest payments from the Purchasers. Where in any document is this set out? Not in the mortgage disclosure statement or mortgage; both say the interest was to accrue, and neither contains third party obligations other than the guarantees of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Moreover, what if the Purchasers did owe the obligation and then defaulted? Is the Petitioner then deprived of remedies to recover interest from the Respondent? A term to this effect would surely find clear expression in a commercial transaction that sees all parties represented by solicitors: the Petitioner, the Respondent, and the Purchasers (as guarantors) all would own compelling reasons for ensuring absolute clarity on such a question. Where does it find any expression in a way that raises a bona fide defence to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have not overlooked the offer of credit that the Respondent relies on, with its reference to monthly payments, but this was a credit proposal that included a proposal for payment of monthly payment of interest. Even there, nothing is mentioned about anyone other than the Respondent paying.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Respondent also referred me to the cases of: </w:t>
      </w:r>
      <w:r>
        <w:rPr>
          <w:rFonts w:ascii="arial" w:eastAsia="arial" w:hAnsi="arial" w:cs="arial"/>
          <w:i/>
          <w:color w:val="000000"/>
          <w:sz w:val="20"/>
          <w:lang w:val="en-US" w:eastAsia="en-US" w:bidi="ar-SA"/>
        </w:rPr>
        <w:t>Canadian Imperial Bank of Commerce v. Trapp</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(1985), 60 B.C.L.R. 241</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Gallen v. Butterley, Nunweiler</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(1984), 53 B.C.L.R. 38</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Osborne and Osborne v. Pavlick</w:t>
      </w:r>
      <w:r>
        <w:rPr>
          <w:rFonts w:ascii="arial" w:eastAsia="arial" w:hAnsi="arial" w:cs="arial"/>
          <w:color w:val="000000"/>
          <w:sz w:val="20"/>
          <w:lang w:val="en-US" w:eastAsia="en-US" w:bidi="ar-SA"/>
        </w:rPr>
        <w:t xml:space="preserve"> (September 11, 1996), Duncan Registry No. S4966 (B.C.S.C.); </w:t>
      </w:r>
      <w:r>
        <w:rPr>
          <w:rFonts w:ascii="arial" w:eastAsia="arial" w:hAnsi="arial" w:cs="arial"/>
          <w:i/>
          <w:color w:val="000000"/>
          <w:sz w:val="20"/>
          <w:lang w:val="en-US" w:eastAsia="en-US" w:bidi="ar-SA"/>
        </w:rPr>
        <w:t>Chemainus Garden Land Ltd. v. The Estate of Doris N. Guilbride</w:t>
      </w:r>
      <w:r>
        <w:rPr>
          <w:rFonts w:ascii="arial" w:eastAsia="arial" w:hAnsi="arial" w:cs="arial"/>
          <w:color w:val="000000"/>
          <w:sz w:val="20"/>
          <w:lang w:val="en-US" w:eastAsia="en-US" w:bidi="ar-SA"/>
        </w:rPr>
        <w:t xml:space="preserve"> (February 9, 2009), Victoria Registry No. 085229 (B.C.S.C.). Those cases are clearly relevant with respect to the issue of alleged misrepresentations made about who was to be responsible for payment of interest due under the mortgage, but do not assist here in relation to the mortgage agreement. Further, in </w:t>
      </w:r>
      <w:r>
        <w:rPr>
          <w:rFonts w:ascii="arial" w:eastAsia="arial" w:hAnsi="arial" w:cs="arial"/>
          <w:i/>
          <w:color w:val="000000"/>
          <w:sz w:val="20"/>
          <w:lang w:val="en-US" w:eastAsia="en-US" w:bidi="ar-SA"/>
        </w:rPr>
        <w:t>Chemainus Garden Land Ltd.,</w:t>
      </w:r>
      <w:r>
        <w:rPr>
          <w:rFonts w:ascii="arial" w:eastAsia="arial" w:hAnsi="arial" w:cs="arial"/>
          <w:color w:val="000000"/>
          <w:sz w:val="20"/>
          <w:lang w:val="en-US" w:eastAsia="en-US" w:bidi="ar-SA"/>
        </w:rPr>
        <w:t xml:space="preserve"> Dorgan J.'s decision to decline a summary judgment hearing on the specific performance action of </w:t>
      </w:r>
      <w:r>
        <w:rPr>
          <w:rFonts w:ascii="arial" w:eastAsia="arial" w:hAnsi="arial" w:cs="arial"/>
          <w:i/>
          <w:color w:val="000000"/>
          <w:sz w:val="20"/>
          <w:lang w:val="en-US" w:eastAsia="en-US" w:bidi="ar-SA"/>
        </w:rPr>
        <w:t>Chemainus Garden Land Ltd.</w:t>
      </w:r>
      <w:r>
        <w:rPr>
          <w:rFonts w:ascii="arial" w:eastAsia="arial" w:hAnsi="arial" w:cs="arial"/>
          <w:color w:val="000000"/>
          <w:sz w:val="20"/>
          <w:lang w:val="en-US" w:eastAsia="en-US" w:bidi="ar-SA"/>
        </w:rPr>
        <w:t xml:space="preserve"> and the understandable concerns of the learned judge expressed there are within the context of a summary judgement application disposing of issues as between the vendor and purchaser in a summary way, not whether there was a bona fide defence to the petition based on the evidence offered over a two day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Invalidity of the Mortgage through Invalid Delegation of Discretionary Authority by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Respondent raised another potential triable issue in relation to the validity of the mortgage document. He referred to authorities dealing with the issue of invalid delegation by executors. Trustees may not delegate a power involving the exercise of a personal discretion unless they have authority to do so. Any other attempted delegation is a nullity. </w:t>
      </w:r>
      <w:r>
        <w:rPr>
          <w:rFonts w:ascii="arial" w:eastAsia="arial" w:hAnsi="arial" w:cs="arial"/>
          <w:i/>
          <w:color w:val="000000"/>
          <w:sz w:val="20"/>
          <w:lang w:val="en-US" w:eastAsia="en-US" w:bidi="ar-SA"/>
        </w:rPr>
        <w:t>Re Hatfield Estate</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(1986), 5 B.C.L.R. (2d) 297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Counsel for the Respondent points out that the power to sell or mortgage property owned by the Estate is one which can be exercised only by the trustee and not delegatable unless authorized under the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Of course the general rule that forbids a trustee from delegating a decision, subject to certain exceptions is relevant. However, in this instance, I first note that the Respondent's own solicitor amended the line beneath the attorney's signature on the mortgage in order to make it clear that Mrs. Guilbride affixed her signature as attorney of the Respondent. The full line reads: "Kurt Patrick Guilbride, Executor of the Estate of Doris Norma Guilbride By his Attorney Annie Guilbride". The parties clearly governed themselves with the understanding that Mrs. Guilbride could and did sign the mortgage as attorney on behalf of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is also clear from the affidavit materials filed by the Respondent that, whatever the communication difficulties stemming from the executor's incarceration at material times, it was his approval that was sought, his decision that governed. He delegated the signing of the documentation, not the decision. For example Kurt Guilbride deposes in his affidavit sworn April 29, 2009 that:</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on the representations of Micky [Marilyn] Fleming and Len Wansbrough who are Directors of Chemainus Garden Land Ltd. with Robert Matthews, I instructed Annie to execute the Contract and sign the mortgage which is the subject matter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solicitor's affidavits do not indicate other than the fact that he ultimately acted on the instructions of the Respondent executor; it would be difficult to conceive of a solicitor not thus assuring himself or dealing with the documentation otherwise. Nowhere is it stated that it was Ann Guilbride-who, granted, was involved in the discussions and communicating of information-not the Respondent making the discretionary decision to borrow the funds and grant the mortgage. Further, the estate has received the benefit of the mortgage, subject to some claims not relevant here that the Purchasers mishandled certain portions of funds advanced to operate the campsite. The material indicates that the Respondent has conducted himself since without disputing the liability of the estate for the principal sums advanced under the mortgage or that mortgage interest is owed, albeit not by him, and indeed, counsel did not contest that the mortgagee is entitled somehow to get its money back. On the material before me, it was the Respondent who clearly ratified the borrowings and mortgage that the Petitioner seeks to enforce here, and on the materials provided, the claim of invalid delegation fails to raise a defence that deserves to be tried. </w:t>
      </w:r>
      <w:r>
        <w:rPr>
          <w:rFonts w:ascii="arial" w:eastAsia="arial" w:hAnsi="arial" w:cs="arial"/>
          <w:i/>
          <w:color w:val="000000"/>
          <w:sz w:val="20"/>
          <w:lang w:val="en-US" w:eastAsia="en-US" w:bidi="ar-SA"/>
        </w:rPr>
        <w:t>McLellan Properties Ltd. v. Antoine Roberge and L.D. Roberge</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[1947] S.C.R. 561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such, I do not find a stay of proceedings justified under Rule 52(11) on any of these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While I recognize that there are defences and claims to be tried as between the Purchasers and the Respondent, these are not interposed between the Petitioner and Respondent, and I am unable to find that any of those proposed by the Respondent constitute a bona fide triable defence to the petition. The evidentiary disputes in the extensive affidavits before me go not to the substance of the mortgage contract itself, but to the question of contractual responsibility for payment of the interest that has accrued under it. Of those potential issues that might be raised between the Petitioner and Respondent, such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Petitioner mortgagee for not collecting payments due and invalid delegation, I cannot see these as bona fide triable defences for the reasons given. Whether the accrued interest is the responsibility of the Purchasers or the Respondent will be decided in the specific performance/misrepresentation and rescission action. If the Respondent is successful, he will recover the accrued interest from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Naturally, anything I have written here in relation to evidence connected with the claims and counterclaim for specific performance and counterclaim is dicta.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With respect to the period of redemption, the Petitioner points to the fact that this is a commercial property and that no interest or payments of any kind have been paid on the mortgage, so requests a one month redemption period. However, I note that the latest appraisal confirms that there is more than ample equity remaining in the property to secure the amount owed the Petitioner. Nonetheless, given the history of defaults, I agree a period of less than six months is justifiable, and also that a receiver manager should be appointed, pursuant to Rule 47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and s. 39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in order to secure any surplus rental income the RV park is receiving for the benefit of the Petitioner. Given the equity in the subject property and the fact that a receiver manager will be appointed, the interests of both parties are fairly served by a four month redemption period. Until resolution of the specific performance litigation or consummation of a sale to the Purchaser, (or should there be an order for sale to a stranger to this litigation granted at some point), the receiver manager should not disturb the current residency arrangements without agreement or court order and in the interim see to it also that commensurate management fees are paid to Ann Guilbride and Kurt Guilbride for services rendered, provided they cooperate with the receiver manager in the discharge of his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Petitioner should have its costs for the two day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Accordingly, I make the following declarations and orders: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mortgage registered in the Victoria Land Title Office as instrument No. FA135115 on November 15, 2006 (the "Mortgage") made on behalf of Seaboard Mortgage Corporation and assigned to the Petitioner as mortgagee, and by the Respondent as mortgagor is in default and all monies owed secured by the Mortgage are now due and owing.</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money due under the Mortgage and payable by the Respondent to the Petitioner as of March 11, 2009 is $1,523,665.48 plus interest at the rate of 11.5% per annum calculated annually. This is in addition to all costs properly incurred by the Petitioner under the terms of the Mortgage as against the Respondent.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order that the last date for redemption is within four months after the pronouncement of this decision.</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Respondents pay into Court the redemption amount on or before the date set for redemption the Respondents will be foreclosed of all rights, title, interest and equity of redemption in the Mortgage.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order judgment against the estate pursuant to its covenant to pay the amount owed by it and secured under the Mortgage, for the amount found to be due and owing as at the date of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plus the assessed costs of the Petitioner.</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order a receiver manager be appointed to secure any surplus rental income the RV park is receiving for the benefit of the Petitioner.</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order the sale of the lands subject to the approval of this Court, with the Petitioner having conduct of sale.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certificate of pending litigation.</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sought in the Respondent, Kurt Patrick Guilbride's notice of motion that the "hearing of the petition in the Supreme Court of British Columbia, Victoria Registry, No 09 1396, be adjourned to the trial of the proceeding in that action" is dismissed, together with concomitant orders sought.</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to be awarded to the Petitioner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parties are at liberty to apply to correct arithmetic errors.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17" type="#_x0000_t75" style="width:432.06pt;height:501.07pt">
            <v:imagedata r:id="rId643"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8" style="position:absolute;z-index:2518548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Andrushko v. Strata Plan KAS 1041 McIntosh Grove, [2015] B.C.J. No. 2865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Salmon Arm,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15807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Salmon Arm</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2865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2445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3820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261 A.C.W.S. (3d) 1019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63 R.P.R. (5th) 318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Walter Peter Andrushko, Petitioner, and The Owners Strata Plan KAS 1041 McIntosh Grove, John Pape, Joe Lancaster, Deanna Little, Charlene Zappone, Sharon Charlebois and Linda Beckman,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9"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1" w:name="Keywords_14"/>
      <w:bookmarkEnd w:id="121"/>
      <w:r>
        <w:rPr>
          <w:rFonts w:ascii="arial" w:eastAsia="arial" w:hAnsi="arial" w:cs="arial"/>
          <w:b/>
          <w:color w:val="000000"/>
          <w:sz w:val="20"/>
          <w:lang w:val="en-US" w:eastAsia="en-US" w:bidi="ar-SA"/>
        </w:rPr>
        <w:t>Real property law — Condominiums — Bylaws — Types — For management of property — Condominium corporation — Rights and obligations — Building management — Sources of obligation — Bylaws — Application by Andrushko for an order compelling the respondent Strata Plan KAS (Strata) condominium corporation to enforce its bylaw prohibiting smoking on balconies dismissed — Between 2013 and 2015, Andrushko made numerous complaints about his upstairs neighbour smoking on her balcony — The Strata corporation had taken steps to meet its duty to enforce its bylaw, including notifying Andrushko's neighbour, seeking legal advice, and attempting to get assistance from health authorities — The Strata corporation was not unable or unwilling to enforce its bylaws and the court's intervention was not necessary.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2" w:name="Case Summary_14"/>
            <w:bookmarkEnd w:id="1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Andrushko for an order compelling the respondent Strata Plan KAS (Strata corporation) condominium corporation to enforce its bylaw prohibiting smoking on balconies. Andrushko also sought an order compelling the Strata corporation to implement a smoke free environment. Andrushko was the owner of a unit in a Strata condominium complex. All of the units in the building had balconies. In 2013, Andrushko complained that his upstairs neighbour was smoking on her balcony, claiming that the smoke interfered with his enjoyment of his property. he made numerous subsequent complaints to the Strata rules committee. In November, 2013, the Strata corporation revised its bylaws, to provide that smoking was not permitted in common areas or on balconies which were nearer than three feet from the doorway, window or air intake, or on balconies that were substantially enclosed. Over the next few years, the Strata corporation notified Andrushko's upstairs neighbour of his complaints and requested that she comply with the bylaw. It also sought legal advice concerning the smoking bylaw and Andrushko's complaints. In 2014 the Strata council requested the assistance of the Interior Health Authority concerning whether the three-foot rule applied; the official declined to measure the balconies in the absence of a court order. Andrushko also applied for orders compelling the Strata corporation to remedy the nuisance of second-hand smoke from adjoining units, and for an order compelling the Strata corporation to implement a smoking ban throughout the complex. The Strata corporation argued that it was capable of enforcing its bylaws itself, and that the court's intervention was not needed. Andrushko had not made a complaint between July, 2015 and the hearing of this application in November, 2015.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3" w:name="Holdings of Court_14"/>
            <w:bookmarkEnd w:id="12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Section 165 of the Strata Property Act gave the court discretion to grant a mandatory injunction to compel a Strata corporation to perform its statutory duties, which included bylaw enforcement. However, this discretion was to be exercised with restraint. Albeit belatedly, the Strata council had demonstrated that it was willing and able to investigate complaints and take action to enforce its bylaws. It sought legal advice and attempted to obtain advice from the health authorities. The council had notified and cautioned Andrushko's upstairs neighbour. Further, there was no outstanding complaint by Andrushko. The court's intervention was not required. Andrushko's application for an order compelling the Strata corporation to remedy the nuisance of second-hand smoke from entering units was dismissed, as he had not established that any smoke was entering his unit from adjoining units. The bylaws of the Strata corporation did not ban smoking within owners' units, and so the court would not compel the Strata corporation to implement a ban on smoking within the complex.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4" w:name="Legislation Cited_4"/>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0"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Strata Property Act, </w:t>
      </w:r>
      <w:hyperlink r:id="rId651" w:history="1">
        <w:r>
          <w:rPr>
            <w:rFonts w:ascii="arial" w:eastAsia="arial" w:hAnsi="arial" w:cs="arial"/>
            <w:i/>
            <w:color w:val="0077CC"/>
            <w:sz w:val="20"/>
            <w:u w:val="single"/>
            <w:shd w:val="clear" w:color="auto" w:fill="FFFFFF"/>
            <w:lang w:val="en-US" w:eastAsia="en-US" w:bidi="ar-SA"/>
          </w:rPr>
          <w:t>S.B.C. 1998, c. 43, s.3</w:t>
        </w:r>
      </w:hyperlink>
      <w:r>
        <w:rPr>
          <w:rFonts w:ascii="arial" w:eastAsia="arial" w:hAnsi="arial" w:cs="arial"/>
          <w:color w:val="000000"/>
          <w:sz w:val="20"/>
          <w:lang w:val="en-US" w:eastAsia="en-US" w:bidi="ar-SA"/>
        </w:rPr>
        <w:t>, s. 4, s. 119, s. 128, s. 129(1), s. 129(2), s. 130(1), s. 132(1), s. 135(1), s. 135(2), s. 135(3), s. 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Strata Bylaws, s. 3(1), s. 3(7),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Tobacco Control Act, Tobacco Control Regulation, </w:t>
      </w:r>
      <w:hyperlink r:id="rId652" w:history="1">
        <w:r>
          <w:rPr>
            <w:rFonts w:ascii="arial" w:eastAsia="arial" w:hAnsi="arial" w:cs="arial"/>
            <w:i/>
            <w:color w:val="0077CC"/>
            <w:sz w:val="20"/>
            <w:u w:val="single"/>
            <w:shd w:val="clear" w:color="auto" w:fill="FFFFFF"/>
            <w:lang w:val="en-US" w:eastAsia="en-US" w:bidi="ar-SA"/>
          </w:rPr>
          <w:t>B.C. Reg. 232/ 2007 s. 4.2</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5" w:name="Counsel_22"/>
      <w:bookmarkEnd w:id="1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1"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Appeared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Council for the Respondents: Emily Unrau.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6" w:name="Judgment_20"/>
      <w:bookmarkEnd w:id="126"/>
      <w:r>
        <w:pict>
          <v:line id="_x0000_s1122"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7" w:name="P.J. PEARLMAN J."/>
            <w:bookmarkEnd w:id="127"/>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petitioner, Walter Peter Andrushko, applies for relief under s. 165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to compel the respondent The Owners Strata Plan KAS 1041 McIntosh Grove (the "Strata Corporation") to enforce its bylaw prohibiting smoking on balconies that are "substantially enclosed". Mr. Andrushko also seeks orders requiring the Strata Corporation to "remedy the nuisance of second-hand smoke infiltrating adjoining units" and compelling the Strata Corporation to "implement a smoke-free environment until the nuisance of second-hand smoke has been eliminated." The petitioner also applies for an order requiring the personal respondents to bear the costs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petitioner is the owner of a unit in Strata Plan KAS 1041 located in Salmon Arm,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Under s. 3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the respondent Strata Corporation is responsible for managing and maintaining the common property and the common assets of the Strata Corporation for the benefit of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respondents, John Pape, Joe Lancaster, Deanna Little, Charlene Zappone, Sharon Charlebois and Linda Beckman were all members of the Strata Council at the time of the events giving rise to this proceeding. Pursuant to s. 4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the Strata Council must exercise and perform the powers and duties of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their part, the respondents contend that they have taken all reasonable steps to enforce the bylaws, rules and regulations of Strata Plan KAS 1041. The respondents submit that the petitioner has not established that he has experienced any nuisance from second-hand smoke, and deny any breach of duty or bad faith. The respondents say that the Strata Council is willing and able to enforce its bylaws and that the Court's intervention is not required to resolve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Strata Plan KAS 1041 is an 80-unit strata complex for residents aged 55 and older. The strata complex consists of two three-storey buildings and underground parking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petitioner and his wife have occupied their second storey unit since March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owner of the third storey unit directly above the petitioner's condominium is a smoker.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Each of the units has a balcony. A door from the living area provides access to the balcony. There are also windows and air-conditioning intakes that permit air to enter the units from the balconies. Under the Strata Corporation's bylaws, the balconies are designated as limited common property to be used exclusively by the owner or 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Through much of the time he has occupied his unit, the petitioner has been disturbed by his upstairs neighbour smoking on her balcony. Mr. Andrushko has repeatedly complained to the Strata Council about second-hand smoke interfering with his, and his wife's enjoyment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Between 2013 and the hearing of this petition, the issue of smoking on balconies became an increasingly divisive and acrimonious source of controversy among the owners of Strata Plan KAS 1041. The petitioner and the owners of at least one other unit complained of second-hand smoke entering their units. As the Strata Council's deliberations over what measures, if any, should be taken in response to the petitioner's complaints continued through 2014 and into 2015, Mr. Andrushko's demands that council enforce a ban on owners smoking on balconies escalated to include a request that council prohibit all smoking in the strata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March 2013, the Strata Council Rules Committee circulated a draft of the Strata Corporation's proposed, revised bylaws and requested comments from strata unit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April 3, 2013, Mr. Andrushko responded, proposing that smoking be prohibited on balconies, and that owners who smoked should only be permitted to do so within the confines of their own units. The petitioner asserted that given the proximity of the balconies to each other and to the doors, windows, and air-conditioners of the adjacent units, smoking not only interfered with the owners' right to use and enjoy their respective homes but also presented a health hazard. The bylaws of the Strata Corporation then in force prohibited smoking in any common areas of the building except balconies.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Strata Corporation's annual general meeting of July 5, 2013, the owners discussed revisions to the bylaws. Much of the debate focused on whether owners and their guests would be able to smoke on the balconies. The Strata Council expressed concern about balancing the interests of smoking and non-smoking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Before seeking the owners' approval of the revised bylaws, the Council retained a solicitor, Ms. Christy Lovig, to provide advice concerning the bylaw revisions.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a special general meeting held on November 21, 2013, the Strata Corporation approved the revised bylaws. Of the forty-six owners who voted, only two opposed their adoption.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bylaws of the Strata Corporation adopted on November 21, 2013 relevant to these proceedings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owner, tenant, occupant or visitor must not use the strata lot, the common property or common assets in any way that:</w:t>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causes a nuisance or hazard to another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unreasonably interferes with the right of other persons to use and enjoy the common property, common assets or another strata lot,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Smoking is not permitted on any common property of the strata corporation. Notwithstanding this smoking prohibition, smoking is allowed on balconies which are designated as limited common property, provided that the smoker maintains strict compliance with the </w:t>
      </w:r>
      <w:r>
        <w:rPr>
          <w:rFonts w:ascii="arial" w:eastAsia="arial" w:hAnsi="arial" w:cs="arial"/>
          <w:i/>
          <w:color w:val="000000"/>
          <w:sz w:val="20"/>
          <w:lang w:val="en-US" w:eastAsia="en-US" w:bidi="ar-SA"/>
        </w:rPr>
        <w:t>Tobacco Control Act</w:t>
      </w:r>
      <w:r>
        <w:rPr>
          <w:rFonts w:ascii="arial" w:eastAsia="arial" w:hAnsi="arial" w:cs="arial"/>
          <w:color w:val="000000"/>
          <w:sz w:val="20"/>
          <w:lang w:val="en-US" w:eastAsia="en-US" w:bidi="ar-SA"/>
        </w:rPr>
        <w:t xml:space="preserve"> and Regulation, which directs that the smoker must remain a minimum of three (3) meters from the doorway, window or air intake, and the balcony must not be fully or substantially enclosed.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Andrushko was one of the two owners who voted against the bylaw amendments. He did so after expressing his view that the administration of s. 3(7) might be difficult for Council. When the petitioner suggested the Strata Council obtain further legal advice on the interpretation of the proposed amendment, the Strata Council President, John Pape, informed Mr. Andrushko that the Strata Council had already paid significant funds for a legal opinion and did not intend to spend any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April 2, 2014, the petitioner sent an e-mail to the Strata Council complaining about his upstairs neighbour making noise when she went on her balcony during "quiet time" between 11:00 p.m. and 7:00 a.m. to smoke, and about being disturbed by cigarette smoke from her balcony.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response, Mr. Dan Ewart, the Strata Manager, wrote to the upstairs owner on April 8, 2014, informing her of Mr. Andrushko's complaints about smoke and emphasizing that the Strata Corporation's rule respecting quiet time was in effect and must be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April 8, 2014, Mr. Andrushko wrote to Council repeating his request for a ban on smoking on the balconies, and that owners only be permitted to smoke inside their strata units. The petitioner also reiterated his position that when the upstairs owner was smoking on her balcony she was doing so within three meters of the air intake to his unit, and that the balconies were substantially enclosed. He reminded Council that in these circumstances bylaw 3(7) prohibited smoking on the balconies, and requested that Council take action to enforce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Andrushko's letter of April 8, 2014, and similar complaints from another owner, caused Council to seek further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its meeting of April 22, 2014, the Strata Council noted that the issue of tobacco smoke finding its way into the complaining owners' suites "seems unsolvable aside from preventing other owners from smoking or spending large amounts of Strata dollars to substantially upgrade the venting of the buildings". Council turned to Ms. Lovig for further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Ms. Lovig explained to Council that under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the Strata Council has the duty to enforce its bylaws and rules and that the Strata Council must fulfil its statutory duty by following the bylaw enforcement procedures set out in s. 135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Council made further attempts to grapple with the petitioner's demands that the bylaws be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August 14, 2014, Mr. Andrushko made another complaint about smoke and noise from his upstairs neighbour's balcony. His neighbour responded by complaining that the petitioner was harassing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August 20, 2014, at the request of the Strata Council, Mr. Ewart contacted Mr. Bill Miller, a Strata Advisor with the Condominium Home Owners Association ("CHOA"), to seek advice regarding the dispute between the petitioner and his neighbour. Mr. Miller advised that this was a "personal dispute". He also expressed his opinion that a smoker on an upper balcony was probably more than three meters away from any door or window on a lower balcony, but suggested the Strata Council check the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the respondents, not unreasonably, looked to CHOA for assistance, Mr. Miller's advice was of little help to the Strata Council in resolving the petitioner's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August 21, 2014, the strata manager informed Mr. Andrushko that Council were working to resolve his complaint, as well as a complaint from another owner regarding smoking.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August 27, 2014, the strata manager informed the petitioner that his complaint would be addressed at the Strata Council meeting of September 16,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September 3, 2014, Mr. Andrushko urged the Strata Council to impose a ban on smoking anywhere within the strata complex. Referring to the entry in the minutes of the Strata Council of April 22, 2014 that the tobacco smoke issue "seems unsolvable", the petitioner asserted that the Strata Corporation appeared to be devoting more energy to the preservation of smoking within the strata complex than to the application and enforcement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and the bylaws, rules and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I have previously noted at the meeting of April 22, 2014, the Strata Council determined that neither a complete ban on smoking within the strata complex nor the expenditure of substantial amounts of strata funds to upgrade the venting of the buildings was a satisfactory solution, and resolved to obtain further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At the meeting in September 16, 2014, the Strata Council decided to seek more help on the question of whether there was a three meter separation between smokers on their balconies and the nearest window or door of the complaining owners' units. The Strata Council requested that an official with the Inland Health Authority responsible for the administration of the </w:t>
      </w:r>
      <w:r>
        <w:rPr>
          <w:rFonts w:ascii="arial" w:eastAsia="arial" w:hAnsi="arial" w:cs="arial"/>
          <w:i/>
          <w:color w:val="000000"/>
          <w:sz w:val="20"/>
          <w:lang w:val="en-US" w:eastAsia="en-US" w:bidi="ar-SA"/>
        </w:rPr>
        <w:t>Tobacco Control Act</w:t>
      </w:r>
      <w:r>
        <w:rPr>
          <w:rFonts w:ascii="arial" w:eastAsia="arial" w:hAnsi="arial" w:cs="arial"/>
          <w:color w:val="000000"/>
          <w:sz w:val="20"/>
          <w:lang w:val="en-US" w:eastAsia="en-US" w:bidi="ar-SA"/>
        </w:rPr>
        <w:t xml:space="preserve"> determine whether or not the separation met the three meter rule. However, that official declined to measure distances on the affected balconies unless ordered to do so by 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October 1, 2014 the Strata Council responded to the petitioner's correspondence of September 3, 2014. The Strata Council pointed out that it represented all owners; that it did not know how it could prevent owners from smoking within their own units; and that its attempt to enlist the assistance of the Interior Health Authority in determining whether or not the three meter rule applied had failed. At that point, Council thought that there was nothing further it could do to resolve Mr. Andrushko's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However, after Mr. Andrushko filed and served his petition, Council responded by seeking further legal advice. As a result of that advice, Council issued a notice to owners on June 24, 2015 drawing bylaw 3(7) to the attention of all strata unit owners, requesting compliance and reminding the owners of the Strata Corporation's power to levy fines of up to $200 for each contravention of a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notice to owners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Lovig states: "The 3 metres should be measured from the entry point to the strata unit from the balcony; to be safe I would measure it from the interior edge of the door frame to the outer edge of the balcony."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Unrau states: "That the picture provided with Andrushko's Petition shows that the balconies are substantially enclosed so in effect the Bylaw does not allow smoking".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further states that, as currently drafted, the bylaw effectively prohibits smoking on balconies within the strata complex because the balconies: a) meet the definition of "substantially enclosed" in section 4.2 of the Tobacco Control Regulation by having a roof and being enclosed on more than three out of four sides, and b) are within three metres of both doorways and windows.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been instructed to bring Bylaw 3 (7) to the attention of all Owners at McIntosh Grove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June 30, 2015, Mr. Andrushko made a further complaint to Council concerning his upstairs neighbour smoking on her balcony. The strata manager and members of Council met with the upstairs owner on July 2, 2015. She informed Council that she had been away for an extended time, had only just returned, and had not yet reviewed the notice to owners. However, she promised to refrain from smoking on her balcony. Council warned the owner that smoking on her balcony would result in fines of $200 for each contravention of the bylaw, and confirmed their warning by written notice to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Since July 2, 2015, Mr. Andrushko has made no further complaints to the Strata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Statutory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Section 119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provides that the Strata Corporation must have bylaws, and that the bylaws may provide for the control, management, maintenance, use and enjoyment of the strata lots, common property and common assets of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provisions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xml:space="preserve"> relevant to enforcement of bylaws in the circumstances of this case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(1) To enforce a bylaw or rule the strata corporation may do one or more of the following:</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a fine under section 130;</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remedy a contravention under section 133;</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deny access to a recreational facility under section 134.</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enforcing a bylaw or rule the strata corporation may give a person a warning or may give the person time to comply with the bylaw or rule.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130 (1) The strata corporation may fine an owner if a bylaw or rule is contravened by</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132 (1) The strata corporation must set out in its bylaws the maximum amount it may fine an owner or tenant for each contravention of a bylaw or rule.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must not</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a fine against a person,</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a person to pay the costs of remedying a contravention, or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 contravention of a bylaw or rule unless the strata corporation has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received a complaint about the contravention,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owner or tenant the particulars of the complaint, in writing, and a reasonable opportunity to answer the complaint, including a hearing if requested by the owner or tenant,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strata corporation must, as soon as feasible, give notice in writing of a decision on a matter referred to in subsection (1) (a), (b) or (c) to the persons referred to in subsection (1) (e) and (f).</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a strata corporation has complied with this section in respect of a contravention of a bylaw or rule, it may impose a fine or other penalty for a continuing contravention of that bylaw or rule without further compliance with this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By s. 24(1) of the bylaws, the Strata Corporation may fine an owner or tenant a maximum of $200 for each contravention of a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Under s. 135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the Strata Corporation must not impose a fine or other penalty for the contravention of a bylaw unless it has received a complaint, and has provided the owner with written particulars of the complaint and a reasonable opportunity to answer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Where the Strata Corporation fails to perform a duty it is required to perform under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 the bylaws or the rules, the court may grant relief under s. 165,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165 On application of an owner, tenant, mortgagee of a strata lot or interested person, the Supreme Court may do one or more of the following:</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strata corporation to perform a duty it is required to perform under this Act, the bylaws or the rules;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strata corporation to stop contravening this Act, the regulations, the bylaws or the rules;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orders it considers necessary to give effect to an order under paragraph (a) or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Under s. 165, the court has discretion to grant the extraordinary remedy of a mandatory injunction to compel a strata corporation to perform its statutory duties. The court's discretion to intervene in the governance of the affairs of a strata corporation must be exercised judicially, and with restraint. Generally, the court will limit its intervention in strata disputes to circumstances where the Strata Council or administrator is incapable of remedying the problem: </w:t>
      </w:r>
      <w:r>
        <w:rPr>
          <w:rFonts w:ascii="arial" w:eastAsia="arial" w:hAnsi="arial" w:cs="arial"/>
          <w:i/>
          <w:color w:val="000000"/>
          <w:sz w:val="20"/>
          <w:lang w:val="en-US" w:eastAsia="en-US" w:bidi="ar-SA"/>
        </w:rPr>
        <w:t>Chorney v. Strata Plan VIS770</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2011 BCSC 1811</w:t>
        </w:r>
      </w:hyperlink>
      <w:r>
        <w:rPr>
          <w:rFonts w:ascii="arial" w:eastAsia="arial" w:hAnsi="arial" w:cs="arial"/>
          <w:color w:val="000000"/>
          <w:sz w:val="20"/>
          <w:lang w:val="en-US" w:eastAsia="en-US" w:bidi="ar-SA"/>
        </w:rPr>
        <w:t xml:space="preserve"> at para. 31. For example, in </w:t>
      </w:r>
      <w:r>
        <w:rPr>
          <w:rFonts w:ascii="arial" w:eastAsia="arial" w:hAnsi="arial" w:cs="arial"/>
          <w:i/>
          <w:color w:val="000000"/>
          <w:sz w:val="20"/>
          <w:lang w:val="en-US" w:eastAsia="en-US" w:bidi="ar-SA"/>
        </w:rPr>
        <w:t>Enefer v. Strata Plan No. LMS 1564</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(2005), 46 B.C.L.R. (4th) 384</w:t>
        </w:r>
      </w:hyperlink>
      <w:r>
        <w:rPr>
          <w:rFonts w:ascii="arial" w:eastAsia="arial" w:hAnsi="arial" w:cs="arial"/>
          <w:color w:val="000000"/>
          <w:sz w:val="20"/>
          <w:lang w:val="en-US" w:eastAsia="en-US" w:bidi="ar-SA"/>
        </w:rPr>
        <w:t xml:space="preserve"> (S.C.), the court intervened under s. 165 where the owners were deadlocked on a matter regarding management of the common property for the benefit of all owners. Similarly, in </w:t>
      </w:r>
      <w:r>
        <w:rPr>
          <w:rFonts w:ascii="arial" w:eastAsia="arial" w:hAnsi="arial" w:cs="arial"/>
          <w:i/>
          <w:color w:val="000000"/>
          <w:sz w:val="20"/>
          <w:lang w:val="en-US" w:eastAsia="en-US" w:bidi="ar-SA"/>
        </w:rPr>
        <w:t>Clarke v. The Owners, Strata Plan VIS770</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2009 BCSC 1415</w:t>
        </w:r>
      </w:hyperlink>
      <w:r>
        <w:rPr>
          <w:rFonts w:ascii="arial" w:eastAsia="arial" w:hAnsi="arial" w:cs="arial"/>
          <w:color w:val="000000"/>
          <w:sz w:val="20"/>
          <w:lang w:val="en-US" w:eastAsia="en-US" w:bidi="ar-SA"/>
        </w:rPr>
        <w:t xml:space="preserve"> at paras. 20, 21, the court granted relief under s. 165 where the Strata Corporation was incapable of fulfilling its duties after the administrator had attempted, and failed to obtain the three-quarters majority vote of the owners required for approval of necessary remedial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a result of Mr. Andrushko's persistent demands that Council enforce bylaw 3(7), the respondents ultimately sought and obtained legal advice from both Ms. Lovig and Ms. Unrau concerning the interpretation of the bylaw and the Strata Council's duty to enforce its bylaws. That advice confirmed that bylaw 3(7) banned smoking on the balconies. As counsel advised, the balconies, which have roofs and walls on three sides, are "substantially enclosed" within the meaning of s. 4.2 of the </w:t>
      </w:r>
      <w:r>
        <w:rPr>
          <w:rFonts w:ascii="arial" w:eastAsia="arial" w:hAnsi="arial" w:cs="arial"/>
          <w:i/>
          <w:color w:val="000000"/>
          <w:sz w:val="20"/>
          <w:lang w:val="en-US" w:eastAsia="en-US" w:bidi="ar-SA"/>
        </w:rPr>
        <w:t>Tobacco Control Regulation</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B.C. Reg. 232/2007</w:t>
        </w:r>
      </w:hyperlink>
      <w:r>
        <w:rPr>
          <w:rFonts w:ascii="arial" w:eastAsia="arial" w:hAnsi="arial" w:cs="arial"/>
          <w:color w:val="000000"/>
          <w:sz w:val="20"/>
          <w:lang w:val="en-US" w:eastAsia="en-US" w:bidi="ar-SA"/>
        </w:rPr>
        <w:t>. After receiving that advice, Council notified all owners of its intention to enforce bylaw 3(7). Council sought and obtained the commitment of the petitioner's upstairs neighbour to refrain from smoking on her balcony, and warned her that she would be fined in the event she contravened the bylaw. Between July 2, 2015 and the hearing of this petition, Council had received no further complaints from the petitioner regarding the upstairs neighbour smoking on her balcony in contravention of bylaw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find that, albeit belatedly, the Strata Council has demonstrated that it is willing and able to investigate complaints, and is capable of taking action to enforce its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Here, where there is no outstanding complaint by the petitioner, and where the Strata Council is willing and able to enforce the ban on smoking on balconies, the Court's intervention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Accordingly, the petitioner's application for an order that the respondent Strata Corporation stop contravening the bylaws and ban smoking on balconies that are substantially enclosed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turn next to petitioner's application for an order compelling the respondent Strata Corporation to perform its duty under the bylaws to remedy the nuisance of second-hand smoke infiltrating the adjoining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Bylaw 3(1)(a)prohibits an owner from using a strata lot common property or common assets in a way that causes a nuisance or hazard to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Antrim Truck Centre ltd. v. Ontario (Transportation)</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[2013] 1 S.C.R. 594</w:t>
        </w:r>
      </w:hyperlink>
      <w:r>
        <w:rPr>
          <w:rFonts w:ascii="arial" w:eastAsia="arial" w:hAnsi="arial" w:cs="arial"/>
          <w:color w:val="000000"/>
          <w:sz w:val="20"/>
          <w:lang w:val="en-US" w:eastAsia="en-US" w:bidi="ar-SA"/>
        </w:rPr>
        <w:t>, the Supreme Court of Canada defined the elements of the tort of private use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elements of a claim in private nuisance have often been expressed in terms of a two-part test of this nature: to support a claim in private nuisance the interference with the owner's use or enjoyment of land must be both </w:t>
      </w:r>
      <w:r>
        <w:rPr>
          <w:rFonts w:ascii="arial" w:eastAsia="arial" w:hAnsi="arial" w:cs="arial"/>
          <w:i/>
          <w:color w:val="000000"/>
          <w:sz w:val="20"/>
          <w:lang w:val="en-US" w:eastAsia="en-US" w:bidi="ar-SA"/>
        </w:rPr>
        <w:t>substantial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unreasonable</w:t>
      </w:r>
      <w:r>
        <w:rPr>
          <w:rFonts w:ascii="arial" w:eastAsia="arial" w:hAnsi="arial" w:cs="arial"/>
          <w:color w:val="000000"/>
          <w:sz w:val="20"/>
          <w:lang w:val="en-US" w:eastAsia="en-US" w:bidi="ar-SA"/>
        </w:rPr>
        <w:t>. A substantial interference with property is one that is non-trivial. Where this threshold is met, the inquiry proceeds to the reasonableness analysis, which is concerned with whether the non-trivial interference was also unreasonable in all of the circumstances. This two-part approach found favour with this Court in its most recent discussion of private nuisance and was adopted by the Court of Appeal in this case, at para. 80: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Chorney</w:t>
      </w:r>
      <w:r>
        <w:rPr>
          <w:rFonts w:ascii="arial" w:eastAsia="arial" w:hAnsi="arial" w:cs="arial"/>
          <w:color w:val="000000"/>
          <w:sz w:val="20"/>
          <w:lang w:val="en-US" w:eastAsia="en-US" w:bidi="ar-SA"/>
        </w:rPr>
        <w:t>, at para. 11, the Court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cigarette smoke can constitute a nuisance if its effect is such that a reasonable person's use and enjoyment of their property would be negatively affected by it. Particular or unique sensitivities of a particular owner should not be taken into account in such an analysis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Chorney</w:t>
      </w:r>
      <w:r>
        <w:rPr>
          <w:rFonts w:ascii="arial" w:eastAsia="arial" w:hAnsi="arial" w:cs="arial"/>
          <w:color w:val="000000"/>
          <w:sz w:val="20"/>
          <w:lang w:val="en-US" w:eastAsia="en-US" w:bidi="ar-SA"/>
        </w:rPr>
        <w:t>, unlike the case at bar, the petitioners had provided evidence that the structure of the building permitted cigarette smoke to penetrate between units and to infiltrate both common areas and neighbouring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Here, each of the petitioner's complaints concerns smoke entering his unit from the balcony above, rather than by infiltration between the interior spaces of neighbouring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respondent has not established that he has suffered any significant interference with his use and enjoyment of his property as a result of any of his neighbours smoking within the confines of their own strata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Nor, as counsel for the respondent submits, has Mr. Andrushko established that any second-hand smoke has entered his strata unit as a result of either the upstairs owner, or any other owners, smoking inside their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short, on the evidence adduced on this application, the petitioner has not established that he has suffered any substantial or unreasonable interference with his enjoyment of his property as a result of other owners smoking within the confines of their own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Accordingly, Mr. Andrushko's application for an order requiring the Strata Corporation to remedy the nuisance of second-hand smoke infiltrating adjoining units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petitioner also seeks an order requiring the Strata Corporation to implement a smoke-free environment until the nuisance of second-hand smoke has been eliminated. The application for that relief is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bylaws of the Strata Corporation do not ban smoking by owners within their own strata units. In order for Council to impose a ban on smoking throughout the strata complex, the Strata Corporation would have to adopt an amendment to the bylaw approved by a three-quarter vote of the owners at an annual or special general meeting, as required by s. 128 of the </w:t>
      </w:r>
      <w:r>
        <w:rPr>
          <w:rFonts w:ascii="arial" w:eastAsia="arial" w:hAnsi="arial" w:cs="arial"/>
          <w:i/>
          <w:color w:val="000000"/>
          <w:sz w:val="20"/>
          <w:lang w:val="en-US" w:eastAsia="en-US" w:bidi="ar-SA"/>
        </w:rPr>
        <w:t>SPA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Court will not order the Strata Corporation to implement a ban on smoking within the strata complex that would exceed the restrictions on smoking under the Strata Corporation's bylaw and would prohibit smoking by owners within the privacy of their own units where the petitioner has not shown that such smoking constitutes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Finally, the petitioner contends that the respondent Strata Council members acted in bad faith in failing to perform their duty to enforce the bylaws, and should therefore bear the costs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McIntosh Estates v. City of Surrey et al</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2000 BCSC 128</w:t>
        </w:r>
      </w:hyperlink>
      <w:r>
        <w:rPr>
          <w:rFonts w:ascii="arial" w:eastAsia="arial" w:hAnsi="arial" w:cs="arial"/>
          <w:color w:val="000000"/>
          <w:sz w:val="20"/>
          <w:lang w:val="en-US" w:eastAsia="en-US" w:bidi="ar-SA"/>
        </w:rPr>
        <w:t xml:space="preserve"> at para. 46, the court adopted the following definition of "bad faith" from </w:t>
      </w:r>
      <w:r>
        <w:rPr>
          <w:rFonts w:ascii="arial" w:eastAsia="arial" w:hAnsi="arial" w:cs="arial"/>
          <w:i/>
          <w:color w:val="000000"/>
          <w:sz w:val="20"/>
          <w:lang w:val="en-US" w:eastAsia="en-US" w:bidi="ar-SA"/>
        </w:rPr>
        <w:t>Black's Law</w:t>
      </w:r>
      <w:r>
        <w:rPr>
          <w:rFonts w:ascii="arial" w:eastAsia="arial" w:hAnsi="arial" w:cs="arial"/>
          <w:color w:val="000000"/>
          <w:sz w:val="20"/>
          <w:lang w:val="en-US" w:eastAsia="en-US" w:bidi="ar-SA"/>
        </w:rPr>
        <w:t xml:space="preserve"> Dictionary, Sixth Edition, at p. 139: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opposite of "good faith," generally implying or involving actual or constructive fraud, or a design to mislead or deceive another, or a neglect or refusal to fulfill some duty or some contractual obligation, not prompted by an honest mistake as to one's rights or duties, but by some interested or sinister motive. Term "bad faith" is not simply bad judgment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rather it implies the conscious doing of a wrong because of dishonest purpose or moral obliquity, it is different from the negative idea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that it contemplates a state of mind affirmatively operating with furtive design or ill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members of the Strata Council were under a duty to conduct the affairs of the Strata Corporation in the best interests of all of the owners. They were volunteers confronted with the difficult task of attempting to find a balance between the interests of the petitioner, and at least one other owner, whose strongly held views regarding cigarette smoke and its impact on their enjoyment of their property clashed with the interests of other owners who opposed any restriction on smoking within the strata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Strata Council considered the petitioner's comments on the proposed bylaw revisions before their adoption. The members of the Strata Council endeavoured to respond to Mr. Andrushko's complaints concerning smoke emanating from the upstairs owner's balcony. Until June 2015, they did so without a clear understanding of the interpretation of bylaw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While the Strata Council may be faulted for not having obtained comprehensive legal advice concerning the interpretation and application of bylaw 3(7) at the time of its adoption, the respondents ultimately sought and acted upon such advice. The Strata Council also sought advice from the strata advisor and attempted to obtain expert guidance from the Interior Health Authority on how the three meter rule applied to balconies in the strata complex. I find that the Strata Council's delay in the enforcement of bylaw 3(7) was the result of their confusion regarding the interpretation and application of the bylaw, rather than any dishonesty or malice on their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Andrushko referred to the fact that at the Strata Corporation's annual general meeting of July 21, 2015 the respondent Joe Lancaster explained that he had resigned from Strata Council because he could not enforce a bylaw with which he disagreed. The minutes record that Mr. Lancaster went on to state that while most of the owners are not smokers, they would want family members or friends who smoked to be able to do so on their balconies rather than inside their residences. The petitioner invited the Court to infer that Mr. Lancaster was biased, and that the Strata Council's delay in addressing his complaints was attributable to bad faith on the part of Mr. Lancaster and any other members of the Strata Council who were smokers. The fact that Mr. Lancaster opposed a ban on smoking on the balconies does not equate to bad faith. The petitioner has adduced no evidence to show that the Strata Council acted deceitfully or with an intention to mislead or deceive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satisfied that members of Council were struggling to find a solution that would serve the best interests of all the owners. At the very worst, their delay in acting on the petitioner's complaints may be characterized as involving poor judgment at times, together with confusion concerning both the interpretation of bylaw 3(7), and their duties for enforcement of the bylaw. However, all of that falls short of a dishonest purpose or intention to mislead or harm the petitioner, or any other owner. In short, the petitioner has not established that the individual respondents acted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a result, the petition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Costs usually follow the event. However here, I am satisfied that it was only as a result of the petitioner bringing these proceedings that the Strata Council sought and obtained the advice they required in order to fully appreciate their duties under the bylaw. Accordingly, the petitioner and the Strata Corporation will each bear their own costs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3"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Athwal v. Sidhu, [2002] B.C.J. No. 1596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10 - 14,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C991071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1596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1034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981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Sikhvir Athwal, plaintiff, and Bhagat Singh Sidhu, Karanvir Sidhu, Arvinder Sidhu, 555706 B.C. Ltd. and Faqir Mohammed, defendants, and 555706 B.C. Ltd., Faqir Mohammed and Sam Rakhra,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4"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8" w:name="Keywords_15"/>
      <w:bookmarkEnd w:id="128"/>
      <w:r>
        <w:rPr>
          <w:rFonts w:ascii="arial" w:eastAsia="arial" w:hAnsi="arial" w:cs="arial"/>
          <w:b/>
          <w:color w:val="000000"/>
          <w:sz w:val="20"/>
          <w:lang w:val="en-US" w:eastAsia="en-US" w:bidi="ar-SA"/>
        </w:rPr>
        <w:t xml:space="preserve">Sale of land — The contract — Form and contents of agreement or memorandum — Duties of seller — Broker — Duties of broker to third parties — Real estate brokers — Duty of care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Deceit or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9" w:name="Case Summary_15"/>
            <w:bookmarkEnd w:id="1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Athwal against the defendants, the Sidhus, their company and Mohammed, for damages consequent on the loss of his disc jockey equipment; the defendants added the company, Mohammed and Rakhra as third parties. Mohammed purchased a restaurant and cabaret from Bailey on the understanding that the disc jockey equipment was not included because it belonged to Athwal. Mohammed never re-opened the premises and, facing large mortgage payments while Athwal was overseas, he sold the premises to the Sidhus and their company. Mohammed had advised his listing agent, Rakhra, that the disc jockey equipment was not included, but allowed the sale to the other defendants to go through with the written contract excluding only the television screen and projector explicitly. These Mohammed returned to Athwal, although Athwal now said they were damaged. Otherwise, the sale contract said that everything the defendant purchasers viewed on the premises was included. The Sidhus were aware of Athwal's claim, but they said that this was only after the purchase. Athwal brought this action, claiming $35,486 in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0" w:name="Holdings of Court_15"/>
            <w:bookmarkEnd w:id="130"/>
            <w:r>
              <w:rPr>
                <w:rFonts w:ascii="arial" w:eastAsia="arial" w:hAnsi="arial" w:cs="arial"/>
                <w:color w:val="000000"/>
                <w:sz w:val="20"/>
                <w:lang w:val="en-US" w:eastAsia="en-US" w:bidi="ar-SA"/>
              </w:rPr>
              <w:t>HELD: Action allowed; the defendants were liable to Athwal for $6,000; the third parties were liable for the same amount to the defendants.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agreement of purchase and sale included most of the disc jockey equipment, which was not Mohammed's to sell. He allowed the sale to be completed knowing this. However, Athwal's evidence was deficient as to the equipment's value, some of it being based on current values, some of it on speculation or comparisons which were not pertinent. Rakhra had a duty of care to the other defendants to draw the contract in accord with what he knew to be the facts. He acted negligently, while the other defendants relied reasonably on his misrepresentation.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1" w:name="Counsel_23"/>
      <w:bookmarkEnd w:id="1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5"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E. Henshall, for plaintiff. Bhagat Singh Sidhu, Karanvir Sidhu and Arvinder Sidhu, in person. Donald Hall, for defendants and third parties, 555706 B.C. Ltd. and Faqir Mohammed. Alison A. Rhodes, for third party, Sam Rakhra.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2" w:name="Judgment_21"/>
      <w:bookmarkEnd w:id="132"/>
      <w:r>
        <w:pict>
          <v:line id="_x0000_s1126" style="position:absolute;z-index:2517852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3" w:name="WILLIAMSON J._0"/>
            <w:bookmarkEnd w:id="133"/>
            <w:r>
              <w:rPr>
                <w:rFonts w:ascii="arial" w:eastAsia="arial" w:hAnsi="arial" w:cs="arial"/>
                <w:b/>
                <w:color w:val="000000"/>
                <w:sz w:val="30"/>
                <w:lang w:val="en-US" w:eastAsia="en-US" w:bidi="ar-SA"/>
              </w:rPr>
              <w:t>WILLIAMSON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October of 1998, the defendants Arvinder Sidhu, Karanvir Sidhu and Bhagat Singh Sidhu (the "Sidhus"), made an offer to purchase a restaurant and cabaret on Kingsway Street in Vancouver from the defendant numbered company and Faqir Mohammed ("Mohammed"). The third party, Sam Rakhra ("Rakhra"), was the listing agent for the vendor, Mohammed. After some negotiation, a deal was concluded and the sale completed on November 16 or 18 of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cabaret at the time of the completion were a number of lights and speakers, a projector and screen, and associated electrical components (the "DJ" system) which the plaintiff, Sikhvir Athwal ("Athwal") says belong to him. The Sidhus say that all but two of these items were part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Sidhus say in the alternative that if this equipment was not part of the sale, it was the fault of the defendant Mohammed or the real estate agent and as a result joined Mohammed and Rakhra as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four issues. The first is whether the DJ system was included, or in part included, in the sale. If the answer to that question is yes, the second question is should they have been included? If they should not have been included, the next issue is who is liable to whom? Finally, if there is liability, what is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DJ System included in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 offer in the form of a contract for the purchase and sale of the property was drawn up by Rakhra on October 7, 1998. It set out that for $1,250,000, the Sidhus were offering to purchase the property from the defendant numbered company, Mohammed's company. The offer stated expressly that all the chattels and fixtures as seen on inspection were included. It expressly excluded "TV screen projection".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was some negotiation back and forth and a final contract was executed on October 8, 1998. That agreement set out a purchase price of $1,330,000. It contained the following express wording, among others:</w:t>
      </w:r>
      <w:r>
        <w:rPr>
          <w:rFonts w:ascii="arial" w:eastAsia="arial" w:hAnsi="arial" w:cs="arial"/>
          <w:sz w:val="20"/>
          <w:lang w:val="en-US" w:eastAsia="en-US" w:bidi="ar-SA"/>
        </w:rPr>
        <w:cr/>
      </w:r>
    </w:p>
    <w:p>
      <w:pPr>
        <w:numPr>
          <w:numId w:val="2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 price includes building, business and all the assests [sic] &amp; equipment.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price includes...all...electric...fixtures and all appurtenances and attachments thereto as viewed by the buyer at the date of inspection.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Including all the chattle [sic] as indicated on the list by the vendor. Also accepeted [sic] by the purchaser and sign [sic] by both parties.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excluding: T.V. screen and projector.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and all included items will be in substantially the same condition at Possession Date as when viewed by the Buyer on October 5,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of the conclusion of this contract the restaurant and cabaret had been closed for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1997, the property was owned by one Walia. Athwal entered into an agreement with Walia whereby Athwal would install a DJ system in the banquet hall at his expense. Walia agreed that he would then use Athwal as the disc jockey ("DJ") for all events at the hall. The understanding was that the equipment would remain the property of Athwal and if Walia sold the premises, Athwal would have the option of making a similar arrangement with a new owner, selling the equipment to the new owner, or removing the equipment. As a result, Athwal purchased the DJ system and installed it in the cabaret banquet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fall of 1997, Walia sold the premises to one Bailey. Bailey continued the arrangement with Athwal on the same understanding as before. In December of 1997, Athwal went to India for some months. He hired another individual to work as DJ while he was away. This person worked as a DJ on two occasions only. In January of 1998, while Athwal was still in India, the premises were sold by Bailey to Mohammed and the restaurant and cabaret were closed. They remained shut down until reopened by the Sidhus after they purchased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Athwal returned from India in March of 1998, he went to the club and from a sign on a wall obtained a telephone number which put him in contact with the then owner Mohammed. He told Mohammed about his arrangement and that the DJ system in the banquet hall was his. Mohammed acknowledged that this was so and told Athwal that he could remove the DJ system if he wished or he could leave it in place and make a new arrangement with a new owner once it was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appears that Athwal chose the latter option. However, at some date he arranged to get entry to the hall to remove some of the equipment which he required for another DJ job which he had taken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early October 1998, Athwal received a telephone call from one of the Sidhus. Arvinder Sidhu suggested that they meet at a store which the Sidhu family owned in Surrey. It was Athwal's evidence that they met later that day and on learning that the cabaret might be sold to the Sidhus, he informed them that the DJ system in the banquet hall was his and he asked that they contact him if they did, in fact, purchase the club, so that he could remove it or make other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Arvinder Sidhu also testified about this meeting. However, he denied that he was told at that time that Athwal owned the DJ system. I find this evidence not credible as I can see no other reason why Athwal would have met with Sidhu on that particular day. Nevertheless, Sidhu agreed that before the deal closed, he knew that Athwal was claiming that the DJ system belonged to him and not to the then owner Mohammed. Athwal testified that he contacted both Mohammed and Rakhra and that each of them told him not to worry, that the DJ system was not included in any proposed sale. Mohammed and Rakhra confirmed this evidence when they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deal transferring the property was completed, Athwal met with Sidhu. He said at this time Sidhu advised that his family had purchased the property, including the DJ system, and that they now owned it. Athwal commenced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Athwal submits that Arvinder Sidhu is a witness who has deliberately lied. He says: that Sidhu lied when he said that he did not know who owned the DJ system at the time of the sale; that he lied when he said the matter was not raised when he first met Athwal at his family's store; that he lied when he said that he was able to negotiate a reduction in the price for reasons other than that he realized that he had to purchase the DJ system; and that he lied in his testimony that both Mohammed and Rakhra had told him, in response to his inquiries before the closure of the sale, that the DJ system was not owned by Athwal.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this latter point, both Mohammed and Rakhra gave evidence that when Arvinder Sidhu asked them, they told him in very clear terms that the DJ system belonged to Athwal and was not included in the sale. Nevertheless, while I do not accept all that Arvinder Sidhu says, I am satisfied that while he knew Athwal was claiming the equipment, he did not in fact know who owned it. Given the wording of the documents at closing, after the issue had been raised, he concluded that the remaining portions of the system were included in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Given the various views expressed in testimony, the answer to the question whether the DJ system was included in the sale must be found in the documents. I have already set out the relevant terms of the contract dated October 8, 1998. It states that the price includes all the assets and equipment, that it includes electrical appurtances and attachments, and that it excludes the TV screen and projector.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Significantly, the evidence is that the TV screen and projector were part of the DJ system. These components were expressly excluded in the contract of purchase and sale. The entire system, much of which was not expressly excluded, consisted of a number of lights of various sizes and function, as well as audio amplification, visual projection, control panels and possibly a "DJ booth".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not in dispute that after the sale the Sidhus removed the TV screen and projector, took them to their store, and invited Athwal to pick them up. He did, but claims they were in a damaged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All of the above clauses from the contract of purchase and sale indicate that everything was included except the TV screen and projector. It is difficult, then, to conclude that the DJ system other than the screen and projector were not part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the third parties, however, submits that the answer is found in the statement that the chattels to be included are those "...as indicated on the list by the vendor. Also accepeted [sic] by the purchaser and signed by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difficulty is that there is no list that conforms with that description. Two lists were in evidence. One was the list of chattels which was conveyed with the property from Bailey to Mohammed several months earlier. That agreement excluded the DJ system which was expressly stated to be owned by Athwal.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second list is a list which was drawn up by the defendant Arvinder Sidhu for the purposes of declarations concerning Provincial sales tax. This list, which is almost the same as the list referred to in the previous paragraph, ended up as a schedule appended to the bill of sale dated November 18, 1998, which set out the chattels which were to be transferred to the Sidhus.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bill of sale absolute was entered as an exhibit. There are several difficulties with it. First, it defines chattels as the equipment used for the conduct of the business "including but not limited to" the equipment described in the schedule. In other words, on its face, it indicates that there are other chattels. Second, the list in Schedule "A", which the evidence disclosed is in the handwriting of one of the Sidhus (which appears to be a photocopy of the list discussed in para. 23 above), contains a notation at the bottom in someone else's handwriting. It states, "Lighting, PA systems, TV projector &amp; screens" followed by the words "not included" with an arrow pointing back to the first set of words. The defendant/third party Mohammed's initials appear near that extra notation but, I observe, not below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evidence is that that written note is in the handwriting of Donald Hall, solicitor for the defendant Mohammed, and counsel for him in this proceeding. Mr. Hall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shown a copy of this document not appended to the bill of sale, but obviously a photocopy, Arvinder Sidhu said he had never seen the writing, which is now said to be in the handwriting of Mr. Hall, at the bottom of that list. That evidence is not contradicted. Indeed, the bill of sale itself was not put to Arvinder Sidhu. There is no evidence as to when Mr. Hall wrote the additional words on the document. Nor is the placing of Mohammed's initials above the note rather than below it persuasive evidence that he initialled it after that addition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We are left then with a contract that expressly includes everything except the screen and projector and goes on to say that it includes all chattels on a list prepared by the vendor, accepted by the purchaser and signed by both parties. Schedule "A" to the bill of sale, which was prepared by the purchaser for the most part, but is not signed by both parties, does not fit that description. In any case, the bill of sale itself specifically states that the chattels are not limited to the equipment described on that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conclude that the DJ system which remained in the cabaret at the time that it was viewed and inspected by the purchasers, but excluding the TV screen and projector, was included in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 equipment have been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satisfied that the components of the DJ system remaining in the cabaret should not have been included in the sale. The plaintiff testified that it was his. He testified concerning his purchase of that equipment and his installation of it. He testified as to his arrangement with the original owner and as to how that arrangement continued with both subsequent owners Bailey and Mohammed. Indeed, Mohammed agrees that the equipment was never his, but belonged to the plaintiff. Rakhra, the real estate agent, also agrees that that is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Arvinder Sidhu, although he knew that Athwal was claiming the equipment, testified that in his view it was included and should have been included. His position is that the documents make it clear that only the TV screen and projector were excluded. He says that no one can point to any document which ever stated that the equipment belonged to Athwal. He agrees the exception to that is the lawyer's hand-written note at the bottom of Schedule "A" to the bill of sale which I have discussed above. His testimony is that he never saw that notation until this action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satisfied that the DJ system should not have been included in the contract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Why were they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They were included, simply put, because of the wording of the contract of purchase and sale and because the bill of sale concerning chattels does not fit the description of the list contained in that contract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cannot be laid at the feet of the plaintiff or the defendants. The issue is whether liability rests with the vendor Mohammed, or the real estate agent Rakhra, or both. I am satisfied it lies with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Mohammed was in very difficult financial circumstances. He had purchased the property for $1.9 million some months before with an understanding that the vendor Bailey would lease back the property and continue to operate it, paying Mohammed $16,000 a month. Unfortunately, Bailey disappeared. Mohammed was losing a considerable amount of money. The club was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His mortgage payment was $14,000. If the deal with the Sidhus did not go through, he would continue with the substantial losses. He had a motive, therefore, to make the deal look as attractive as possible to the Sidhus.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accept his evidence that he knew that the DJ system remaining in the building belonged to Athwal. I also accept his evidence that he told the agent Rakhra to make sure that that was clearly indicated in the documents. The documents did not indicate that. Mohammed had seen the earlier contract of purchase and sale, when he purchased the property, which clearly and expressly excluded Athwal's DJ system. However, he executed a contract of purchase and sale to the Sidhus which excluded only the TV screen and projector. He did so knowing there was an issue between Athwal and the Sidhus about whether the equipment was included or excluded. He testified that he instructed both Rakhra and his solicitor to set that out clearly. Neither did so, but Mohammed proceeded with the sale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only evidence consistent with his ensuring that either his solicitor or his agent followed his instructions is his initial opposite the hand-written note from his solicitor on Schedule "A" to the bill of sale, but as I have indicated, it is not clear to me that he initialled that after the notation was added to the list on Schedule "A", nor is there any evidence as to when that notation was added. Certainly, Arvinder Sidhu testified that he never saw that note before the commencement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satisfied that Mohammed, in order to encourage the completion of the sale, was prepared to let it go through without ensuring that his instructions that the documents disclose the DJ equipment was not included were carried out. He thereby sold equipment to the defendants which he knew actually belonged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Rakhra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defendants say that the agent who drew up the contract of purchase and sale misrepresented the true ownership of the DJ system by excluding only the projector and the screen, but not mentioning the remaining portion of that system. The defendants say they relied upon this misrepresentation and, as it turns out that in fact the DJ system did belong to the plaintiff, they have suffered damages. Counsel for the third party Rakhra relies upon Queen v. Cognos Inc. </w:t>
      </w:r>
      <w:hyperlink r:id="rId66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as setting out the required elements for a successful claim in misrepresentation. That case says, at p. 110,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decisions of this Court cited above suggest five general requirements: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this province it has been determined that a real estate agent retained by the vendor may owe a duty of care to the purchaser: see Bango v. Holt et al, </w:t>
      </w:r>
      <w:hyperlink r:id="rId667" w:history="1">
        <w:r>
          <w:rPr>
            <w:rFonts w:ascii="arial" w:eastAsia="arial" w:hAnsi="arial" w:cs="arial"/>
            <w:i/>
            <w:color w:val="0077CC"/>
            <w:sz w:val="20"/>
            <w:u w:val="single"/>
            <w:shd w:val="clear" w:color="auto" w:fill="FFFFFF"/>
            <w:lang w:val="en-US" w:eastAsia="en-US" w:bidi="ar-SA"/>
          </w:rPr>
          <w:t>(1971) 21 D.L.R. (3d) 66</w:t>
        </w:r>
      </w:hyperlink>
      <w:r>
        <w:rPr>
          <w:rFonts w:ascii="arial" w:eastAsia="arial" w:hAnsi="arial" w:cs="arial"/>
          <w:color w:val="000000"/>
          <w:sz w:val="20"/>
          <w:lang w:val="en-US" w:eastAsia="en-US" w:bidi="ar-SA"/>
        </w:rPr>
        <w:t xml:space="preserve"> (B.C.S.C.) and Jakubke v. Sussex Group Societe Radio-Canada Realty Corp. </w:t>
      </w:r>
      <w:hyperlink r:id="rId668" w:history="1">
        <w:r>
          <w:rPr>
            <w:rFonts w:ascii="arial" w:eastAsia="arial" w:hAnsi="arial" w:cs="arial"/>
            <w:i/>
            <w:color w:val="0077CC"/>
            <w:sz w:val="20"/>
            <w:u w:val="single"/>
            <w:shd w:val="clear" w:color="auto" w:fill="FFFFFF"/>
            <w:lang w:val="en-US" w:eastAsia="en-US" w:bidi="ar-SA"/>
          </w:rPr>
          <w:t>(1993), 31 R.P.R. (2d) 193</w:t>
        </w:r>
      </w:hyperlink>
      <w:r>
        <w:rPr>
          <w:rFonts w:ascii="arial" w:eastAsia="arial" w:hAnsi="arial" w:cs="arial"/>
          <w:color w:val="000000"/>
          <w:sz w:val="20"/>
          <w:lang w:val="en-US" w:eastAsia="en-US" w:bidi="ar-SA"/>
        </w:rPr>
        <w:t xml:space="preserve"> (B.C.S.C.). W.F. Foster, in Real Estate Agency Law in Canada, 2d ed. (Scarborough: Carswell, l994), at p. 270 explains this duty as requiring real estate agents: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exercise reasonable care and skill when proffering information and advice to third parties on matters pertinent to the transactions which brokers have been employed to negotiate.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Here, there was a duty of care based upon the relationship between the real estate agent and the purchasers to draw the contract in accord with what the agent knew to be the facts. Nevertheless, the documents were drawn in a way that misled the defendants about what was excluded and what was included in the sale. In the circumstances, the real estate agent was negligent in the manner that he drew that contract of purchase and sale. The defendants relied in a reasonable manner upon this misrepresentation, for while they knew that Athwal was claiming ownership of the DJ system, a reasonable reading of the documents suggested they were included in the sale. Finally, that reliance has resulted in a detriment to the Sidhus. They have suffered damage because despite the wording of the documents, the portions of the DJ system remaining in the building should not have been included in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claims that the value of the equipment which was left in the cabaret and taken over by the defendants, plus the cost of repairing the damaged projector, is $35,485.99. I am not satisfied that this amount has been proven. I come to this conclusion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First, there is no documentary evidence, such as receipts or bills of sale, indicating what Athwal paid for the equipment in 1997. Rather, the plaintiff relies on a sales quotation dated November 3, 1999, created by the company from which he bought much of his equipment, but reflecting 1999 prices. Further, the witness from the lighting company who testified was unable to state in any certain way how close these prices might have been to 1997 prices.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addition, $7,800 of this $17,616 quotation is for equipment that was not sold to the plaintiff by that company. The plaintiff testified, with respect to this equipment, that he obtained this quotation because he had purchased similar equipment from another company in 1997, a company which no longer exists. This is hardly persuasive evidence of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also relies upon a sales quotation dated June 7, 2002, in which the same company which originally sold some of the equipment to the plaintiff, estimates what that equipment might cost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Further, another witness who had been in the business of supplying this sort of equipment testified that two of the speakers which were in the system were valued at $450 each. It turned out this was a price for used speakers.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Another major problem is that there is no accurate evidence as to precisely what equipment remained in the cabaret after Athwal had removed some of the equipment prior to the closure of the sale. There is photographic evidence of some equipment in the cabaret in October of 1998 (part of a property evaluation), but not all of the lights of the DJ system that have been claimed by the plaintiff show in the photograph of the system attached to that evaluation. It is the theory of the plaintiff that these other lights were removed by the defendants. However, in circumstances where the equipment was in the club for some ten months after Athwal left for India in December of 1997, and given that for much of that period the club was closed down and inaccessible to the defendants, I do not find it proven upon a balance of probabilities that the defendants were responsible for any missing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satisfied that some of the DJ system lighting remained in the club. I am satisfied it has some value. I am satisfied that the value that it has is far less than that set out by the plaintiff. There is some evidence of the rental value of the equipment and some evidence as to its depreciation. None of this is conclusive. I do, however, take it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Finally, I am not satisfied the plaintiff has proven upon a balance of probabilities that the defendants were responsible for any damages to the projector. It was used by others after Athwal left for India, and it remained in the club for several months during the period the premises were closed. I therefore dismiss the claim for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all of the circumstances, and given the paucity of solid evidence, I assess the value of the equipment wrongly included in the sale to the defendants at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result, the claim of the plaintiff succeeds and he will have judgment against the defendants in the amount of $6,000. The defendants' claim against the third parties succeeds and the defendants will have judgment, joint and several, against the third parties in the same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conclude that each party should pay its own costs. I so conclude for a number of reasons. First, I question bringing a claim of this magnitude in this court. There were several days of discovery and five days of trial. Three parties were represented by counsel. Given the difficulty in proving the claimed quantum of damages, one is left to ponder at the reasons for expending such legal costs over such an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Second, while I have found that the third parties were responsible for the failure to set out the true state of affairs in the contract of purchase and sale, I note that the defendants were on notice that the plaintiff was claiming ownership and could have taken steps to more effectively clear up the matter before the deal was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Finally, I observe that the plaintiff had ample opportunity to remove the equipment and failed to do so. I also note that his failure to provide proper documentation with respect to the value of the equipment and his inability to specify exactly what equipment was left behind contributed to the complexity of this trial. In all of the circumstances, each party will bear its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Order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7"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Bank of Montreal v. Tortora, [2009] B.C.J. No. 1789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22-24,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S090068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1789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1224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2373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Bank of Montreal, Plaintiff, and Giuseppina Tortora also known as Josephine Tortora, Shenaz Poonja and Shaffin Punja also known as Shaffin Poonja,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8"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4" w:name="Keywords_16"/>
      <w:bookmarkEnd w:id="134"/>
      <w:r>
        <w:rPr>
          <w:rFonts w:ascii="arial" w:eastAsia="arial" w:hAnsi="arial" w:cs="arial"/>
          <w:b/>
          <w:color w:val="000000"/>
          <w:sz w:val="20"/>
          <w:lang w:val="en-US" w:eastAsia="en-US" w:bidi="ar-SA"/>
        </w:rPr>
        <w:t>Civil litigation — Civil procedure — Discovery — Production and inspection of documents — Objection and compelling production — Orders of production — Privileged documents — Document prepared in contemplation of litigation — Application by defendants for production of the entire file of a certified fraud examiner retained by the Bank's solicitors to investigate potential fraud on the part of Bank employees, including the defendants allowed in part — Bank argued litigation privilege applied to file since the examiner was an expert witness --Examiner more in the role of adjuster than an expert witness — Investigation not for dominant purpose of litigation until December 2008 when defendants were terminated — Bank to produce all documents prior to that date — All subsequent documents were privileged.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5" w:name="Case Summary_16"/>
            <w:bookmarkEnd w:id="13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production of the entire file of a certified fraud examiner retained by the Bank's solicitors to investigate potential fraud on the part of Bank employees, including the defendants. The Bank asserted privilege over the documents contained in the file. The Bank alleged that the defendants secretly split commissions in breach of the Bank's policies and the defendants' employment contract and their fiduciary duties owed to the Bank. The Bank further alleged that the defendants were grossly negligent in arranging and approving 10 mortgages in Ontario through the acceptance of appraisals that had been fraudulently altered. The fraud examiner had first been retained to investigate the defendants' mortgage transactions in British Columbia. The Bank premised its assertion that litigation privilege applied to the file documents on the basis that the examiner was an expert witness.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6" w:name="Holdings of Court_16"/>
            <w:bookmarkEnd w:id="136"/>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submission that the Bank had not met the evidentiary burden to establish that the examiner's role was essential to the maintenance or operation of the solicitor-client relationship. It was unlikely that the fraud examiner would be permitted to give expert evidence at trial. The examiner's main role was to gather the evidence necessary for the Bank to make decisions regarding the potential or ongoing litigation. As such, his role was more analogous to that of an adjuster than an expert witness. When the Bank decided to terminate the employment of the defendants, it was possible to conclude that the dominant purpose of the investigation became the furtherance of litigation that was within reasonable prospect. That occurred in December 2008. Accordingly, the Bank must produce those documents in the file that were created between the date 8 when the examiner was first retained to investigate the BC aspects of the case and December 2008. Nothing done by the Bank had resulted in a waiver of the litigation privilege. There was no issue of fairness or consistency here that required production of the documents in the file created after December 2008. The Bank, however, had offered no reason for failing to deliver a proper list of privileged documents. The Bank must produce a list of privileged documents.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7" w:name="Legislation Cited_5"/>
      <w:bookmarkEnd w:id="1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9"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26(2.1)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8" w:name="Counsel_24"/>
      <w:bookmarkEnd w:id="1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Geoffrey Howard and Joanne Kuroyama.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Giuseppina Tortora also known as Josephine Tortora: David G. Perry and Steven W. Lesiuk.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Shenaz Poonja and Shaffin Punja also known as Shaffin Poonja: Nazeer T. Mitha.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9" w:name="Judgment_22"/>
      <w:bookmarkEnd w:id="139"/>
      <w:r>
        <w:pict>
          <v:line id="_x0000_s1131"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0" w:name="G.B. BUTLER J."/>
            <w:bookmarkEnd w:id="140"/>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have applied for the production of documents contained in Jeffrey Filliter's file (the "Filliter File"). Mr. Filliter, who is a Certified Fraud Examiner, was retained by the Bank of Montreal (the "Bank") to investigate potential fraud on the part of Bank employees including the defendants, Giuseppina Tortora and Shenaz Poonja. The Bank has asserted privilege over the documents contained in the Filliter File. The Bank has not produced a list of those documents, and the defendants have not identified specific documents they are seeking. Rather, the defendants have applied for production of the entire Filliter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claims in this action arise out of two principle allegations against Ms. Tortora and Ms. Poonja, both of whom were long-time employees of the Bank. First, the Bank alleges that Ms. Tortora, a Mortgage Specialist, secretly split commissions she earned with Ms. Poonja by providing funds to Ms. Poonja and her husband. Ms. Poonja was not entitled to receive commissions under her employment contract. The Bank alleges that splitting commissions is contrary to the Bank's code of business conduct and ethics (the "Code") and its policies, standards, subsidiary policies and operating directives (the "Policies"). The Bank says that by engaging in this activity Ms. Tortora and Ms. Poonja breached their employment contract and their fiduciary duties owed to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Bank's second allegation is that Ms. Tortora and Ms. Poonja were grossly negligent in arranging and approving ten mortgages in Ontario (the "Papas Mortgages"). The Bank alleges that both defendants breached the Bank's Code and Policies in various ways, including through the acceptance of appraisals that had been fraudulently altered.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Filliter was first retained by Gowling LaFleur Henderson LLP ("Gowlings"). Gowlings was acting for the Bank in Ontario with regard to other mortgages that Mr. Papas had referred to the Bank. Mr. Papas is the same individual who referred the Papas Mortgages to the Bank. That retainer occurred before September 2008, the time when Mr. Filliter says he was retained by Gowlings to investigate the actions of the defendants in British Columbia. The Bank says that Mr. Filliter is an expert witness and that the Court should consider his file to be the file of an expert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Filliter has sworn several affidavits in this action. In his first affidavit, sworn on December 22, 2008, which was prepared in support of a Mareva injunction application, Mr. Filliter described his role in British Columbia as follows at para. 2:</w:t>
      </w:r>
      <w:r>
        <w:rPr>
          <w:rFonts w:ascii="arial" w:eastAsia="arial" w:hAnsi="arial" w:cs="arial"/>
          <w:sz w:val="20"/>
          <w:lang w:val="en-US" w:eastAsia="en-US" w:bidi="ar-SA"/>
        </w:rPr>
        <w:cr/>
      </w:r>
    </w:p>
    <w:p>
      <w:pPr>
        <w:numPr>
          <w:numId w:val="2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was retained by Gowling LaFleur Henderson LLP, counsel for the plaintiff, to investigate the ten (10) mortgage transactions identified in </w:t>
      </w:r>
      <w:r>
        <w:rPr>
          <w:rFonts w:ascii="arial" w:eastAsia="arial" w:hAnsi="arial" w:cs="arial"/>
          <w:b/>
          <w:color w:val="000000"/>
          <w:sz w:val="20"/>
          <w:lang w:val="en-US" w:eastAsia="en-US" w:bidi="ar-SA"/>
        </w:rPr>
        <w:t>Exhibit "B"</w:t>
      </w:r>
      <w:r>
        <w:rPr>
          <w:rFonts w:ascii="arial" w:eastAsia="arial" w:hAnsi="arial" w:cs="arial"/>
          <w:color w:val="000000"/>
          <w:sz w:val="20"/>
          <w:lang w:val="en-US" w:eastAsia="en-US" w:bidi="ar-SA"/>
        </w:rPr>
        <w:t xml:space="preserve"> and to determine whether evidence exists to prove a substantial issue or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fraud, wilful blindness 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Bank of Montreal employees involved in accepting, processing and completing mortgage applications for these ten (10)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many of the affidavits, he described how he has been able to make the assertions contained in the affidavits. While those statements vary, this statement in his first affidavit at para. 3 is typical of those assertions: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and information set out below are based upon the results of my investigation which began after the events at issue in this lawsuit. I have relied on relevant documents and witness interviews, including interviews with the defendants ... [Ms. Tortora and Ms. Poonja].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times, Mr. Filliter states opinions or conclusions in his affidavits. For example, he states in his first affidavit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[M]y investigation and that of the corporate security department of the Bank has determined that many payments were made from Tortora to Poonja ... and that it appears that a fraudulent pattern existed between them for inflating Tortora's commission income and for splitting those fraud proceeds with Poonja and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his third affidavit, Mr. Filliter listed the names of the individuals that he interviewed during the course of his investigation; he also attached transcripts of his interviews with six witnesses. The Bank says that it has produced to the defendants, and listed in its List of Documents, all of the transcripts and tape recordings of interviews as well as all Bank documents and records compiled by Mr. Filliter in the course of his investigation into the defendants. The Bank acknowledges that Mr. Filliter interviewed many individuals without recording or preparing transcripts of those interviews. The Bank says that the documents in the Filliter File which have not been produced are communications between Mr. Filliter and Gowlings, documents created by Mr. Filliter to report to Gowlings on his opinions and assessments, and Mr. Filliter's personal working papers and notes prepared in the course of his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his fourth affidavit, sworn on June 1, 2009, which was prepared in response to this application, Mr. Filliter stated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was retained and instructed by Mr. Smith of Gowlings to conduct my investigation into the role of the Defendants ... I understood that Gowlings acted as litigation counsel for [the Bank] and that my investigation into those individuals was requested by Mr. Smith for the sole purpose of assisting Gowling is in its efforts to compile evidence required to pursue in court a possible civil claim by [the Bank] against [the defendants] for recovery of its fraud loss exposure on the Ten Fraudulent Mortgages or for any irregular or improper activity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he has said the "sole purpose" of his retainer was to assist Gowlings in compiling evidence to pursue a claim against the defendants, when he interviewed the two defendants he told them that one of his roles was to critically examine the Bank's procedures. For example, he told Ms. Poonja: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am with a firm called LECG and my role here is to conduct an investigative service with respect to the civil side of things in an effort to recover the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part of that role, I guess, in addition to what we discussed today, is to look at the current procedures and see whether or not they need to be revamped and revisited in terms of ... so that we don't have a re-occurrence of any of this, in essence.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December 3, 2008, the Bank terminated the employment of both defendants. These proceedings were commenced on January 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I noted above, Mr. Filliter's description of his role has changed somewhat in the affidavits he has sworn. While the action is still at an early stage, he has already sworn several affidavits. These include affidavits in support of the application for a Mareva injunction, and affidavits in response to applications brought by the defendants for production of the Filliter File and summary judgment pursuant to R. 18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Defendants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take the position that the entire Filliter File must be produced. They say that the Bank cannot rely upon solicitor-client privilege because it has not met the evidentiary burden to establish that Mr. Filliter's role was essential to the maintenance or operation of the solicitor-client relationship. The evidence indicates that he was simply a third-party expert, or investigator, gathering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also say that the Bank cannot show that there was a reasonable prospect of litigation at the time that the Filliter File came into existence, nor that the dominant purpose of the creating the file materials was litigation. Alternatively, they argue that litigation privilege has been waived because Mr. Filliter has filed affidavits alleging facts and stating opinions, all of which are based on his investigations and, by necessary implication, the documents contained in his file. They say that fairness requires that the file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Tortora also seeks an order that the Bank provide a list of the documents over which it claims privilege that satisfies the requirements of R. 26(2.1). It notes that the Bank has not listed any documents individually, let alone provided a description that would allow the defendants to assess the validity of the privilege claim. The defendants request a list of all documents over which the Bank claims privilege, not just those contained in the Filliter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Banks'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Bank says that Mr. Filliter is an expert witness, who was retained by Gowlings, not by the Bank. It says there can be no doubt there was a reasonable prospect of litigation when he was retained. The Bank asserts that the proper approach to take on this application is to treat his file as that of an expert witness. It says that it has produced all relevant and producible documents that set out the facts upon which any opinion he gives may be based. The Bank claims litigation privilege over all of the documents in the Filliter File that it has not previously produced. However, it also says that an important principle of solicitor-client privilege is engaged because Mr. Filliter assisted in advising Gowlings on how to prepare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Bank says that the real issue in the case is whether privilege has been waived. It says that it is the purpose for which an expert report has been tendered that determines whether litigation privilege is waived. Here, the Bank says that it has not tendered Mr. Filliter's opinions, or the fruits of his investigation, for any purpose that requires me to make findings of fact or weigh evidence. As a result, the Bank says that the privilege attached to his file has not been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Bank has not placed its reliance on the existence of solicitor-client privilege. I agree with the defendants' submission that the Bank has not met the evidentiary burden to establish that Mr. Filliter's role was essential to the maintenance or operation of the solicitor-client relationship. A third-party investigator or expert who gathers information for use by counsel is not essential to the maintenance or operation of that relationship: </w:t>
      </w:r>
      <w:r>
        <w:rPr>
          <w:rFonts w:ascii="arial" w:eastAsia="arial" w:hAnsi="arial" w:cs="arial"/>
          <w:b/>
          <w:i/>
          <w:color w:val="000000"/>
          <w:sz w:val="20"/>
          <w:lang w:val="en-US" w:eastAsia="en-US" w:bidi="ar-SA"/>
        </w:rPr>
        <w:t>Liquor Control Board of Ontario v. Lifford Wine Agencies Ltd.</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(2005), 76 O.R. (3d) 401</w:t>
        </w:r>
      </w:hyperlink>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201 O.A.C. 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College of Physicians of B.C. v. British Columbia (Information and Privacy Commissioner)</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2002 BCCA 665</w:t>
        </w:r>
      </w:hyperlink>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9 B.C.L.R. (4th)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Bank premised its assertion that litigation privilege applies to the Filliter File documents on the basis that Mr. Filliter is an expert witness. While he undoubtedly has expertise as a Fraud Examiner, I perceive his role in the litigation as quite different from that of a typical expert witness. It is unlikely that he would be permitted at trial to give opinion evidence, as he has done in his affidavits; he would not be able to say that his review of the activities of the defendants shows that a "fraudulent pattern existed". I was not referred to any expert report prepared by Mr. Filliter, nor was I advised that he has prepared a report to present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Filliter was retained by the Bank's solicitors. He took instructions from them and reported to them as his investigation was ongoing. He was initially retained to look into the mortgages that Mr. Papas referred to the Bank in Ontario. There is ongoing litigation against Mr. Papas, as well as foreclosure proceedings, in Ontario. Mr. Filliter was eventually asked to investigate the events in question in this action by interviewing witnesses, including the defendants. In addition, he reviewed documents and the Bank's procedures. Throughout this sequence of events, he was the chief investigator for the Bank and its solicitors. His role was to gather the evidence necessary for the Bank to make decisions regarding the potential or ongoing litigation. In addition, he undoubtedly provided his views to the Bank regarding possible recovery of Bank losses, as well as the efficacy of Bank policies and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Given these circumstances, I find that Mr. Filliter's role is more analogous to that of an adjuster than an expert witness. Accordingly, decisions considering the production of adjusters' files are of more assistance to me in determining whether the Filliter File should be produced than decisions dealing with production of expert witnesses'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leading decision in British Columbia regarding production of adjusters' file materials is </w:t>
      </w:r>
      <w:r>
        <w:rPr>
          <w:rFonts w:ascii="arial" w:eastAsia="arial" w:hAnsi="arial" w:cs="arial"/>
          <w:b/>
          <w:i/>
          <w:color w:val="000000"/>
          <w:sz w:val="20"/>
          <w:lang w:val="en-US" w:eastAsia="en-US" w:bidi="ar-SA"/>
        </w:rPr>
        <w:t>Hamalainen (Committee of) v. Sippola</w:t>
      </w:r>
      <w:r>
        <w:rPr>
          <w:rFonts w:ascii="arial" w:eastAsia="arial" w:hAnsi="arial" w:cs="arial"/>
          <w:color w:val="000000"/>
          <w:sz w:val="20"/>
          <w:lang w:val="en-US" w:eastAsia="en-US" w:bidi="ar-SA"/>
        </w:rPr>
        <w:t xml:space="preserve"> (1991), </w:t>
      </w:r>
      <w:hyperlink r:id="rId678" w:history="1">
        <w:r>
          <w:rPr>
            <w:rFonts w:ascii="arial" w:eastAsia="arial" w:hAnsi="arial" w:cs="arial"/>
            <w:i/>
            <w:color w:val="0077CC"/>
            <w:sz w:val="20"/>
            <w:u w:val="single"/>
            <w:shd w:val="clear" w:color="auto" w:fill="FFFFFF"/>
            <w:lang w:val="en-US" w:eastAsia="en-US" w:bidi="ar-SA"/>
          </w:rPr>
          <w:t>[1992] 2 W.W.R. 132</w:t>
        </w:r>
      </w:hyperlink>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62 B.C.L.R. (2d) 254</w:t>
        </w:r>
      </w:hyperlink>
      <w:r>
        <w:rPr>
          <w:rFonts w:ascii="arial" w:eastAsia="arial" w:hAnsi="arial" w:cs="arial"/>
          <w:color w:val="000000"/>
          <w:sz w:val="20"/>
          <w:lang w:val="en-US" w:eastAsia="en-US" w:bidi="ar-SA"/>
        </w:rPr>
        <w:t xml:space="preserve"> (C.A.). In that case, the Court of Appeal considered an application for production of adjusters file materials following a motor vehicle accident. The court determined that litigation privilege will apply when the following two questions, listed at para. 18 of </w:t>
      </w:r>
      <w:r>
        <w:rPr>
          <w:rFonts w:ascii="arial" w:eastAsia="arial" w:hAnsi="arial" w:cs="arial"/>
          <w:b/>
          <w:i/>
          <w:color w:val="000000"/>
          <w:sz w:val="20"/>
          <w:lang w:val="en-US" w:eastAsia="en-US" w:bidi="ar-SA"/>
        </w:rPr>
        <w:t>Hamalainen</w:t>
      </w:r>
      <w:r>
        <w:rPr>
          <w:rFonts w:ascii="arial" w:eastAsia="arial" w:hAnsi="arial" w:cs="arial"/>
          <w:color w:val="000000"/>
          <w:sz w:val="20"/>
          <w:lang w:val="en-US" w:eastAsia="en-US" w:bidi="ar-SA"/>
        </w:rPr>
        <w:t>, are answered affirmatively:</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litigation in reasonable prospect at the time [the file material] was produced,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[litigation] the dominant purpose for its production?</w:t>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When was Litigation in Reasonable Prospect?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Hamalainen</w:t>
      </w:r>
      <w:r>
        <w:rPr>
          <w:rFonts w:ascii="arial" w:eastAsia="arial" w:hAnsi="arial" w:cs="arial"/>
          <w:color w:val="000000"/>
          <w:sz w:val="20"/>
          <w:lang w:val="en-US" w:eastAsia="en-US" w:bidi="ar-SA"/>
        </w:rPr>
        <w:t>, at para. 20, Wood J.A. described the test to be applied to determine if litigation was in reasonable prospect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Common sense suggests that it must mean something more than a mere possibility, for such possibility must necessarily exist in every claim for loss due to injury whether that claim be advanced in tort or in contract. On the other hand, a reasonable prospect clearly does not mean a certainty, which could hardly ever be established unless a writ had actually issued. In my view, litigation can properly be said to be in reasonable prospect when a reasonable person, possessed of all pertinent information including that peculiar to one party or the other, would conclude it is unlikely that the claim for loss will be resolved without it. The test is not one that will be particularly difficult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Hamalainen</w:t>
      </w:r>
      <w:r>
        <w:rPr>
          <w:rFonts w:ascii="arial" w:eastAsia="arial" w:hAnsi="arial" w:cs="arial"/>
          <w:color w:val="000000"/>
          <w:sz w:val="20"/>
          <w:lang w:val="en-US" w:eastAsia="en-US" w:bidi="ar-SA"/>
        </w:rPr>
        <w:t xml:space="preserve">, the court concluded that as soon as the motor vehicle accident was reported, litigation was in reasonable prospect given the serious nature of the injuries and the unusual circumstances of the accident. Here, it is not as clear. When Mr. Filliter was retained to look at the situation in B.C., he had been examining the circumstances surrounding the granting of mortgages in Ontario for some time. As he indicated in his first affidavit at para. 2, he was considering "whether evidence exists to prove a substantial issue or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fraud, wilful blindness 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Bank of Montreal employees involved in accepting, processing and completing mortgage applications ..." In other words, he was investigating the circumstances of the loans to determine if there was any basis to take action against employees in B.C. At that time, the Bank would have known that the defendants were both long time, successful employees. The situation is quite different from the circumstances of the accident in </w:t>
      </w:r>
      <w:r>
        <w:rPr>
          <w:rFonts w:ascii="arial" w:eastAsia="arial" w:hAnsi="arial" w:cs="arial"/>
          <w:b/>
          <w:i/>
          <w:color w:val="000000"/>
          <w:sz w:val="20"/>
          <w:lang w:val="en-US" w:eastAsia="en-US" w:bidi="ar-SA"/>
        </w:rPr>
        <w:t>Hamalainen</w:t>
      </w:r>
      <w:r>
        <w:rPr>
          <w:rFonts w:ascii="arial" w:eastAsia="arial" w:hAnsi="arial" w:cs="arial"/>
          <w:color w:val="000000"/>
          <w:sz w:val="20"/>
          <w:lang w:val="en-US" w:eastAsia="en-US" w:bidi="ar-SA"/>
        </w:rPr>
        <w:t>. It would be a stretch, without any investigation, to suggest that litigation was in reasonable prospect at that time. The fact that Mr. Filliter was retained by Gowlings does not change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noted in </w:t>
      </w:r>
      <w:r>
        <w:rPr>
          <w:rFonts w:ascii="arial" w:eastAsia="arial" w:hAnsi="arial" w:cs="arial"/>
          <w:b/>
          <w:i/>
          <w:color w:val="000000"/>
          <w:sz w:val="20"/>
          <w:lang w:val="en-US" w:eastAsia="en-US" w:bidi="ar-SA"/>
        </w:rPr>
        <w:t>Hamalainen</w:t>
      </w:r>
      <w:r>
        <w:rPr>
          <w:rFonts w:ascii="arial" w:eastAsia="arial" w:hAnsi="arial" w:cs="arial"/>
          <w:color w:val="000000"/>
          <w:sz w:val="20"/>
          <w:lang w:val="en-US" w:eastAsia="en-US" w:bidi="ar-SA"/>
        </w:rPr>
        <w:t>, the test as to when litigation is in reasonable prospect is not difficult to meet. It is likely that shortly after Mr. Filliter was asked to look at the B.C. connection to the Papas Mortgages, it could be concluded that there was a reasonable prospect of litigation involving the defendants. The problem here is that I cannot tell from the Bank's materials when litigation went from being a possibility to a reasonable prospect. Fortunately, I do not have to resolve when that occurred given the conclusion I have reached on the second branch of the test.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Was Litigation the Dominant Purpose for the Preparation of the File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noted in </w:t>
      </w:r>
      <w:r>
        <w:rPr>
          <w:rFonts w:ascii="arial" w:eastAsia="arial" w:hAnsi="arial" w:cs="arial"/>
          <w:b/>
          <w:i/>
          <w:color w:val="000000"/>
          <w:sz w:val="20"/>
          <w:lang w:val="en-US" w:eastAsia="en-US" w:bidi="ar-SA"/>
        </w:rPr>
        <w:t>Hamalainen</w:t>
      </w:r>
      <w:r>
        <w:rPr>
          <w:rFonts w:ascii="arial" w:eastAsia="arial" w:hAnsi="arial" w:cs="arial"/>
          <w:color w:val="000000"/>
          <w:sz w:val="20"/>
          <w:lang w:val="en-US" w:eastAsia="en-US" w:bidi="ar-SA"/>
        </w:rPr>
        <w:t>, this will normally be the determinative question in these cases. Even where litigation is a reasonable prospect, there may be a phase of investigation where the party funding the investigation is trying to determine if the evidence is sufficient to fight or advance the claim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Hamalainen</w:t>
      </w:r>
      <w:r>
        <w:rPr>
          <w:rFonts w:ascii="arial" w:eastAsia="arial" w:hAnsi="arial" w:cs="arial"/>
          <w:color w:val="000000"/>
          <w:sz w:val="20"/>
          <w:lang w:val="en-US" w:eastAsia="en-US" w:bidi="ar-SA"/>
        </w:rPr>
        <w:t>, Wood J.A. described this issue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in cases where litigation is in reasonable prospect from the time a claim first arises, there is bound to be a preliminary period during which the parties are attempting to discover the cause of the accident on which it is based. At some point in the information gathering process the focus of such an inquiry will shift such that its dominant purpose will become that of preparing the party for whom it was conducted for the anticipated litigation. In other words, there is a continuum which begins with the incident giving rise to the claim and during which the focus of the inquiry changes. At what point the dominant purpose becomes that of furthering the course of litigation will necessarily fall to be determined by the facts peculiar to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Additionally, where the party is a large corporation, there may be other reasons for the investigation, particularly in the early phase of the inquiry. In insurance cases, the insurer may be considering whether the claim falls within coverage. Where a party is a large corporation and the case raises questions about its policies and procedures, it may ask that the circumstances be investigated to determine if their procedures need to be revised or revamped.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Both of these factors come into play in this case. Initially, Mr. Filliter's investigation went through a phase where he was attempting to determine if the defendants facilitated the fraudulent mortgages, breached Bank policies to do so, or were working together with Mr. Papas. In addition, Mr. Filliter was trying to determine if the Bank's Policies and Code needed to be revamped or revised. There is little doubt at the early stage of the investigation that Mr. Filliter was gathering evidence to support a possible claim against the defendants or others. However, that was not the sole or dominant purpose of the work he was doing. I do not accept the statement in his fourth affidavit that suggests it was the sole purpose because that statement is inconsistent with his earlier description of his role. It is also inconsistent with his comments to the defendants regarding the nature of his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One of the difficulties faced in this case in determining when the dominant purpose of the documents' creation in the Filliter File was litigation is that I have been given no evidence that allows me to determine that question on an individual basis for each document. The Court of Appeal faced this same difficulty in </w:t>
      </w:r>
      <w:r>
        <w:rPr>
          <w:rFonts w:ascii="arial" w:eastAsia="arial" w:hAnsi="arial" w:cs="arial"/>
          <w:b/>
          <w:i/>
          <w:color w:val="000000"/>
          <w:sz w:val="20"/>
          <w:lang w:val="en-US" w:eastAsia="en-US" w:bidi="ar-SA"/>
        </w:rPr>
        <w:t>Shaughnessy Golf &amp; Country Club v. Uniguard Services Ltd.</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[1986] 3 W.W.R. 681</w:t>
        </w:r>
      </w:hyperlink>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 B.C.L.R. (2d) 309</w:t>
        </w:r>
      </w:hyperlink>
      <w:r>
        <w:rPr>
          <w:rFonts w:ascii="arial" w:eastAsia="arial" w:hAnsi="arial" w:cs="arial"/>
          <w:color w:val="000000"/>
          <w:sz w:val="20"/>
          <w:lang w:val="en-US" w:eastAsia="en-US" w:bidi="ar-SA"/>
        </w:rPr>
        <w:t xml:space="preserve"> (C.A.). In that case at 692, Esson J.A. stressed that the grounds for privilege must be established for each document and that a failure to do so will result in a finding that privilege has not been established: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 in my view, is this. The plaintiff has not established that the reports all owe their genesis to the dominant purpose of being used for the purpose of obtaining legal advice or to conduct or aid in the conduct of litigation which, at the time of its production, was in reasonable prospect. What it did prove is that, if the reports are taken as a whole and treated as one document, the dominant purpose of the whole was to aid in the conduct of litigation. But that is not the proper way for the matter to be approached. Privilege was claimed for a large number of documents. The grounds for it had to be established in respect of each one. By trying to extend to the whole list the considerations which confer privilege on most of the documents, the plaintiff has confused the issue and created the risk that, because it did not make in its evidence the distinctions that could have been made, it must be held not to have established privilege for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Shaughnessy Golf</w:t>
      </w:r>
      <w:r>
        <w:rPr>
          <w:rFonts w:ascii="arial" w:eastAsia="arial" w:hAnsi="arial" w:cs="arial"/>
          <w:color w:val="000000"/>
          <w:sz w:val="20"/>
          <w:lang w:val="en-US" w:eastAsia="en-US" w:bidi="ar-SA"/>
        </w:rPr>
        <w:t xml:space="preserve">, the court was provided with dates and descriptions of each document in question. There was cross examination on the affidavits of those individuals who asserted that the dominant purpose of the documents' creation was the litigation. In other words, there was a lot more information before the court in that case to establish a basis for privilege. Here, the Bank has not provided a list of privileged documents. It has, as in </w:t>
      </w:r>
      <w:r>
        <w:rPr>
          <w:rFonts w:ascii="arial" w:eastAsia="arial" w:hAnsi="arial" w:cs="arial"/>
          <w:b/>
          <w:i/>
          <w:color w:val="000000"/>
          <w:sz w:val="20"/>
          <w:lang w:val="en-US" w:eastAsia="en-US" w:bidi="ar-SA"/>
        </w:rPr>
        <w:t>Shaughnessy Golf</w:t>
      </w:r>
      <w:r>
        <w:rPr>
          <w:rFonts w:ascii="arial" w:eastAsia="arial" w:hAnsi="arial" w:cs="arial"/>
          <w:color w:val="000000"/>
          <w:sz w:val="20"/>
          <w:lang w:val="en-US" w:eastAsia="en-US" w:bidi="ar-SA"/>
        </w:rPr>
        <w:t>, taken the Filliter file as a whole and treated it as one document. This has confused the issue and created the risk that the Bank could not show when the continuum shifted and the dominant purpose of the information gathering process became the furtherance of the litigation against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accept the Bank's alternate submissions regarding the time when the dominant purpose of the creation of the documents in the Filliter File became the furtherance of the litigation. When the Bank decided to terminate the employment of the defendants, it is possible to conclude that the dominant purpose became the furtherance of litigation that was within reasonable prospect. That occurred on December 3, 2008. Accordingly, the Bank must produce those documents in the Filliter File that have not yet been produced and were created between the date in September 2008 when Mr. Filliter was first retained to investigate the B.C. aspects of the case and December 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For documents created after December 2, 2008, I find that nothing done by the Bank has resulted in a waiver of the litigation privilege. I have arrived at this conclusion for two reasons. First, as I indicated above, I do not regard Mr. Filliter as an expert witness; he has not produced an expert report. I have considered him to be an investigator who has interviewed witnesses, examined policies and gathered facts for the benefit of the Bank. Accordingly, the law that has developed from the seminal decision in </w:t>
      </w:r>
      <w:r>
        <w:rPr>
          <w:rFonts w:ascii="arial" w:eastAsia="arial" w:hAnsi="arial" w:cs="arial"/>
          <w:b/>
          <w:i/>
          <w:color w:val="000000"/>
          <w:sz w:val="20"/>
          <w:lang w:val="en-US" w:eastAsia="en-US" w:bidi="ar-SA"/>
        </w:rPr>
        <w:t>Vancouver Community College v. Phillips, Barratt</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(1987), 20 B.C.L.R. (2d) 289</w:t>
        </w:r>
      </w:hyperlink>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27 C.L.R. 11</w:t>
        </w:r>
      </w:hyperlink>
      <w:r>
        <w:rPr>
          <w:rFonts w:ascii="arial" w:eastAsia="arial" w:hAnsi="arial" w:cs="arial"/>
          <w:color w:val="000000"/>
          <w:sz w:val="20"/>
          <w:lang w:val="en-US" w:eastAsia="en-US" w:bidi="ar-SA"/>
        </w:rPr>
        <w:t xml:space="preserve"> (S.C.), is not of assistance here. There is no need to go beyond the analysis I have performed to determine when litigation was in reasonable prospect and when furtherance of that litigation was the dominant purpose for creation of the documents in the Filliter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However, if the law relating to production of an expert witness' file is applied to the circumstances of this case, I would conclude that the privilege has not been waived. In </w:t>
      </w:r>
      <w:r>
        <w:rPr>
          <w:rFonts w:ascii="arial" w:eastAsia="arial" w:hAnsi="arial" w:cs="arial"/>
          <w:b/>
          <w:i/>
          <w:color w:val="000000"/>
          <w:sz w:val="20"/>
          <w:lang w:val="en-US" w:eastAsia="en-US" w:bidi="ar-SA"/>
        </w:rPr>
        <w:t>Krusel v. Firth</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(1991), 56 B.C.L.R. (2d) 96</w:t>
        </w:r>
      </w:hyperlink>
      <w:r>
        <w:rPr>
          <w:rFonts w:ascii="arial" w:eastAsia="arial" w:hAnsi="arial" w:cs="arial"/>
          <w:color w:val="000000"/>
          <w:sz w:val="20"/>
          <w:lang w:val="en-US" w:eastAsia="en-US" w:bidi="ar-SA"/>
        </w:rPr>
        <w:t xml:space="preserve"> at para. 14 (S.C.), Sinclair-Prowse J. noted that it is the purpose for which an expert report is tendered that determines if privilege is waived: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review of reasons given by the court in both the </w:t>
      </w:r>
      <w:r>
        <w:rPr>
          <w:rFonts w:ascii="arial" w:eastAsia="arial" w:hAnsi="arial" w:cs="arial"/>
          <w:i/>
          <w:color w:val="000000"/>
          <w:sz w:val="20"/>
          <w:lang w:val="en-US" w:eastAsia="en-US" w:bidi="ar-SA"/>
        </w:rPr>
        <w:t>Vancouver College</w:t>
      </w:r>
      <w:r>
        <w:rPr>
          <w:rFonts w:ascii="arial" w:eastAsia="arial" w:hAnsi="arial" w:cs="arial"/>
          <w:color w:val="000000"/>
          <w:sz w:val="20"/>
          <w:lang w:val="en-US" w:eastAsia="en-US" w:bidi="ar-SA"/>
        </w:rPr>
        <w:t xml:space="preserve"> case and the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[1988] B.C.J. No. 2076</w:t>
        </w:r>
      </w:hyperlink>
      <w:r>
        <w:rPr>
          <w:rFonts w:ascii="arial" w:eastAsia="arial" w:hAnsi="arial" w:cs="arial"/>
          <w:color w:val="000000"/>
          <w:sz w:val="20"/>
          <w:lang w:val="en-US" w:eastAsia="en-US" w:bidi="ar-SA"/>
        </w:rPr>
        <w:t>, case demonstrate that it is the purpose for which the expert report is being tendered that determines (assuming that there is no unfairness or inconsistency in production) whether the privilege has been waived. That is, if the expert report is being tendered for the purpose of enabling the court to make findings of fact (which often require the court to resolve issues of credibility) or to weigh evidence, the privilege that protects the expert's working papers is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Discovery Enterprises Inc. v. Ebco Industries Ltd.</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(1997), 34 B.C.L.R. (3d) 168</w:t>
        </w:r>
      </w:hyperlink>
      <w:r>
        <w:rPr>
          <w:rFonts w:ascii="arial" w:eastAsia="arial" w:hAnsi="arial" w:cs="arial"/>
          <w:color w:val="000000"/>
          <w:sz w:val="20"/>
          <w:lang w:val="en-US" w:eastAsia="en-US" w:bidi="ar-SA"/>
        </w:rPr>
        <w:t xml:space="preserve"> (S.C.), leave to appeal to C.A. denied, </w:t>
      </w:r>
      <w:hyperlink r:id="rId684" w:history="1">
        <w:r>
          <w:rPr>
            <w:rFonts w:ascii="arial" w:eastAsia="arial" w:hAnsi="arial" w:cs="arial"/>
            <w:i/>
            <w:color w:val="0077CC"/>
            <w:sz w:val="20"/>
            <w:u w:val="single"/>
            <w:shd w:val="clear" w:color="auto" w:fill="FFFFFF"/>
            <w:lang w:val="en-US" w:eastAsia="en-US" w:bidi="ar-SA"/>
          </w:rPr>
          <w:t>[1997] B.C.J. No. 1364</w:t>
        </w:r>
      </w:hyperlink>
      <w:r>
        <w:rPr>
          <w:rFonts w:ascii="arial" w:eastAsia="arial" w:hAnsi="arial" w:cs="arial"/>
          <w:color w:val="000000"/>
          <w:sz w:val="20"/>
          <w:lang w:val="en-US" w:eastAsia="en-US" w:bidi="ar-SA"/>
        </w:rPr>
        <w:t>, Smith J. applied that principle where affidavits of an expert accountant were filed in support of an application for leave to bring a derivative action. He found that an intrusion into the solicitor's brief should not be permitted unless it is necessary to permit the reliability and validity of the expert opinion to be 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Here, Mr. Filliter has sworn affidavits in support of this application, and for the Mareva injunction and R. 18 summary judgment applications. The Mareva injunction application did not proceed and the summary judgment application has yet to be heard. However, none of those applications require the Court to make findings of fact or weigh evidence. None of them require the validity or reliability of Mr. Filliter's opinions to be tested. There is no issue of fairness or consistency here that requires production of the documents in the Filliter File created after December 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List of Privileged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Tortora says that there are many other documents that she believes are in the Bank's possession that have not been produced, presumably on the basis that the documents are privileged. These include documents relating to the Ontario investigation and litigation, documents relating to Ms. Tortora's dismissal, and documents relating to her mortgages and accounts with the Bank. She asks that the Bank produce a list of privileged documents that complies with the provisions of R. 26(2.1), which provides: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any document for which privilege from production is claimed must be described in a manner that, without revealing information that is privileged, will enable other parties to assess the validity of the claim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Bank has offered no reason for failing to deliver a proper list of privileged documents, other than stating that it has followed the usual practice of giving a general description of the basis for the claim of privilege for all of its privileged documents. No documents have been described in any way, let alone in a way that would enable other parties to assess the validity of the privilege claim. That is simply not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Bank must produce a list of privileged documents that satisfies R. 26(2.1). The list should include all documents for which privilege is claimed, including documents that fall within the categories of documents production that Ms. Tortora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Bank will produce all documents contained in the Filliter File that were created between the date in September 2008 when Mr. Filliter was retained to investigate the B.C. aspects of the Papas Mortgages and December 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Bank has not waived privilege over other documents in the Filliter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Bank will produce a list of privileged documents that contains descriptions of the documents in a manner that will enable the defendants to assess the validity of the claim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B. Cusano Contracting Inc. v. Bank of Montreal, [2004] B.C.J. No. 2219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7 - 11 and 14 - 18,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S005627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2219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1385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134 A.C.W.S. (3d) 465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 Cusano Contracting Inc., plaintiff, and Bank of Montreal,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3"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1" w:name="Keywords_17"/>
      <w:bookmarkEnd w:id="141"/>
      <w:r>
        <w:rPr>
          <w:rFonts w:ascii="arial" w:eastAsia="arial" w:hAnsi="arial" w:cs="arial"/>
          <w:b/>
          <w:color w:val="000000"/>
          <w:sz w:val="20"/>
          <w:lang w:val="en-US" w:eastAsia="en-US" w:bidi="ar-SA"/>
        </w:rPr>
        <w:t>Commercial law — Banking — Liability to third parties — Tort law — Fraud and misrepresentation — Negligent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2" w:name="Case Summary_17"/>
            <w:bookmarkEnd w:id="1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Cusano against the defendant bank for negligent misrepresentation. Cusano, a contracting company, was awarded a contract to construct a development in Whistler, called Taluswood. Work commenced in 1995, and Cusano was given a letter by the owners which indicated that they had obtained work and materials bonds. In order to obtain the bonds, the guarantee company had contacted the bank to ensure that financing was in place for the project. In 1996, Cusano and various sub-contractors were notified that there would be no further payments by the owner. Cusano claimed that it had relied to its detriment on the statements made by the account manager, and that the bank was vicariously liable.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3" w:name="Holdings of Court_17"/>
            <w:bookmarkEnd w:id="14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bank did not owe Cusano a duty of care, as there was no special relationship or even direct communication between the parties. It had been the guarantee company which had requested the indication from the bank that funding was in place. It was not foreseeable by the account manager that Cusano would rely on the letter.. In any event, Cusano had not established that it had in fact relied on the statement to its detriment.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4" w:name="Counsel_25"/>
      <w:bookmarkEnd w:id="1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4"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W.E. Knutson and T.L.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Pangman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5" w:name="Judgment_23"/>
      <w:bookmarkEnd w:id="145"/>
      <w:r>
        <w:pict>
          <v:line id="_x0000_s1135" style="position:absolute;z-index:2517872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6" w:name="BROWN J."/>
            <w:bookmarkEnd w:id="146"/>
            <w:r>
              <w:rPr>
                <w:rFonts w:ascii="arial" w:eastAsia="arial" w:hAnsi="arial" w:cs="arial"/>
                <w:b/>
                <w:color w:val="000000"/>
                <w:sz w:val="30"/>
                <w:lang w:val="en-US" w:eastAsia="en-US" w:bidi="ar-SA"/>
              </w:rPr>
              <w:t>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 Cusano Contracting Inc., an earthworks contractor, seeks damages from the Bank of Montreal arising from a statement made by an account manager regarding financing for a project in Whistler known as Taluswood.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in this trial are whether the bank owed a duty of care to Cusano and whether Cusano relied, reasonably, on the representation made by the account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concluded that the bank did not owe a duty of care to Cusano, that Cusano did not rely on the representation and the bank is not liable for the statement made by the account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1993, Black Tusk Development Corp. began to develop a sixty-acre project in Whistler called "Taluswood". The development was to consist of residential units to be built in several phases over a period of years. Black Tusk obtained financing for the Taluswood project from the Bank of Montreal. Michael Murison was the account manager at the Bank of Montreal responsible for this project. Black Tusk completed the first phase of construction in late 1994/early 1995. As that phase neared completion, Black Tusk started to arrange financing for the second phase, which was to start in the spring of 1995. In March 1995, Black Tusk sought tenders for earthworks. In April 1995, Cusano was advised that a contract would be awarded to it. In late April 1995, Cusano began preliminary work on the site. On May 11, 1995 Black Tusk's construction manager issued a letter of award to Cusano. A formal contract was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contract required Cusano to provide a performance bond and a labour and materials bond. Cusano obtained all of its bonds through Jardine Rolfe Ltd., insurance brokers with a specialty in surety bonding. Hugh Templeton, then Senior Vice-President at Jardine Rolfe, had dealt with Cusano and its principal, Biagio Cusano, for many years. Mr. Templeton acted as a representative for approximately seven bonding or surety companies, held powers of attorney for them and had limited authority to execute bonds on their behalf. The Guarantee Company of North America was one of these. It had provided all of Cusano's bonds for a number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receiving the letter of award for the Taluswood project, on May 12, 1995, Cusano contacted Jardine Rolfe to obtain the necessary bonds. Templeton then completed and faxed a bond application to the Guarantee Company. He spoke with the Guarantee Company. He said that one of the requirements which he would have discussed with the Guarantee Company was its requirement of confirmation from the bank that the developer's funding was in place. Later that day, Hugh Templeton wrote to Cusano,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wish to acknowledge your request for us to arrange performance and labour and material payment bonds for the above project. In order to do this, we need to provide the surety with written confirmation that the funding for this project is fully in place. Would you please arrange with the owner to have their banker provide us with the necessary confirmation.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May 15, 1995 the Guarantee Company authorized Templeton to issue the bonds, once he received confirmation of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bank account manager, Mr. Murison was advised of the request for confirmation of funding. He spoke with Mr. Templeton, then provided the following letter to Jardine Rolfe on May 17, 1995: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discussions Murison/Templeton on this date, we are pleased to confirm that a construction financing facility has been authorized by the bank for the referenced developer/project. Utilization of the credit is subject to conditions precedent and ongoing draw controls. Provided that the borrower remains within the terms and condition of the credit, the authorized funding is sufficient to complete the project within the currently approved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receiving this letter, Mr. Templeton issued the bonds, as he was authorized by the bonding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cross-examination Mr. Templeton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talk about the draw controls and the conditions precedent with The Guarantee Company?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I don't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sent the May 17 letter to The Guarantee Company, didn't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can't recall whether you had any conversation at all with them about these conditions precedent and ongoing draw controls?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sure if there had been any discussion with them and they were not satisfied that we would not have proceeded with the bond.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as far as you can recall today The Guarantee Company never expressed a concern with respect to conditions precedent or ongoing draw controls?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that I can recall.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are sure that if they had expressed the concern the bonds wouldn't have been issued?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they would have to be satisfied before we issued the bond.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as far as you knew The Guarantee Company also felt that funding was fully in place?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told my learned friend that you did not send a copy of this letter to Cusano,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so far as I can recall. I wouldn't - wouldn't normally do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reason you wouldn't normally do it is because you would regard this as information given to you in confidence by the bank,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Cusano received the bonds and proceeded with the work. Cusano's progress claims for April, May and June were paid by Black Tusk. The last payment was made on August 14, 1995 for work to June 25, 1995. After that, the bank did not fund any further advances to Black Tusk. By that time, the construction work was seriously over budget. On September 28, 1995, Cusano and the other trades on the Taluswood project were told that there would be no further payments. In 1996, Cusano obtained judgment against Black Tusk for the unpaid work in the amount of $1,444,100. No payment was made. Ultimately, the bank appointed a receiver and the project was sold. No further payments were made to Cusano.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Biagio Cusano, the principal of the plaintiff, gave evidence of the plaintiff's knowledge of and reliance on the representation given by the bank. Mr. Cusano said that Mr. O'Mara of Scott Management, Black Tusk's project managers, had advised him that they were prepared to award the contract to Cusano. Cusano was prepared to start work while the contract details were completed. This was not uncommon. Cusano was aware that Black Tusk had been working on the Taluswood project for a couple of years. He had heard that the developer was financially stable. Mr. Cusano spoke with Mr. O'Mara who told him that the developer was financially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respect to Mr. Templeton's letter of May 12, 1995, requesting confirmation of funding, Mr. Cusano did not recall receiving that letter, but said that he would have received it and was aware of the request. It was typical for private work that the bonding company wanted to be sure that funds were available before the bond was issued. Martin Adams, Cusano's comptroller, would be responsible for conveying the request to Black Tusk. Mr. Cusano did not follow up on Mr. Templeton's request. The bonds did arrive and he assumed that Templeton had received assurance that financing was in place. In his view, if Templeton was satisfied then so, too, was Cusano. If he had been advised by Templeton that the bonds were not issued because there was no funding in place, he would have sought assurance from elsewhere that Cusano would be paid before he would have continued the work. If the principals of Black Tusk had not been able to provide the required assurance, Cusano would probably have stopped working. In cross-examination he acknowledged that he had asked Mr. O'Mara questions designed to determine whether Black Tusk had the ability to pay and he had concluded that they did have the ability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was very little conflict in the evidence before me. I have accepted this evidence and that referred to elsewhere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Supreme Court of Canada in Queen v. Cognos Inc., </w:t>
      </w:r>
      <w:hyperlink r:id="rId66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99 D.L.R. (4th) 626</w:t>
        </w:r>
      </w:hyperlink>
      <w:r>
        <w:rPr>
          <w:rFonts w:ascii="arial" w:eastAsia="arial" w:hAnsi="arial" w:cs="arial"/>
          <w:color w:val="000000"/>
          <w:sz w:val="20"/>
          <w:lang w:val="en-US" w:eastAsia="en-US" w:bidi="ar-SA"/>
        </w:rPr>
        <w:t xml:space="preserve"> lists the elements of negligent misrepresentation at para. 33: (1) there must be a duty of care based on a "special relationship" between the representor and the representee; (2) the representation in question must be untrue, inaccurate or misleading; (3) the representor must have acted negligently in making the said misrepresentation; (4) the representee must have relied, in a reasonable manner on the negligent misrepresentation;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Hercules Management Ltd. v. Ernst &amp; Young, </w:t>
      </w:r>
      <w:hyperlink r:id="rId692"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146 D.L.R. (4th) 577</w:t>
        </w:r>
      </w:hyperlink>
      <w:r>
        <w:rPr>
          <w:rFonts w:ascii="arial" w:eastAsia="arial" w:hAnsi="arial" w:cs="arial"/>
          <w:color w:val="000000"/>
          <w:sz w:val="20"/>
          <w:lang w:val="en-US" w:eastAsia="en-US" w:bidi="ar-SA"/>
        </w:rPr>
        <w:t>, the Supreme Court of Canada elaborated on the proximity necessary to found a duty of care, saying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my mind, proximity can be seen to inhere between a defendant-representor and a plaintiff-representee when two criteria relating to reliance may be said to exist on the facts: (a) the defendant ought reasonably to foresee that the plaintiff will rely on his or her representation; and (b) reliance by the plaintiff would, in the particular circumstances of the case,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view Cusano's claim cannot succeed for two reasons:</w:t>
      </w:r>
      <w:r>
        <w:rPr>
          <w:rFonts w:ascii="arial" w:eastAsia="arial" w:hAnsi="arial" w:cs="arial"/>
          <w:sz w:val="20"/>
          <w:lang w:val="en-US" w:eastAsia="en-US" w:bidi="ar-SA"/>
        </w:rPr>
        <w:cr/>
      </w:r>
    </w:p>
    <w:p>
      <w:pPr>
        <w:numPr>
          <w:numId w:val="2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 manager, Mr. Murison, could not reasonably foresee that Cusano would rely on his representation; and</w:t>
      </w:r>
    </w:p>
    <w:p>
      <w:pPr>
        <w:numPr>
          <w:numId w:val="2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Cusano did not rely on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Foreseeable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view the bank did not owe Cusano a duty of care because the bank manager could not reasonably foresee that Cusano would rely on his representation. It was the Guarantee Company which required confirmation that funding was fully in place before the bond could issue. Cusano did not request such assurance. Mr. Templeton wrote to Cusano on May 12, 1995 asking Cusano to obtain, through the owner, the banker's assurance that funding was in place. That letter specifies, "We need to provide the surety with written confirmation that the funding for this project is fully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Adams, for Cusano, simply forwarded the letter to the owner. He did not suggest that Cusano required confirmation of funding before it would be willing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bank manager, Mr. Murison, then spoke by telephone with Mr. Templeton. Mr. Templeton gave evidence that he explained to Mr. Murison the reason that sureties require such information and indicated that this requirement was common to all sureties: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is common to all sureties, I might say, for confirmation of funding. He was not familiar with this requirement, and he had difficulty understanding why surety companies feel it is necessary. And so I spent a bit of time trying to explain this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Murison's recollections are less detailed than those of Hugh Templeton, but in substantial agreement on this aspect. He recalled that the borrower had advised him that Jardine Rolfe wanted to know about the financing and that the borrower indicated that it was okay to provide information to Jardine Rolfe. He spoke with Hugh Templeton. Mr. Templeton sought confirmation that financing was in place. It was part of Templeton's procedure before issuing the bonds; he needed to decide whether the bond would be issued. Mr. Murison did not expect the information to be given to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Templeton forwarded the May 17 letter from the bank to the Guarantee Company. In cross-examination, he acknowledged that the Guarantee Company would have to be satisfied with the letter before the bonds would be issued. He said that to his recollection, he did not forward a copy of the letter to Cusano. He would not normally do so. He considered that information to be provided in confidence by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To my mind, there is nothing in the circumstances which would alert Mr. Murison, such that the bank ought reasonably to foresee that Cusano would rely on the representation. The letter of May 12, 1995 indicated that the surety required the confirmation. In his conversation(s) with Mr. Murison, Mr. Templeton explained why bonding companies require the information and indicated that the information was required for the bonding company. There was no suggestion in that conversation, or in any communication, that the information was required for the contractor, or that the information itself would be provided to the contractor. Indeed, Mr. Templeton provided a copy of the bank's letter only to the surety and would not have provided it to Cusano. Mr. Murison did not expect his communication to be provided to Cusano. Hence, I cannot conclude that the bank ought reasonably to have foreseen that Cusano would rely on its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Secondly, in my view Cusano did not rely on the representation. Cusano did not receive the representation and did not review it to determine whether it was adequate for its purposes. Rather, Cusano anticipated a certain course of events: Cusano anticipated that the Guarantee Company would require confirmation of funding from the bank and if the Guarantee Company were not satisfied with that confirmation, it would refuse to issue the bond; Cusano would then learn that the bond had not been issued and would be alerted to an underlying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however, is not reliance on the representation itself. There are various scenarios in which the bonds would issue, which illustrate that Cusano was not relying on the representation:</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Templeton testified that Murison had argued that the surety should issue the bond without financial reassurance, as it had for a different contractor on the project. The Guarantee Company may have acceded to Murison's request and proceeded to issue the bond without reassurance from the bank, and without advising Cusano.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 may have more accurately described the situation in its letter, adding the following sentence to its letter: "The owner is considering changes to the project which will require a revised budget. Based on our previous experience with the owner on this project, we do not anticipate any difficulty." The surety may have been satisfied and the bond issued, again without consultation or knowledge of Cusano.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Murison's letter referred to conditions precedent and draw controls. He and the Guarantee Company did not inquire and did not assess the draw requirements. Thus, the Guarantee Company may have been satisfied that "funding was fully in place", yet the developer not meet the draw requirements and receive no advances. Again, the bonds would issue without Cusano having any idea of the content of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any of these scenarios, Cusano's position would be the same as it is now. Cusano did not receive or rely on the representation itself. At most, Cusano anticipated a course of events which may alert Cusano, should there be a problem issuing the bonds. Because the bonds were issued, Cusano proceeded in complete ignorance of the contents of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argues that Templeton was acting as agent for the surety and for Cusano, and that a representation made to an agent is a representation to the principal. While this is a sound legal principle, it does not apply to the facts of this case. Even if Templeton were acting as Cusano's agent in obtaining the bonds, he was not acting as Cusano's agent when obtaining, assessing and conveying the representation from the bank. His evidence is that he obtained it for the surety and provided it to the surety, not Cusano.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argues that Cusano need not receive the representation, it is sufficient if Cusano has an accurate understanding of the representation, relying on Burnett v. Took Engineering Inc. et al </w:t>
      </w:r>
      <w:hyperlink r:id="rId693" w:history="1">
        <w:r>
          <w:rPr>
            <w:rFonts w:ascii="arial" w:eastAsia="arial" w:hAnsi="arial" w:cs="arial"/>
            <w:i/>
            <w:color w:val="0077CC"/>
            <w:sz w:val="20"/>
            <w:u w:val="single"/>
            <w:shd w:val="clear" w:color="auto" w:fill="FFFFFF"/>
            <w:lang w:val="en-US" w:eastAsia="en-US" w:bidi="ar-SA"/>
          </w:rPr>
          <w:t>2000 BCSC 1630</w:t>
        </w:r>
      </w:hyperlink>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[2000] B.C.J. No. 2302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acknowledges that Templeton did not advise Cusano of the contents of the bank's letter, but says that Templeton's conduct, issuing the bonds, was sufficient to communicate the representation. As I have indicated above, in my view, issuing the bonds, alone, did not convey the content of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Finally, the plaintiff argues that a duty of care is owed beyond the immediate recipient of the representation, relying on Ministry of Housing and Local Government v. Sharp and another [1970] 1 All E.R. 1009 and Ross v. Caunters [1977] 1 Ch. 297. In the Sharp case, Lord Denning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duty to use due care in a statement arises, not from any voluntary assumption of responsibility, but from the fact that the person making it knows, or ought to know, that others, being his neighbours in this regard, would act on the faith of the statement being accurate. That is enough to bring the duty into being. It is owed, of course, to the person to whom the certificate is issued and who he knows is going to act on it, see the judgment of Cardozo J. in Glanzer v. Sheppard (1922), 135 N.E. 275. But it also is owed to any person who he knows or ought to know, will be injuriously affected by a mistake, such as the incumbrancer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Ross v. Caunters, Sir Robert Megarry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to me that the Sharp case is conclusive of the point before me. Indeed, it seems to me that despite the factual differences between that case and the case before me, they are closely similar in principle. Let me take P as the plaintiff in each case, D as the defendant (ignoring any distinction between the clerk and the local authority in the Sharp case) and X as the third party, the purchaser in the Sharp case and the testator in the case before me. I will take five points. First, D was guilty of negligent omissions in his dealings with X: he failed to discover the land charge or failed to include it in the certificate that he gave to the purchaser, or he failed to warn the testator about attestation by a beneficiary's spouse, warning him only about attestation by a beneficiary ("not somebody benefiting under the will"). Second, X acted on the negligent omission but suffered no loss. Third, by acting in this way X caused financial loss to P: P's charge became void against the purchaser, and P's legacy was invalidated. Fourth, D contemplated, or ought to have contemplated, that his negligent omissions would injure P, an identified or identifiable person. Fifth, there was no possible liability for an indeterminate amount to an indeterminate number of persons. The Sharp case accordingly seems to me, particularly when reading the context of the other cases that I have cited, to provide ample authority both for holding that the defendants are liable to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for holding that the fact that the claim is for purely financial loss is no bar to that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Each of these cases requires that the person making the representation (Sharp) or the negligent omission (Caunters) knew or ought to have known that his negligent statement or omission would injure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argues here that Cusano need not receive the representation, or know of its contents, that it is sufficient if Templeton receives and acts on the negligent misrepresentation and suffers no loss, if Cusano suffers a loss. The plaintiff argues that Sharp and Caunters have a different test and enlarge the bank's liability beyond Cognos and Hercules. Hercules requires that the plaintiff show that it was reasonably foreseeable that Cusano would rely on the representation, while Caunters and Sharp require only that it establish that the bank could or should have contemplated that its negligent omissions would injure Cusano, no need to establish reliance on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application of Sharp and Caunters to circumstances such as these, whether this line of authority can be used to extend liability to one who does not receive the representation, is an interesting legal question, but one which I do not need to decide in the circumstances of this case. On the evidence before me, I am satisfied that Mr. Murison could not have contemplated that his negligent omission would injure Cusano. In Sharp, the land registry clerk who certified to the purchaser that there were no charges on title, thereby negating the charge, would know that the chargeholder would be harmed by his error. In Caunters, the solicitor preparing the will would realize that his client, the testator, would not be harmed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the beneficiaries would. Here Murison knew that the bonding company would receive the representation and wanted it before it would issue the bond, but he could not have reasonably anticipated that Cusano would rely on the issuance of the bond as indirect confirmation of funding, and would be injured if the representations were incorrect. Thus, even if the Sharp/Caunters test is applied, the bank is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action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6"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Beauchamp v. Insurance Corp. of British Columbia, [2004] B.C.J. No. 1962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Master Bolton</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September 1, 2004.</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September 24,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L041296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1962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1214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18 C.C.L.I. (4th) 273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134 A.C.W.S. (3d) 1092</w:t>
      </w:r>
    </w:p>
    <w:p>
      <w:pPr>
        <w:spacing w:before="120" w:line="260" w:lineRule="atLeast"/>
        <w:rPr>
          <w:lang w:val="en-US" w:eastAsia="en-US" w:bidi="ar-SA"/>
        </w:rPr>
      </w:pPr>
      <w:r>
        <w:rPr>
          <w:rFonts w:ascii="arial" w:eastAsia="arial" w:hAnsi="arial" w:cs="arial"/>
          <w:color w:val="000000"/>
          <w:sz w:val="20"/>
          <w:lang w:val="en-US" w:eastAsia="en-US" w:bidi="ar-SA"/>
        </w:rPr>
        <w:t>Between Michael Beauchamp, plaintiff, and Insurance Corporation of British Columbia,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37" style="position:absolute;z-index:2516869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47" w:name="Keywords_18"/>
      <w:bookmarkEnd w:id="147"/>
      <w:r>
        <w:rPr>
          <w:rFonts w:ascii="arial" w:eastAsia="arial" w:hAnsi="arial" w:cs="arial"/>
          <w:b/>
          <w:color w:val="000000"/>
          <w:sz w:val="20"/>
          <w:lang w:val="en-US" w:eastAsia="en-US" w:bidi="ar-SA"/>
        </w:rPr>
        <w:t>Administrative law — Arbitration — Arbiters — Appointment — By court — Insurance law — Automobile insurance — Compulsory government schemes — Uninsured or underinsured motorist coverage.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48" w:name="Case Summary_18"/>
            <w:bookmarkEnd w:id="14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Petition for reference to arbitration to determine entitlement to insurance coverage. Beauchamp was injured in motor vehicle accident in 1995 as he was the passenger in a stolen motor vehicle which was being driven off the highway. His insurance claim was denied on the basis that the accident did not happen on a highway. Beauchamp then commenced a tort action against the driver which was expected to result in an unrecoverable judgment which may have entitled him to underinsured motorist protection coverage. He sought arbitration to determine his entitlement to insurance coverage without having to go through an expensive trial against the driver of the car. The defendant Insurance Corp submitted that there could be no arbitration until a judgment had been delivered in favour of the plaintiff and the tortfeasor was unable to pay the judgment. </w:t>
            </w:r>
            <w:r>
              <w:rPr>
                <w:lang w:val="en-US" w:eastAsia="en-US" w:bidi="ar-SA"/>
              </w:rPr>
              <w:cr/>
            </w:r>
          </w:p>
          <w:p>
            <w:pPr>
              <w:spacing w:before="120" w:line="260" w:lineRule="atLeast"/>
              <w:ind w:left="240"/>
              <w:jc w:val="both"/>
              <w:rPr>
                <w:lang w:val="en-US" w:eastAsia="en-US" w:bidi="ar-SA"/>
              </w:rPr>
            </w:pPr>
            <w:bookmarkStart w:id="149" w:name="Holdings of Court_18"/>
            <w:bookmarkEnd w:id="149"/>
            <w:r>
              <w:rPr>
                <w:rFonts w:ascii="arial" w:eastAsia="arial" w:hAnsi="arial" w:cs="arial"/>
                <w:color w:val="000000"/>
                <w:sz w:val="20"/>
                <w:lang w:val="en-US" w:eastAsia="en-US" w:bidi="ar-SA"/>
              </w:rPr>
              <w:t>HELD: Petition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Order for arbitration. The matter was to proceed to arbitration on the assumption that judgment was obtained against the tortfeasor and the judgment was not satisfied. The Act did not make any reference to when arbitration should take place which gave the Court discretion to make which ever order seemed most appropriate in the circumstances. The requirement that a judgment be made that was unrecoverable would have involved a lengthy and expensive jury trial, the cost of which would have been wasted. </w:t>
            </w:r>
            <w:r>
              <w:rPr>
                <w:lang w:val="en-US" w:eastAsia="en-US" w:bidi="ar-SA"/>
              </w:rPr>
              <w:cr/>
            </w:r>
          </w:p>
          <w:p>
            <w:pPr>
              <w:rPr>
                <w:lang w:val="en-US" w:eastAsia="en-US" w:bidi="ar-SA"/>
              </w:rPr>
            </w:pPr>
          </w:p>
        </w:tc>
      </w:tr>
    </w:tbl>
    <w:p>
      <w:pPr>
        <w:jc w:val="both"/>
        <w:rPr>
          <w:lang w:val="en-US" w:eastAsia="en-US" w:bidi="ar-SA"/>
        </w:rPr>
      </w:pPr>
      <w:bookmarkStart w:id="150" w:name="Legislation Cited_6"/>
      <w:bookmarkEnd w:id="15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38" style="position:absolute;z-index:2517381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Commercial Arbitration Act.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Insurance (Motor Vehicle) Act Regulations, Reg. 184.2.</w:t>
      </w:r>
      <w:r>
        <w:rPr>
          <w:lang w:val="en-US" w:eastAsia="en-US" w:bidi="ar-SA"/>
        </w:rPr>
        <w:cr/>
      </w:r>
    </w:p>
    <w:p>
      <w:pPr>
        <w:keepNext/>
        <w:spacing w:before="240" w:line="340" w:lineRule="atLeast"/>
        <w:rPr>
          <w:lang w:val="en-US" w:eastAsia="en-US" w:bidi="ar-SA"/>
        </w:rPr>
      </w:pPr>
      <w:bookmarkStart w:id="151" w:name="Counsel_26"/>
      <w:bookmarkEnd w:id="15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9" style="position:absolute;z-index:2517882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W.D. Mussio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 R.F. Hungerford</w:t>
      </w:r>
      <w:r>
        <w:rPr>
          <w:lang w:val="en-US" w:eastAsia="en-US" w:bidi="ar-SA"/>
        </w:rPr>
        <w:cr/>
      </w:r>
    </w:p>
    <w:p>
      <w:pPr>
        <w:spacing w:after="240"/>
        <w:rPr>
          <w:lang w:val="en-US" w:eastAsia="en-US" w:bidi="ar-SA"/>
        </w:rPr>
      </w:pPr>
      <w:bookmarkStart w:id="152" w:name="Judgment_24"/>
      <w:bookmarkEnd w:id="152"/>
      <w:r>
        <w:pict>
          <v:line id="_x0000_s1140" style="position:absolute;z-index:25182822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53" w:name="MASTER BOLTON (orally)"/>
            <w:bookmarkEnd w:id="153"/>
            <w:r>
              <w:rPr>
                <w:rFonts w:ascii="arial" w:eastAsia="arial" w:hAnsi="arial" w:cs="arial"/>
                <w:b/>
                <w:color w:val="000000"/>
                <w:sz w:val="30"/>
                <w:lang w:val="en-US" w:eastAsia="en-US" w:bidi="ar-SA"/>
              </w:rPr>
              <w:t>MASTER BOLTON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under section 148.2 of the regulations of the Insurance (Motor Vehicle) Act; basically what is described as Underinsured Motorist Protection or "UMP" for short, as I have just learned today.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matter arises as a petition brought by a person injured in a motor vehicle accident for a reference to arbitration of questions as to his entitlement to coverage pursuant to regulation 148.2.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injured in a motor vehicle accident in 1995. It seems to be acknowledged that he was a passenger in a stolen motor vehicle. He was thrown out of the vehicle while it was being driven off the highway and was severely injured. He asserts, and it is denied of course but it is in issue still, that he was unaware that the vehicle had been stolen.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He brought a claim under section 20 of the Insurance (Motor Vehicle) Act, but after a trial or hearing this claim was denied on the basis that the accident did not happen on a highway and there was, therefore, no coverage under section 20.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himself has no insurance unless he can rely on the underinsured motorist coverage of his own insurance policy, which ICBC says he cannot. He has, therefore, commenced a tort action against the driver, which he expects will result in a dry judgment (if he succeeds in establishing any liability at all in the face of a volenti defence) which might then entitle him to claim this UMP coverage. That action has not yet been heard.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Plaintiff's counsel asserts that the defendant in the tort action, that is the driver, will be unable to pay any damages that may be awarded, but there is no evidence before me to that effect. I therefore cannot find that to be a fact, however likely it might appear from the circumstances that I have described so far.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is concerned that a reference to an arbitrator after a judgment has been obtained and found (as he expects) to be unrecoverable, will cost a huge amount of money in terms of a long and difficult trial which will all be wasted if the arbitrator eventually rules against him. It is, in my view, somewhat significant that this will be a jury trial, and I will come back to that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position of the respondent on this application, ICBC, is that by the terms of regulation 148.2 there can be no arbitration until a court has delivered a judgment in a certain amount in favour of a plaintiff and it has turned out to be a fact that the tortfeasor is unable to pay the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Both counsel came with almost identical briefs of authorities. There is, apparently, only one decision dealing with regulation 148.2, which is the fairly old decision of the late Mr. Justice Hogarth in Dahl v. Whitehill from 1995, </w:t>
      </w:r>
      <w:hyperlink r:id="rId701" w:history="1">
        <w:r>
          <w:rPr>
            <w:rFonts w:ascii="arial" w:eastAsia="arial" w:hAnsi="arial" w:cs="arial"/>
            <w:i/>
            <w:color w:val="0077CC"/>
            <w:sz w:val="20"/>
            <w:u w:val="single"/>
            <w:shd w:val="clear" w:color="auto" w:fill="FFFFFF"/>
            <w:lang w:val="en-US" w:eastAsia="en-US" w:bidi="ar-SA"/>
          </w:rPr>
          <w:t>[1996] B.C.J. No. 46</w:t>
        </w:r>
      </w:hyperlink>
      <w:r>
        <w:rPr>
          <w:rFonts w:ascii="arial" w:eastAsia="arial" w:hAnsi="arial" w:cs="arial"/>
          <w:color w:val="000000"/>
          <w:sz w:val="20"/>
          <w:lang w:val="en-US" w:eastAsia="en-US" w:bidi="ar-SA"/>
        </w:rPr>
        <w:t xml:space="preserve">. In that case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in issue, and the plaintiff contended that an arbitrator had no power to hear any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concluded, at paragraph 13: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view subsection 148.2 does not apply until it has already been determined that the person claiming, the "insured", is claiming as a consequence of an accident with an "underinsured motorist", that is, someone who is unable to pay the full damages awarded to the insured.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no reason given for that conclusion beyond it being the considered opinion of the learned judge, and in the circumstances of that case I must say that it seems entirely appropriate. But in my view it cannot be taken as laying down an absolute rule that in absolutely every claim under section 148.2 the arbitrator can have no jurisdiction until a judgment has been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Section 148.2 itself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determination as to whether an insured provided underinsured motorist protection under section 148.1 is entitled to compensation and, if so entitled, the amount of compensation shall be made by agreement between the insured and the corporation, but in a dispute as to whether the insured is entitled to compensation or as to the amount of compensation, it shall be submitted to arbitration under the Commercial Arbitration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important parts of that section, for the purpose of this present hearing today, are "a dispute as to whether the insured is entitled to compensation --- shall be submitted to arbitration."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Act itself quite clearly does not make any reference to when the arbitration should take place, and, in my view, that lack of specificity does and should give the court a discretion to make whichever order seems most appropriate in the circumstances, taking into account, obviously, the potential prejudice to both parties of the order sought by the other party.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main point is that logically you cannot have a decision about whether or not any compensation should be payable until it is first established, number one, that a judgment has been obtained, and, number two, that the tortfeasor cannot pay it. There is absolutely no argument to be made against the logic of that proposition at all. It is completely logical and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But the problem with that logical analysis is that it is going to involve everyone in an extremely lengthy and expensive jury trial which may prove to be a completely useless exercise, a classic pyrrhic victory, if he does indeed succeed in establishing some liability but it turns out that the arbitrator later rules that there is no entitlement to coverage anyway. The entire cost of the jury trial would be wasted.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opposite argument advanced by the petitioner here, that the arbitration should proceed first, makes, obviously, a considerable amount of sense from the point of view of the applicant, although it does not have the same logic to it that the defendant's position does.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to that, there is some potential wasted time and money here as well, since if the plaintiff's position today does succeed and he later persuades the arbitrator that coverage could theoretically exist, the parties will have to go to trial where a jury may ultimately conclude there is no liability. In this scenario the entire process of arbitration is going to be wasted.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Alternatively, we could end up with two references to arbitrators, one at the beginning of the case to deal with this question about coverage, and then another arbitration later on to deal with the section of the regulation that I omitted when I was summarizing it, that is, a question as to the amount of compensation.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do take all of that into account as possible wasted time and money if the position of the plaintiff succeeds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said earlier that I would come back to the jury and I will do that very briefly now. The fact that this is a jury trial, in my view, lends some small amount of added weight to the petitioner's case, because the way the defendant is approaching this may end up requiring citizens to come in and attend a jury trial, to put their lives on hold while they go through the exercise of applying their common sense to the facts that they hear, coming up with a judgment, coming up with a decision on liability, only to have all of their time entirely wasted because an arbitrator rules that there is no obligation for ICBC to pay under the regulations.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Looking at the matter as a question of how much time and effort is potentially going to be wasted under the alternate scenarios, which is what it really seems to me to come down to in assessing the balance of prejudice, then I am firmly of the view that the balance comes down in favour of the plaintiff's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If the defendant's submission succeeds, then there is going to be a very lengthy and very expensive jury trial when the odds are about 50/50 it is going to be entirely wasted. (I know very little about the facts underlying either the tort claim or the insurance issue, and it would not be fair to try to assess the odds of success any more precisely than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If the plaintiff's position prevails, then the wastage is going to come down basically to a 50/50 possibility that the arbitration will be wasted or will, to some extent, have to be duplicated by arbitrating a second issue as to damages later on. In my view, the potential waste in two scenarios does not even come close.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completely satisfied that the balance favours the plaintiff. As I said, it seems to me that the wording of section 148.2 does give the court the discretion to do what appears to be just in the circumstances, with regard partly to the interests of the parties and partly the proper administration of justice. Here, I should mention that in the same context as I was considering the impact of the defendant's position on a jury, an equal argument could be made that it would be a waste of the court's resources, which is again some slight added weight in favour of the plaintiff's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circumstances, therefore, there will be an order that an arbitrator be appointed pursuant to the Commercial Arbitration Act under regulation 148.2 of the Insurance (Motor Vehicle) Act regulations to determine the issue of entitlement to coverage, on the assumption that a judgment has been obtained against the tortfeasor in the tort claim and that judgment has not been satisfied. So the arbitrator need not deal with that at all. He can just get to the meat of the coverage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HUNGERFORD: Your Honour, the problem we have on that -- I hear your order, I just say the problem you're going to have is defining what the arbitrator is going to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Well, I thought I just have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HUNGERFORD: Okay. It's going to be a question then what jurisdiction does the arbitrator have at that hearing, because, you see, it depends on how much the decision is from the first case. There are several steps that are involved before the arbitrator, and we are probably going to have some difficulty with the arbitrator on this case because you have to get an amount so you can go to arbitration to determine deductions and qualification and amounts, because there is a whole series of deductions.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Right, I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HUNGERFORD: Are we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Now, look, as I understand it you have got some perfectly legitimate and reasonable sounding arguments why there should be no coverage. What I have said, I thought, was I have dealt with the two obvious factual issues that the arbitrator need not be concerned with; he can get to the meat of the issues you raise and decide if there is coverage or not. Now, if there is more to it than that, it is something that I have not heard.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HUNGERFORD: Okay. Thank you, Your Honour.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MUSSIO: Costs as well to the petitioner.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Costs to the petitioner in the cause. So if you do get costs of the entire proceeding, you will have your costs of today.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MUSSIO: Thank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HUNGERFORD: Thank you, Your Honour.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Thank you.</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MASTER BOLTON</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Berntt v. Vancouver (City), [2001] B.C.J. No. 2658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15 - 19 and 22 - 26,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C945376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2658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2001 BCSC 1754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209 D.L.R. (4th) 494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110 A.C.W.S. (3d) 198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Stacy Ryan Michael Berntt, plaintiff, and The City of Vancouver Vancouver Police Constable David Hancock and a Number of Unidentified Vancouver City Police Officers,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2"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4" w:name="Keywords_19"/>
      <w:bookmarkEnd w:id="154"/>
      <w:r>
        <w:rPr>
          <w:rFonts w:ascii="arial" w:eastAsia="arial" w:hAnsi="arial" w:cs="arial"/>
          <w:b/>
          <w:color w:val="000000"/>
          <w:sz w:val="20"/>
          <w:lang w:val="en-US" w:eastAsia="en-US" w:bidi="ar-SA"/>
        </w:rPr>
        <w:t xml:space="preserve">Police — Actions against police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Demonstrations — For assault — Excessive force — Defences, justification of force — Defences — Statutory immunity.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5" w:name="Case Summary_19"/>
            <w:bookmarkEnd w:id="1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Berntt for damages for injuries inflicted by Hancock, a Vancouver police officer. In issue was whether Hancock was justified in his conduct under s. 32 of the Criminal Code during a riot in which Berntt was injured. The trial judge found Hancock 25 percent liable for Berntt's injuries. On appeal, a new trial was ordered and the s. 32 issue was considered. The Vancouver Canucks had just lost their seventh game of the Stanley Cup playoffs. A large and unruly crowd gathered in the downtown area. The Vancouver police department called out their Crowd Control Unit supported by the Emergency Response Team of which Hancock was a member. The Emergency Response Team members were instructed that the anti-riot weapon was only to be used on ringleaders and people who were throwing objects. There was tremendous noise. Bottles, rocks and other objects were being thrown, glass was broken and there was yelling, screaming and taunting of the police. Berntt was extremely aggressive and angry and was brandishing a large screwdriver. Hancock concluded that Berntt was acting as a ringleader, encouraging the crowd to greater violence. Hancock shot him in the back with the anti-riot weapon. Berntt received medical attention and headed back to the crowd. Berntt approached the Crowd Control Unit, pulled up his shirt, showing the bruise from the weapon blow and the screwdriver tucked in his pants. He was swearing at the officers. As Berntt returned to the crowd Hancock again shot Berntt with the anti-riot weapon. Berntt was struck in the head, causing severe injuries including a stage three coma and brain injury.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6" w:name="Holdings of Court_19"/>
            <w:bookmarkEnd w:id="15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Hancock's conduct was justified pursuant to s. 32 and this was a complete defence to the action. There was no dispute that the section was engaged as a riot was occurring. While there was competing and inconsistent evidence, Hancock's description of Berntt's conduct was accepted. Hancock reasonably believed that the force he was about to use was necessary to suppress the riot. There was a reasonable basis for Hancock's belief as Berntt had shown himself as a ringleader and Hancock's training had taught him that it was necessary to remove ringleaders in order to disperse a riot. The force used was not excessive as Hancock did not intend to shoot Berntt in the head. He was well trained in the use of the anti-riot weapon and knew that he should avoid sensitive parts of the body. It was reasonable for Hancock to believe that a blow to a non-sensitive part of Berntt's body would not cause serious injury. Hancock's choice to fire on Berntt was neither unnecessary nor lacking in reason.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7" w:name="Legislation Cited_7"/>
      <w:bookmarkEnd w:id="1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3"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8" w:name="Counsel_27"/>
      <w:bookmarkEnd w:id="15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4"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Richard M. Brooks, for plaintiff. Bruce T. Quayle and Karen F.W. Liang, for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9" w:name="Judgment_25"/>
      <w:bookmarkEnd w:id="159"/>
      <w:r>
        <w:pict>
          <v:line id="_x0000_s1145" style="position:absolute;z-index:2518292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0" w:name="ROSS J."/>
            <w:bookmarkEnd w:id="160"/>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14, 1994, a riot occurred in the streets of downtown Vancouver following the defeat of the Vancouver Canucks in the seventh and deciding game of the Stanley Cup Playoffs. The plaintiff, Stacy Ryan Berntt, was a participant in that riot.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Crowd Control Unit ("CCU") of the Vancouver Police Department ("VPD") was called out to suppress the riot, supported by members of the Emergency Response Team ("ERT"), one of which was the defendant, Constable David Hancock.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Berntt was severely injured when he was struck in the head by a baton fired by Constable Hancock from an ARWEN, the Anti-Riot-Weapon-Enfield.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commenced an action for the injuries which he alleges were suffered as a consequence of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action came on for trial before Justice Cohen, who held that Constable Hancock was 25% liable for the injuries of the plaintiff </w:t>
      </w:r>
      <w:hyperlink r:id="rId710" w:history="1">
        <w:r>
          <w:rPr>
            <w:rFonts w:ascii="arial" w:eastAsia="arial" w:hAnsi="arial" w:cs="arial"/>
            <w:i/>
            <w:color w:val="0077CC"/>
            <w:sz w:val="20"/>
            <w:u w:val="single"/>
            <w:shd w:val="clear" w:color="auto" w:fill="FFFFFF"/>
            <w:lang w:val="en-US" w:eastAsia="en-US" w:bidi="ar-SA"/>
          </w:rPr>
          <w:t>(1997), 28 B.C.L.R. (3d) 203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An appeal was brought by the defendants. By reasons reported at </w:t>
      </w:r>
      <w:hyperlink r:id="rId711" w:history="1">
        <w:r>
          <w:rPr>
            <w:rFonts w:ascii="arial" w:eastAsia="arial" w:hAnsi="arial" w:cs="arial"/>
            <w:i/>
            <w:color w:val="0077CC"/>
            <w:sz w:val="20"/>
            <w:u w:val="single"/>
            <w:shd w:val="clear" w:color="auto" w:fill="FFFFFF"/>
            <w:lang w:val="en-US" w:eastAsia="en-US" w:bidi="ar-SA"/>
          </w:rPr>
          <w:t>(1999), 174 D.L.R. (4th) 403</w:t>
        </w:r>
      </w:hyperlink>
      <w:r>
        <w:rPr>
          <w:rFonts w:ascii="arial" w:eastAsia="arial" w:hAnsi="arial" w:cs="arial"/>
          <w:color w:val="000000"/>
          <w:sz w:val="20"/>
          <w:lang w:val="en-US" w:eastAsia="en-US" w:bidi="ar-SA"/>
        </w:rPr>
        <w:t>, the Court of Appeal ordered a new trial with respect to the issue of whether Constable Hancock's conduct was justified pursuant to s. 32 of the Criminal Code, R.S.C. c-34.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is the trial of that issue; whether the constable's conduct was justified pursuant to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Legal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Section 32 provides:</w:t>
      </w:r>
      <w:r>
        <w:rPr>
          <w:rFonts w:ascii="arial" w:eastAsia="arial" w:hAnsi="arial" w:cs="arial"/>
          <w:sz w:val="20"/>
          <w:lang w:val="en-US" w:eastAsia="en-US" w:bidi="ar-SA"/>
        </w:rPr>
        <w:cr/>
      </w:r>
    </w:p>
    <w:p>
      <w:pPr>
        <w:numPr>
          <w:numId w:val="2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peace officer is justified in using or in ordering the use of as much force as the peace officer believes, in good faith and on reasonable grounds,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necessary to suppress a riot;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not excessive, having regard to the danger to be apprehended from the continuance of the riot.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who is bound by military law to obey the command of his superior officer is justified in obeying any command given by his superior officer for the suppression of a riot unless the order is manifestly unlawful.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is justified in obeying an order of a peace officer to use force to suppress a riot if</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acts in good faith;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is not manifestly unlawful.</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who, in good faith and on reasonable grounds, believes that serious mischief will result from a riot before it is possible to secure the attendance of a peace officer is justified in using as much force as he believes in good faith and on reasonable grounds,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necessary to suppress the riot;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not excessive, having regard to the danger to be apprehended from the continuance of the riot.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 the question whether an order is manifestly unlawful or not is a question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Court of Appeal has directed that, in considering the possible application of the section, four questions must be addressed: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peace officer believe that the force he or she was about to use (and did use) was necessary to suppress the riot?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peace officer believe that the force he or she was about to use (and did use) was not excessive having regard to the danger to be apprehended from the continuance of the riot?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the first question is "yes", did the peace officer have reasonable grounds for that belief?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the second question is "yes", did the peace officer have reasonable grounds for that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Justice Southin has provided additional guidance with respect to the process which is to be followed in answering these questions: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a case such as this, if the first two questions are answered "yes", the trial judge must proceed to the third and fourth questions. In so proceeding, he or she should be a doppelganger to the peace officer whose conduct is in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judge must go with the officer, at least from the time the officer first was sent to the place where the riot was in progress. I say "at least" because the peace officer's training, experience, the orders of the day given to him, are all part of what goes into the answer to the question of "reasonable grounds".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What a judge must not do in a case such as this is take into account in determining the issue of "reasonable grounds" what the person injured was in fact intending to do, nor the actual consequences of the force used, no matter how tragic.</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question in this case is not whether the appellant Hancock was wrong, but whether he lacked reason for his belief if, in fact, he held the belief the section requires as a foundation for his defence of justification.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Earlier, I spoke of the judge being a doppelganger. The question might be posed thus: Would the doppelganger, having also been through the tumult of the evening, as the appellant Hancock was about to fire, think to himself, "His firing is wrong and unnecessary and lacking in reason.", or "I wouldn't do it, but his doing it is not lacking in reason.", or, "I would do it too."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It is only in the first case that the defence under s. 32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Chief Justice McEachern, as he then was, in concurring reasons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 agree with Madam Justice Southin that the issue is whether a reasonable person standing in the position of the constable, who had the same responsibility as the officer to bring the riot to an end, and who was operating on the same data base as the officer acquired both in previous training and experience and from the dynamics of that evening including the need to rescue other officers, the need to use gas and other anti-riot devices, and who had previously shot a number of rioters without causing serious injury, could reasonably have concluded that it was a part of his responsibility to shoot the Plaintiff with an Arwen gun.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 The Events of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Early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Inspector James Chu gave evidence about the build up of the riot to the time of the critical events. He is now District Commander of District 4 for the VPD. In 1994 Inspector Chu was a patrol Sergeant in charge of a squad of 10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Game Six of the Stanley Cup series occurred on June 11, 1994. Inspector Chu was on duty that night. He testified that after the game a large crowd did congregate, mostly on Robson Street. Congestion reached the point that vehicle traffic was impeded for a time. The crowd, while boisterous, was well behaved. There were many families, couples, and small children. There were some problems with drinking but nothing that the officers on duty could not contend with. The CCU was available but was not called out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night of June 14, 1994, after Game Seven, proved to be a very different story. Inspector Chu was again on duty, and was assigned to the 1100 block of Robson Street. He and his squad members were equipped with ordinary patrol equipment, including soft hats and shirt sleeves or light jackets.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game ended at around 7:30 p.m. after which time crowds started to build up in the downtown area but in particular on Robson Street. More and more people crowded in until by around 8:15 p.m. the street in the vicinity of Robson and Thurlow was completely saturated with people. Vehicles could not pass. Inspector Chu began to become concerned as well about the behaviour of the crowd. Fights were breaking out. A vehicle was rocked. There was drinking. Objects were being thrown. The situation was becoming dangerous for both the police and for members of the crowd.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9:00 p.m. the intersection of Robson and Thurlow was completely full. Inspector Chu observed members of the crowd engaging in vandalism and dangerous behaviour. The crowd was becoming steadily more violent, its behaviour whipped up by the actions of certain instigators, such as one man who walked across the live wires, high above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approximately 10:00 p.m. Inspector Chu received a request for assistance from a member of the paramedic bicycle unit. A second man who had been attempting to walk across the live wires above the intersection had fallen and was injured. Inspector Chu and his squad escorted the paramedic through the crowd to assist. The crowd was unco-operative, grabbing and pushing at the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 ambulance was called to the scene. Inspector Chu and his officers tried to form a perimeter around the ambulance. Members of the crowd were trying to rock the ambulance, wrestling with police. The siren seemed to further agitate the crowd.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officers were completely surrounded by the crowd. Inspector Chu described a confusing and chaotic scene. He did not know where his officers were. It was hard to see and the radio was ineffective. Many objects were being thrown. At the point when the ambulance left, the crowd was completely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this point Inspector Chu concluded that it would be necessary to move into the crowd to create a perimeter. The crowd was moved back and the intersection cleared. At this time the CCU arrived on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Richard Stevens is a retired member of the VPD. In June 1994, Mr. Stevens held the rank of Inspector. He was in charge of District 3 and the CCU. The CCU had been formed in 1993 in contemplation of the Clinton/Yeltsin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CCU, which consisted of thirty-eight officers together with a ten constable arrest team, had gathered at 4:00 p.m. on June 14, 1994. CCU members were equipped with helmets, fireproof coveralls, heavy boots, armored vests, shin and elbow pads, gas masks, clear shields and batons. They did not carry firearms.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Several members of the ERT, including Constable Hancock, were assigned to the unit to provide arms support, to assist in suppressing the riot and to protect the members of the CCU. The ERT was a tactical support group with special skills and training to deal with high risk situations. ERT members were equipped with helmets, gas masks and sidearms. Constable Hancock was equipped as well with the ARWEN, which was a weapon which fired a plastic baton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CCU remained at the Robson Square Media Centre for the early hours of the evening. While at the media centre, Inspector Stevens instructed ERT members that they were to seek instructions with respect to the use of the ARWEN at the scene. It was to be used on ringleaders and people who were throwing objects. Once permission was given at the scene for the weapon to be used, it could be used at the individual officer's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9:45 p.m. the CCU was advised that the situation on Robson was deteriorating and to prepare to move out. The order to move out came at 10:09 p.m. The CCU was to proceed to the intersection of Robson and Thurlow.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Robson and Thurlow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CCU formed into a V formation at Thurlow Street. It encountered resistance. People were throwing rocks and bottles. The officers used pepper spray to push the crowd back. Constable Hancock has described in addition, an aggressive crowd following behind the CCU as it progressed down Thurlow, such that he walked backwards, to protect the rear of the CCU as the unit progressed.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intersection was clear when the CCU arrived, as a result of the actions taken by Inspector Chu and his officers. A huge crowd remained, continuing to throw objects. There were individuals running in front of the crowd taunting and agitating. Inspector Stevens made the decision to form into two lines to take control of the intersection. The crowd moved back some distance but continued to throw objects. Inspector Stevens advised the dispatcher that gas would have to be deployed, and received the instruction to use the gas at his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officers did not have their gas masks on. Smoke was deployed to push the crowd back in order to enable the members to put on their masks. During the time it took to put the masks on, the officers were defenceless. At this point a member of the ERT asked Inspector Stevens for permission to use the ARWEN, and permission was given. Inspector Stevens described the situation at this point. There was tremendous noise. Bottles, rocks and other objects were thrown, glass smashing. People in front of the crowd were yelling, screaming, taunting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Constable Hancock was moving back and forth looking for agitators and threats. The plaintiff came to his attention. He was in front of the crowd, extremely aggressive, angry, in a fighting stance. He threw, at one point, a stick at the CCU and at another point, a bottle of liquid. He was brandishing a large screwdriver. Constable Hancock concluded that Mr. Berntt was acting as a ringleader, encouraging the crowd to greater violence by his actions. He observed the plaintiff moving toward an officer, in his words, "attempting to engage" the officer. He spit at the officer. Constable Hancock decided that Mr. Berntt needed to be dealt with and shot him in the back with the ARWEN at a distance of 20 to 30 feet. The time was approximately 10:21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Robson and Bute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CCU was now split into two at the intersection. Shortly after the plaintiff was shot for the first time, one half of the unit began to move down Robson toward Bute. It was at Bute that the plaintiff was shot again, with such tragic consequences, approximately 20 minutes after being shot for the first time at Thurlow.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One of the major factual issues in the case concerns the plaintiff's conduct from the time that he left the Thurlow intersection until the time of the second shot. The evidence given with respect to this issue is set out below.</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testified that, just before he was struck for the first time at Thurlow, he was "just looking at everybody to see what they were doing." He recalls being hit in the back and falling down, falling down again and then crawling. Smoke was all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recalled that he went to a café and tried to get in but the people inside wouldn't let him in. He then went to the ambulance at Robson and a cross street that we know to be Jervis. He was going to go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received some attention at the ambulance. At that point he decided to go back to show his bruised back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stated that he went back to Bute and Robson, lifted his shirt once to show the police the welt on his back. He said that he only raised his shirt once and only the back, not the front. He was swearing at the police. Then he recalled walking back to the crowd, lifting his backpack. He said that he was on his way home. He heard a noise, turned his head, and next remembers waking in the hospital, unable to move or speak.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does not recall having a screwdriver that night. His evidence was that people have told him that he was carrying a screwdriver but he doesn't remember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Although the plaintiff testified that he left the scene at Thurlow immediately after being shot, in fact the video marked as Exhibit 2 shows that he was still hanging around and confronting the police after he was shot.</w:t>
      </w:r>
      <w:r>
        <w:rPr>
          <w:rFonts w:ascii="arial" w:eastAsia="arial" w:hAnsi="arial" w:cs="arial"/>
          <w:sz w:val="20"/>
          <w:lang w:val="en-US" w:eastAsia="en-US" w:bidi="ar-SA"/>
        </w:rPr>
        <w:cr/>
      </w:r>
    </w:p>
    <w:p>
      <w:pPr>
        <w:numPr>
          <w:numId w:val="1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Stevens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Richard Stevens testified that, when the CCU reached the intersection of Bute and Robson, it stalled. There was no way to hold the intersection; the crowd could have come in from behind the unit. Moreover, the CCU was running low on gas. When the unit first arrived the crowd retreated approximately half a block, with only a few individuals between the unit and the crowd. When the CCU stopped, however, the crowd returned. Objects continued to be thrown. He was concerned about the safety of the members of his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His evidence was that he saw a male in a dark shirt between the CCU and the crowd pulling up his shirt and showing a welt the size of a tennis ball on this back. He next heard that someone was down. The injured party was the plaintiff.</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Ditchfield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Peter Ditchfield currently serves as the Deputy Chief Officer of the Organized Crime Agency of B.C. In June 1994, he was a member of the VPD, with the rank of Staff Sergeant. He was serving with the CCU and was the NCO in charge of the CCU squad that progressed from Thurlow to Bute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Deputy Chief Ditchfield testified that the plaintiff was a prominent figure, from the very start, at Robson and Thurlow, to the intersection with Bute. Mr. Berntt was inciting others by example. His conduct was an encouragement for others to take a more aggressive role in the riot. He observed Mr. Berntt running back and forth, inciting the crowd.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recalled that at the intersection with Bute the CCU was halted for a time. They were low on gas. Objects were being thrown from the north and south and from the roofs of the buildings to the side. He recalled seeing the plaintiff back in front of the crowd. Then Deputy Chief Ditchfield was hit by a bottle which smashed off his face shield and cracked his helmet. He was knocked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his attention was next drawn to the plaintiff, he was down, having been hit. Deputy Chief Ditchfield called for an ambulance and ordered his unit to push back the crowd so that assistance could be given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Thus, although Deputy Chief Ditchfield was scanning the crowd at Bute, conducting a threat assessment, it was only after the plaintiff was shot that he clearly recalls seeing him at Bute.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Counsel for the plaintiff submits that Deputy Chief Ditchfield is mistaken in his recollection of the plaintiff as having played a prominent role in the riot between Thurlow and Bute. He submits that, consistent with the plaintiff's evidence, the plaintiff left after the first shot, returning briefly and only as described in the plaintiff's evidence.</w:t>
      </w:r>
      <w:r>
        <w:rPr>
          <w:rFonts w:ascii="arial" w:eastAsia="arial" w:hAnsi="arial" w:cs="arial"/>
          <w:sz w:val="20"/>
          <w:lang w:val="en-US" w:eastAsia="en-US" w:bidi="ar-SA"/>
        </w:rPr>
        <w:cr/>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Hancock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Constable Hancock does not recall seeing the plaintiff while the CCU was moving down Robson Street between Thurlow and Bute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Constable Hancock also testified that the unit came to a temporary halt at the intersection of Robson and Bute. They were running low on gas. At that point the crowd turned and moved back toward the CCU. In Constable Hancock's experience, this was very unusual behavior.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To the north, a bread van was being used as cover and members of the crowd were throwing objects at the CCU from behind the van. Others were throwing objects from the roofs of buildings along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Constable Hancock recalls the plaintiff coming up from the northwest from beyond the bread van, moving in a southeasterly direction. He taunted the officers, swearing. He pulled up his shirt, pushed forward his abdomen so that the screwdriver in the front of his pants could be seen. They locked eyes. The plaintiff began to dance around, bobbing and weaving. He taunted the officers to shoot him again. He was in a state of rage. Constable Hancock brought the ARWEN up to the low ready. He recalls that he pointed at the plaintiff, motioning him away three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Berntt did not leave, he continued to bob and weave. He then pulled up his shirt and turned so that the mark left by the ARWEN could be seen. The plaintiff swore at the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Berntt then moved into the crowd in the northwest corner of Bute. He then made his way out to the front of the crowd in front of the CCU, confronting them. He turned, walked back into the crowd and stopped. Constable Hancock had determined that action must be taken. He followed the plaintiff in the sights of the ARWEN. The plaintiff stopped. At that point the plaintiff was standing. Constable Hancock initiated the two stage firing action. His evidence is that he aimed at the right side below the deltoid in the centre of the body mass. The plaintiff was 50 to 60 feet away. He saw the plaintiff in a crouched position when the baton struck him. The plaintiff fell to the ground where he lay in a fetal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for the plaintiff submits that Constable Hancock's evidence about the plaintiff's conduct when he first appeared on the scene at Bute Street is a fabrication.</w:t>
      </w:r>
      <w:r>
        <w:rPr>
          <w:rFonts w:ascii="arial" w:eastAsia="arial" w:hAnsi="arial" w:cs="arial"/>
          <w:sz w:val="20"/>
          <w:lang w:val="en-US" w:eastAsia="en-US" w:bidi="ar-SA"/>
        </w:rPr>
        <w:cr/>
      </w:r>
    </w:p>
    <w:p>
      <w:pPr>
        <w:numPr>
          <w:numId w:val="1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Halloway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Halloway is a paramedic who has served in the greater Vancouver area for the past 24 years. He was on duty on the night of June 14, 1994. He had been in one of the units which attended at Thurlow to assist the man who had fallen from the wire. His unit later moved to the 700 block Jervis to set up a medical post. There were many people coming for treatment, particularly in the wake of the use of the gas to disperse the crowd.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approached his unit for treatment for his back. He had, upon examination, a round red welt on his right flank above his belt, mid-way between the shoulder and belt and mid-way between the spine and the side, about 4 to 6 inches above the kidneys. The plaintiff was angry and upset, swearing. He told Mr. Halloway that he wanted to go to the hospital. Mr. Halloway assessed his condition, concluded that he did not need to go to the hospital and advised the plaintiff to go home, but to return to his family doctors or call 911 if his symptoms changed for the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unit received a request about 30 to 40 minutes later to attend someone who had just been shot. The ambulance responded and drove back to Robson and Bute, encountering resistance and difficulty on the way with things being thrown at the ambulance and people everywhere. They stopped at a line of police and got out to treat the victim who turned out to be the plaintiff. The plaintiff was unconscious. He had no muscle tone and was in a stage 3 coma on the Glascow scale (the most profound coma). He had an open wound on the side of his head which was leaking blood, fluid and brain matter. As the crew turned him over to examine him, Mr. Halloway observed a large screwdriver with approximately a 4 inch handle and a 10 inch blade, in the front of his pants. They then rushed the plaintiff, together with a police officer who was suffering from a large arterial bleed, to hospital.</w:t>
      </w:r>
      <w:r>
        <w:rPr>
          <w:rFonts w:ascii="arial" w:eastAsia="arial" w:hAnsi="arial" w:cs="arial"/>
          <w:sz w:val="20"/>
          <w:lang w:val="en-US" w:eastAsia="en-US" w:bidi="ar-SA"/>
        </w:rPr>
        <w:cr/>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Numerous videos were put into evidence in this trial. Exhibit 1 shows the plaintiff at Bute and Robson from 10:39 p.m., at which point the plaintiff is in the crowd at the northwest corner of Robson and Bute. When first seen on the video, Mr. Berntt joins the crowd. At one point, shortly thereafter, he raises his shirt to show his back to the crowd. He stays in the body of the crowd at the corner until 10:42 when he moves close to the CCU line, between the line and the crowd and raises his shirt again. He can be seen yelling at the police. He then turns and raises his pack. He is shot and falls. We see him next laying on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camera was not focused on the area along Bute near the bread van, which is the area where Constable Hancock testified that he first saw the plaintiff at Bute, and where he said the plaintiff engaged in taunting, swearing and displaying the screwdriver. The video provides no evidence with respect to the plaintiff's prior presence and activities at Bute, if any, nor to the plaintiff's presence along Robson between Thurlow and Bute. Thus, it cannot resolve the conflict in evidence between the plaintiff's account of his activities at Bute and that of Constable Hancock and Deputy Chief Ditchfield.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video does show that the crowd had been pressed a distance back when the CCU arrived at the Bute intersection. The crowd could still be heard, along with the sounds of breaking glass. As the CCU is stalled at the intersection, the crowd can be seen to return and reform. There are large numbers of young men, drinking and yelling. The sounds of breaking glass continue. It is clear that objects are being thrown at the police. This activity appears to be escalating. One officer is hit shortly before the plaintiff is shot. This is all consistent with the evidence of the police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also shows that Mr. Berntt did not simply return to the police, show his back and attempt to leave. On the video he clearly returns, joins in the crowd, shows his back to the crowd and waits for several minutes before approaching the CCU line to show his back and swear at police.</w:t>
      </w:r>
      <w:r>
        <w:rPr>
          <w:rFonts w:ascii="arial" w:eastAsia="arial" w:hAnsi="arial" w:cs="arial"/>
          <w:sz w:val="20"/>
          <w:lang w:val="en-US" w:eastAsia="en-US" w:bidi="ar-SA"/>
        </w:rPr>
        <w:cr/>
      </w:r>
    </w:p>
    <w:p>
      <w:pPr>
        <w:numPr>
          <w:numId w:val="1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This new trial occurred seven years after the events. Those events took place in an atmosphere of confusion, disorder, danger and heightened emotion. Between the criminal proceedings and the previous trial of this matter, the witnesses have given evidence numerous times. Moreover, they have viewed the video recordings of the events of the evening, often several times. In these circumstances, it is not surprising that inconsistencies appear, memory fades and becomes subject to some distortion.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view, the plaintiff was an honest witness who was trying his best to give a truthful and accurate account of the evening. However, I concluded that his evidence is unreliable; that unreliability, I suspect, in large part, a product of the injury that he suffered. In particular, I note the plaintiff's testimony that he does not recall having or brandishing a screwdriver that evening, although people have told him that he did so. It is clear that the plaintiff did have and brandish a screwdriver that night. That much is plain on the videos. The fact that the plaintiff testified that he did not remember in spite of what is recorded on the videos, is a sign of his honest effort to recount his recollection. It is, however, equally a sign that important aspects of the events of that evening are not preserved in his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only other witness to the conduct at issue at Bute prior to 10:39 p.m. is Constable Hancock. Constable Hancock was subjected to a lengthy and relentless cross-examination. Counsel identified discrepancies in his evidence between testimony given in this trial and that given on prior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However, the discrepancies identified did not amount, for the most part, to more than would be expected given the time that has passed and the number of times he has given evidence. I found them to represent the normal discrepancies or imprecisions one would expect to emerge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constable's evidence was consistent with what is recorded in the video recording marked as exhibits in these proceedings. It is largely consistent with the evidence of the other officers, although, as one would expect, given the different roles and different placements, each witness' evidence is distinct.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Constable Hancock's account is in harmony with what is undisputed with respect to the plaintiff's conduct both earlier at Thurlow and in the later confrontation, immediately prior to the second shot, which was captured on video. Moreover, the constable testified that he observed the screwdriver in the front of the plaintiff's pants. This is consistent with the observations of Mr. Halloway that the plaintiff did indeed have the screwdriver tucked into his 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His evidence given in earlier proceedings either did not refer to or did not emphasize the evidence that the plaintiff moved into the crowd at the northwest corner of Robson &amp; Bute. For example, he earlier testified that the plaintiff moved into the crowd; that he moved into the intersection. The suggestion was made by plaintiff's counsel that this evidence was given to bring his description of events into conformity with the movements which appear on the video recordings.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do not rule out the possibility that viewing the videos might influence or modify the recollection of a witness. However, in this case I find that, although the constable's evidence is now more fully consistent with the movements recorded on video, the discrepancies between this testimony and earlier testimony are minimal and not such as to undermine the essential reliability of the evidence. Moreover, the constable did not testify with respect to some conduct of the plaintiff at Bute which is captured in the video. This is consistent with the constable relying upon his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Most troublesome was his evidence given in this trial that he was speculating in several instances in his evidence in earlier proceedings, particularly with respect to evidence concerning the plaintiff's posture and change of posture when shot for the second time. In none of those former instances did Constable Hancock say that his evidence was mere speculation. He is, and was an experienced officer who must be well aware of the difference between recollection and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end, however, I accept that Constable Hancock is an honest witness and have concluded that his evidence is a substantially reliable account of the plaintiff's conduct at Bute Street. I find that the plaintiff did engage at Bute Street in the conduct described by Constable Hancock.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Section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first matter to be addressed is a finding that a riot was occurring such that the section is engaged. The fact that a riot, within the meaning of the Code, was occurring, was admitted at trial. It was, in any event, clear from the evidence that a riot was occurring prior to and at the time that Mr. Berntt was shot for the second time. Indeed, the riot continued for some time after that shot was fired.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Question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peace officer believe that the force he or she was about to use (and did use) was necessary to suppress the riot?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Constable Hancock testified that he decided that the plaintiff must be removed from the scene at Bute because he was combative, armed with a dangerous edged weapon, acting as a ringleader or agitator and because he was intent upon inflaming the situation and escalating the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his view, intensity of the situation at the intersection was building. The violence was growing. The danger was severe. He felt that it was imperative that the plaintiff not be allowed to inflame the situation further. The mass and hostility of the crowd took away the option of closing in on the plaintiff. He fired the round to de-escalate the riot by persuading the plaintiff to leave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that at the time Constable Hancock determined to fire the ARWEN at the plaintiff for the second time, he did believe that the force he was about to use was necessary to suppress the riot.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Question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peace officer believe that the force he or she was about to use (and did use) was not excessive having regard to the danger to be apprehended from the continuance of the riot?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first issue which must be addressed is what was the force Constable Hancock intended to use. Plaintiff's counsel has submitted that Constable Hancock intended to shoot the plaintiff in the head. Clearly, if that was in fact the constable's intention, the answer must be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Constable Hancock was aware that the ARWEN had a lethal capability. He had been trained to avoid sensitive parts of the body, most notably the head. He was aware of the potential danger of a shot with the ARWEN baton to the head, particularly at short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Counsel relies upon the expert opinion evidence of Dr. Arthur Chapman, a professor of kinesiology. The thrust of Dr. Chapman's opinion was that, given reaction time, the velocity of the ARWEN baton, and the speed at which a body falls, it would not have been possible for the plaintiff to move from a standing posture to a full crouch in reaction to the shot before being struck. I accept this opinion. I accept that there would not have been time for the plaintiff to see the ARWEN aimed at him and the shot taken, and then duck into a full crouch before being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video marked as Exhibit 6 in these proceedings, the Grummish video, together with the still photos taken from that video, Exhibits 7 to 9 inclusive, are also inconsistent with the plaintiff having dropped into a full crouch in response to the shot.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That being so, it does not follow that Constable Hancock intentionally aimed at the plaintiff's head. He emphatically denied any such intention and I accept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that Constable Hancock believed that the force that he intended to apply would leave a welt and a bruise and that he believed that the force was not excessive given the danger from the continuance of the riot.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Question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the answer to the first question is "yes", did the peace officer have reasonable grounds for that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conclude that there was a reasonable basis for the constable's belief. Constable Hancock's training and experience had taught him that in a crowd control or riot situation there will be certain agitators or ringleaders. These individuals influence the behaviour of the crowd, increasing the intensity and violence of the accused's behaviour. These individuals lead by example, encouraging through their behaviour, an escalation of violence. For a riot to be suppressed and a crowd dispersed it is necessary to remove such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had also learned that an individual armed with an edged weapon, anything which could be used in a similar fashion to a knife, was extremely dangerous in a crowd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These were themes that were consistent both in the training which the constable had received at the National Harbour Board, and with VPD, and in his experiences with crowd control situations. He had seen evidence that, once the agitators are removed, the violence and aggression de-escalates and the crowd disperses.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had shown himself at both Thurlow and Bute to be a ringleader or agitator, one of the people who must be removed from the scene if the riot is to be suppressed. He had engaged in unlawful acts. He had put himself out in front of the crowd, taunting and swearing at the police. He was armed with a dangerous screwdriver which he had brandished earlier in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Moreover, the scene at Bute was deteriorating. The crowd had turned and was closing back in on the CCU.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orders of the day and instructions given to Constable Hancock are consistent with the conclusion. At Robson and Thurlow, Deputy Chief Ditchfield had given blanket permission to Constable Hancock to use the ARWEN against targets as he considered appropriate. Earlier in the evening, Inspector Stevens had advised ERT members that the ARWEN was to be used that evening to provide firearm support to the CCU since its members did not carry firearms, and to target ringleaders who were inciting the riot and people who were throwing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Deputy Chief Ditchfield's testimony is further evidence in support of the conclusion that there was a reasonable basis for this belief. He testified that the plaintiff was, in his opinion, an appropriate target for the ARWEN. He was one of the people inciting others by example. His conduct was such that it was an encouragement for others to take a more aggressive role in the riot.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 too stressed the importance of removing the ringleaders or agitators who are inciting the crowd in order to suppress a riot. According to his training and experience, once the agitators are removed, the crowd will diffuse.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had behaved as an agitator or ring leader both at Thurlow and at Bute. His conduct made him a person who must be removed from the scene if the riot is to be suppressed. He had not left the scene. The riot was continuing and indeed the situation was deteriorating. Arrest was not an option. In the circumstances, I find that Constable Hancock's belief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Question Four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the answer to the second question is "yes", did the peace officer have reasonable grounds for that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find that Constable Hancock aimed the shot at the muscled area of Mr. Berntt's central body mass. His expectation, given his previous training, was that such a blow would have a force sufficient to cause a deep bruise. Earlier in the evening this in fact was the nature of the injury caused when Mr. Berntt was struck with the baton fired at a much closer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this point in the evening, the crowd was re-forming. The level of violence and aggression was increasing. Criminal activities continued. Objects were being thrown, creating a serious risk of injury to officers and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Just before the shot was taken, Deputy Chief Ditchfield was hit on his shield by a bottle with sufficient force to knock him off his feet. An officer was transported to hospital in the ambulance with Mr. Berntt suffering from a serious arterial bleed in the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Moreover, the CCU was running low on gas. The arrest team was not able to function. The option of taking Mr. Berntt into custody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Corporal Hancock's expectation with respect to the nature and expected consequences of the force he intended to apply was reasonable. His assessment of the danger to be apprehended from the continuance of the riot was also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Accordingly, in all of the circumstances, I conclude that there were reasonable grounds for the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summary, I have concluded that a reasonable person standing in the position of Constable Hancock, charged with his responsibility to bring the riot to an end, and who was operating on the same data base as Constable Hancock, could reasonably have concluded that it was part of his responsibility to shoot the plaintiff with the ARWEN. His choice to fire on the plaintiff was neither unnecessary nor lacking in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follows that the constable's actions were justified pursuant to s. 32. This is a complete defence, and accordingly, the plaintiff's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6"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2"/>
          <w:headerReference w:type="default" r:id="rId713"/>
          <w:footerReference w:type="even" r:id="rId714"/>
          <w:footerReference w:type="default" r:id="rId715"/>
          <w:headerReference w:type="first" r:id="rId716"/>
          <w:footerReference w:type="first" r:id="rId7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8" w:history="1">
        <w:r>
          <w:rPr>
            <w:rFonts w:ascii="arial" w:eastAsia="arial" w:hAnsi="arial" w:cs="arial"/>
            <w:b/>
            <w:bCs/>
            <w:i/>
            <w:color w:val="0077CC"/>
            <w:kern w:val="32"/>
            <w:sz w:val="28"/>
            <w:szCs w:val="32"/>
            <w:u w:val="single"/>
            <w:shd w:val="clear" w:color="auto" w:fill="FFFFFF"/>
            <w:lang w:val="en-US" w:eastAsia="en-US" w:bidi="ar-SA"/>
          </w:rPr>
          <w:t>Broman v. Machida Mack Shewchuk Meagher LLP, [2010] B.C.J. No. 1010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 Kloegman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VLC-S-S097557, S122746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1010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760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189 A.C.W.S. (3d) 702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1338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Lorne Broman, Plaintiff, and Machida Mack Shewchuk Meagher LLP, Joanie K. Nguyen, Timothy S. Meagher, Scarborough, Herman, Bluekens, G.W. Kent Scarborough and Scott M. Bluekens, Defendants, and Machida Mack Shewchuk Meagher LLP, Joanie K. Nguyen and Timothy S. Meagher, Third Parties And between Scarborough Herman Bluekens, Plaintiff, and Machida Mack Shewchuk Meagher LLP, Joanie K. Nguyen and Timothy S. Meagher,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7"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1" w:name="Keywords_20"/>
      <w:bookmarkEnd w:id="161"/>
      <w:r>
        <w:rPr>
          <w:rFonts w:ascii="arial" w:eastAsia="arial" w:hAnsi="arial" w:cs="arial"/>
          <w:b/>
          <w:color w:val="000000"/>
          <w:sz w:val="20"/>
          <w:lang w:val="en-US" w:eastAsia="en-US" w:bidi="ar-SA"/>
        </w:rPr>
        <w:t>Conflict of laws — Jurisdiction — Determination of — Real and substantial connection — Where the cause of action arose — Application by Machida Mack Shewchuk Meagher LLP (MM) for an order declining jurisdiction and transferring the proceedings to Alberta allowed — The plaintiff hired the British Columbian lawyers Scarborough Herman Bluekens (SHB) — SHB retained MM to prosecute the plaintiff's claim regarding an accident in Calgary, Alberta — The plaintiff alleged the defendant lawyers were negligent — All the legal work performed by MM, including the drafting and filing of the allegedly deficient statement of claim, occurred in Alberta — There was nothing to suggest SHB was liable to the plaintiff except vicariously for any negligent conduct of MM — Rules of Court, Rule 14(6) — Uniform Court Jurisdiction and Proceedings Transfer Act, s. 3(e), S. 10.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2" w:name="Case Summary_20"/>
            <w:bookmarkEnd w:id="1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Machida Mack Shewchuk Meagher LLP (MM) for orders setting aside writs of summons and third party notices against them in two actions, for a stay or dismissal of the actions against them on the ground of lack of jurisdiction or for an order declining jurisdiction and transferring both actions to Alberta. The plaintiff commenced two actions alleging the defendant lawyers in Alberta and British Columbia were liable to him for failing to provide proper legal services. The plaintiff hired the British Columbian lawyers Scarborough Herman Bluekens (SHB) to prosecute a claim against a driver that struck his vehicle in Calgary, Alberta. SHB retained MM, an Albertan law firm, to act as its agent in Alberta to file pleadings and assist SHB with carriage of the suit.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3" w:name="Holdings of Court_20"/>
            <w:bookmarkEnd w:id="16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proceedings were transferred to Alberta where they could be litigated together. All the legal work performed by MM, including the drafting and filing of the allegedly deficient statement of claim, occurred in Alberta. There was nothing to suggest SHB was liable to the plaintiff except vicariously for any negligent conduct of MM. The whole reason why MM was retained was because they were Albertan lawyers and everything about the plaintiff's case was connected to Alberta.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4" w:name="Legislation Cited_8"/>
      <w:bookmarkEnd w:id="1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8"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Limitations Act, </w:t>
      </w:r>
      <w:hyperlink r:id="rId719" w:history="1">
        <w:r>
          <w:rPr>
            <w:rFonts w:ascii="arial" w:eastAsia="arial" w:hAnsi="arial" w:cs="arial"/>
            <w:i/>
            <w:color w:val="0077CC"/>
            <w:sz w:val="20"/>
            <w:u w:val="single"/>
            <w:shd w:val="clear" w:color="auto" w:fill="FFFFFF"/>
            <w:lang w:val="en-US" w:eastAsia="en-US" w:bidi="ar-SA"/>
          </w:rPr>
          <w:t>R.S.A. 2000, c. L-12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Accident Claims Act, </w:t>
      </w:r>
      <w:hyperlink r:id="rId720" w:history="1">
        <w:r>
          <w:rPr>
            <w:rFonts w:ascii="arial" w:eastAsia="arial" w:hAnsi="arial" w:cs="arial"/>
            <w:i/>
            <w:color w:val="0077CC"/>
            <w:sz w:val="20"/>
            <w:u w:val="single"/>
            <w:shd w:val="clear" w:color="auto" w:fill="FFFFFF"/>
            <w:lang w:val="en-US" w:eastAsia="en-US" w:bidi="ar-SA"/>
          </w:rPr>
          <w:t>R.S.A. 2000, c. M-22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13(1)(h), Rule 13(1)(g), Rule 14(6)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Uniform Court Jurisdiction and Proceedings Transfer Act, </w:t>
      </w:r>
      <w:hyperlink r:id="rId721" w:history="1">
        <w:r>
          <w:rPr>
            <w:rFonts w:ascii="arial" w:eastAsia="arial" w:hAnsi="arial" w:cs="arial"/>
            <w:i/>
            <w:color w:val="0077CC"/>
            <w:sz w:val="20"/>
            <w:u w:val="single"/>
            <w:shd w:val="clear" w:color="auto" w:fill="FFFFFF"/>
            <w:lang w:val="en-US" w:eastAsia="en-US" w:bidi="ar-SA"/>
          </w:rPr>
          <w:t>S.B.C. 2003 c. 28, s. 3</w:t>
        </w:r>
      </w:hyperlink>
      <w:r>
        <w:rPr>
          <w:rFonts w:ascii="arial" w:eastAsia="arial" w:hAnsi="arial" w:cs="arial"/>
          <w:color w:val="000000"/>
          <w:sz w:val="20"/>
          <w:lang w:val="en-US" w:eastAsia="en-US" w:bidi="ar-SA"/>
        </w:rPr>
        <w:t>(e), s. 6, S. 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5" w:name="Counsel_28"/>
      <w:bookmarkEnd w:id="1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9"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Broman: C.A. McTavish.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Scarborough Herman Bluekens: S.G. Herman.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Machida Mack Shewchuk Meagher LLP, Joanie K. Nguyen and Timothy S. Meagher: C. Ferris, N. Ellegood.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Scarborough, Herman, Bluekens, G.W. Kent Scarborough and Scott M. Bluekens: V.G. Critchley.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6" w:name="Judgment_26"/>
      <w:bookmarkEnd w:id="166"/>
      <w:r>
        <w:pict>
          <v:line id="_x0000_s1150"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7" w:name="D. KLOEGMAN J."/>
            <w:bookmarkEnd w:id="167"/>
            <w:r>
              <w:rPr>
                <w:rFonts w:ascii="arial" w:eastAsia="arial" w:hAnsi="arial" w:cs="arial"/>
                <w:b/>
                <w:color w:val="000000"/>
                <w:sz w:val="30"/>
                <w:lang w:val="en-US" w:eastAsia="en-US" w:bidi="ar-SA"/>
              </w:rPr>
              <w:t>D. KLOEGMAN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April 12, 2004, Mr. Broman suffered injuries in a motor vehicle accident that occurred in Calgary, Alberta. Mr. Broman was and is a resident of British Columbia. Mr. Broman hired the British Columbian lawyers Scarborough Herman Bluekens ("SHB") to prosecute a claim on his behalf against Mr. Curr, the Albertan driver that struck him. SHB advised Mr. Broman to commence an action in Alberta, and SHB retained Machida Mack Shewchuk Meagher LLP ("MM"), an Albertan law firm, to act as its agent in Alberta to file pleadings and assist SHB with carriage of the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and third parties, Joanie K. Nguyen and Timothy S. Meagher, were lawyers in the firm of MM who worked on the case. I will refer to them and their firm collectively as MM. The defendants G. W. Kent Scarborough and Scott M. Bluekens were lawyers in the firm of SHB who worked on the case. I will refer to them and their firm collectively as SHB.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allegation of Mr. Broman is that all the lawyers, British Columbian and Albertan, are liable to him for failure to provide proper legal services. This allegation arises out of the fact that when Ms. Nguyen drafted and filed the statement of claim in Alberta, she omitted to include as a defendant the lessor of the vehicle that struck Mr. Broman. The driver of the vehicle, Mr. Curr, turned out to be an uninsured motorist, and the only realistic possibility Mr. Broman had to collect on a judgment was to claim against the Motor Vehicle Accident Claims Fund (the "Fund") pursuant to the </w:t>
      </w:r>
      <w:r>
        <w:rPr>
          <w:rFonts w:ascii="arial" w:eastAsia="arial" w:hAnsi="arial" w:cs="arial"/>
          <w:i/>
          <w:color w:val="000000"/>
          <w:sz w:val="20"/>
          <w:lang w:val="en-US" w:eastAsia="en-US" w:bidi="ar-SA"/>
        </w:rPr>
        <w:t>Motor Vehicle Accident Claims Act</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R.S.A. 2000, c. M-22</w:t>
        </w:r>
      </w:hyperlink>
      <w:r>
        <w:rPr>
          <w:rFonts w:ascii="arial" w:eastAsia="arial" w:hAnsi="arial" w:cs="arial"/>
          <w:color w:val="000000"/>
          <w:sz w:val="20"/>
          <w:lang w:val="en-US" w:eastAsia="en-US" w:bidi="ar-SA"/>
        </w:rPr>
        <w:t xml:space="preserve"> in Alberta. The Administrator of the Fund refused Mr. Broman's claim because the lessor, GMAC, was a party able to pay Mr. Broman's claim but had not been made a party to the action. By this time Mr. Broman was barred by the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R.S.A. 2000, c. L-12</w:t>
        </w:r>
      </w:hyperlink>
      <w:r>
        <w:rPr>
          <w:rFonts w:ascii="arial" w:eastAsia="arial" w:hAnsi="arial" w:cs="arial"/>
          <w:color w:val="000000"/>
          <w:sz w:val="20"/>
          <w:lang w:val="en-US" w:eastAsia="en-US" w:bidi="ar-SA"/>
        </w:rPr>
        <w:t>, from suing GMAC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Broman commenced action S097557 in Vancouver against MM and SHB. SHB in the Vancouver action commenced third party proceedings against 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addition, SHB commenced action number S122746 in New Westminster, naming MM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MM bring this application in both the Vancouver Action and New Westminster Action for orders setting aside the writs of summons (the "Writs") and third party notice served on them; or, alternatively for a stay or dismissal of the actions as against them on the ground of lack of jurisdiction; or, in the further alternative, an order declining jurisdiction and transferring both actions to the Alberta Court of Queen's Bench, Calgary Registry. Mr. Broman and SHB oppose the 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Servis </w:t>
      </w:r>
      <w:r>
        <w:rPr>
          <w:rFonts w:ascii="arial" w:eastAsia="arial" w:hAnsi="arial" w:cs="arial"/>
          <w:b/>
          <w:i/>
          <w:color w:val="000000"/>
          <w:sz w:val="20"/>
          <w:u w:val="single"/>
          <w:lang w:val="en-US" w:eastAsia="en-US" w:bidi="ar-SA"/>
        </w:rPr>
        <w:t>Ex Juris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There is no doubt that the Writs in both actions were served improperly on MM. For some reason, which was never made clear to me, the Writs state that they were served without order pursuant to Rules 13(1)(h) and 13(1)(g)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These subrules were repealed on May 4, 2006, and therefore had not existed for over three years prior to service of the Writs in these actions. Rule 13 now states that service on out of province parties is governed by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(the "CJPTA"). In particular, service </w:t>
      </w:r>
      <w:r>
        <w:rPr>
          <w:rFonts w:ascii="arial" w:eastAsia="arial" w:hAnsi="arial" w:cs="arial"/>
          <w:i/>
          <w:color w:val="000000"/>
          <w:sz w:val="20"/>
          <w:lang w:val="en-US" w:eastAsia="en-US" w:bidi="ar-SA"/>
        </w:rPr>
        <w:t>ex juris</w:t>
      </w:r>
      <w:r>
        <w:rPr>
          <w:rFonts w:ascii="arial" w:eastAsia="arial" w:hAnsi="arial" w:cs="arial"/>
          <w:color w:val="000000"/>
          <w:sz w:val="20"/>
          <w:lang w:val="en-US" w:eastAsia="en-US" w:bidi="ar-SA"/>
        </w:rPr>
        <w:t xml:space="preserve"> without leave is only permitted where the circumstances fit within the enumerated subsections of s. 10 of the CJPTA, and the writ is endorsed with a description of the circumstances for which it is claimed that service is permitted. The CJPTA provides other means by which the territorial competence of this court can be assumed, but an order granting leave is required before writs issued under these provisions can be served outside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However, not much turns on the invalid service of the Writs. If this court were able to and chose to establish territorial competence over the proceedings, I would allow the defendants to amend the endorsement on the Writs accordingly and re-serve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Territorial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real issue is whether this court has territorial competence over the Albertan defendants MM, and if so, whether this court should decline jurisdiction in favour of the Alberta Court of Queen's Bench.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British Columbian Court has territorial jurisdiction over a proceeding if the defendant consents, or is ordinarily resident in the province, or if there is a real and substantial connection between British Columbia and the facts on which the proceeding is based. As the Albertan defendants in both the Vancouver and New Westminster actions neither consent, nor are ordinarily resident in British Columbia, Mr. Broman and SHB must bring their respective claims against them on the basis of a real and substantial connection with British Columbia. They can do so, if they fall within one of the following provisions of the CJPTA:</w:t>
      </w:r>
      <w:r>
        <w:rPr>
          <w:rFonts w:ascii="arial" w:eastAsia="arial" w:hAnsi="arial" w:cs="arial"/>
          <w:sz w:val="20"/>
          <w:lang w:val="en-US" w:eastAsia="en-US" w:bidi="ar-SA"/>
        </w:rPr>
        <w:cr/>
      </w:r>
    </w:p>
    <w:p>
      <w:pPr>
        <w:numPr>
          <w:numId w:val="2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enumerated circumstances of s. 10;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parameters of the introductory words of s. 10; or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wording of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addition, s. 6 of the CJPTA allows a British Columbia Court to assume jurisdiction even though it lacks territorial competence, if there is no other court available, or if commencement of an action elsewhere cannot be reasonably required.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Section 10(a)-(l)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introductory comments of the Uniform Law Conference of Canada in the "</w:t>
      </w:r>
      <w:r>
        <w:rPr>
          <w:rFonts w:ascii="arial" w:eastAsia="arial" w:hAnsi="arial" w:cs="arial"/>
          <w:i/>
          <w:color w:val="000000"/>
          <w:sz w:val="20"/>
          <w:lang w:val="en-US" w:eastAsia="en-US" w:bidi="ar-SA"/>
        </w:rPr>
        <w:t>Uniform Court Jurisdiction and Proceedings Transfer Act</w:t>
      </w:r>
      <w:r>
        <w:rPr>
          <w:rFonts w:ascii="arial" w:eastAsia="arial" w:hAnsi="arial" w:cs="arial"/>
          <w:color w:val="000000"/>
          <w:sz w:val="20"/>
          <w:lang w:val="en-US" w:eastAsia="en-US" w:bidi="ar-SA"/>
        </w:rPr>
        <w:t xml:space="preserve">", which act was enacted by British Columbia as the CJPTA, were cited and relied upon by the British Columbia Court of Appeal in </w:t>
      </w:r>
      <w:r>
        <w:rPr>
          <w:rFonts w:ascii="arial" w:eastAsia="arial" w:hAnsi="arial" w:cs="arial"/>
          <w:i/>
          <w:color w:val="000000"/>
          <w:sz w:val="20"/>
          <w:lang w:val="en-US" w:eastAsia="en-US" w:bidi="ar-SA"/>
        </w:rPr>
        <w:t>Stanway v. Wyeth Pharmaceuticals Inc.</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2009 BCCA 592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At para. 16 of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the court quoted the comments of the Uniform Law Conference of Canada explaining the purpose of s.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Instead of having to show in each case that a real and substantial connection exists, plaintiffs will be able, in the great majority of cases, to rely on one of the presumptions in section 10. These are based on the grounds for service ex juris in the rules of court in many provinces. If the defined connection with the enacting jurisdiction exits, it is presumed to be sufficient to establish territorial competence under paragraph 3(e).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defendant will still have the right to rebut the presumption by showing that, in the facts of the particular case, the defined connection is not real and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Smith, J.A., writing for the British Columbia Court of Appeal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stated further at para. 22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presumption of a real and substantial connection in s. 10 is a mandatory presumption with basic facts. The basic facts are those set out in s. 10(a) through (l), which are taken to be proven if they are pleaded. While the presumption is rebuttable, it is likely to be determinative in almost all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Hence, a plaintiff coming within the presumed real and substantial connection to British Columbia is able to serve a writ </w:t>
      </w:r>
      <w:r>
        <w:rPr>
          <w:rFonts w:ascii="arial" w:eastAsia="arial" w:hAnsi="arial" w:cs="arial"/>
          <w:i/>
          <w:color w:val="000000"/>
          <w:sz w:val="20"/>
          <w:lang w:val="en-US" w:eastAsia="en-US" w:bidi="ar-SA"/>
        </w:rPr>
        <w:t>ex juris</w:t>
      </w:r>
      <w:r>
        <w:rPr>
          <w:rFonts w:ascii="arial" w:eastAsia="arial" w:hAnsi="arial" w:cs="arial"/>
          <w:color w:val="000000"/>
          <w:sz w:val="20"/>
          <w:lang w:val="en-US" w:eastAsia="en-US" w:bidi="ar-SA"/>
        </w:rPr>
        <w:t xml:space="preserve"> without leave of the court. However, as stated above, the presumption is a rebuttable one, and a defendant can apply under Rule 14(6) to strike out a pleading, or dismiss or stay a proceeding on the ground of lack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written submissions of the respective British Columbian parties all state that they are not proceeding by way of s. 10(a) - (l) of the CJPTA, but rather s. 3(e) and the preamble to s. 10. Therefore the onus is on them to prove a real and substantial connection to British Columbia, and to obtain leave of this court to serve the Writs </w:t>
      </w:r>
      <w:r>
        <w:rPr>
          <w:rFonts w:ascii="arial" w:eastAsia="arial" w:hAnsi="arial" w:cs="arial"/>
          <w:i/>
          <w:color w:val="000000"/>
          <w:sz w:val="20"/>
          <w:lang w:val="en-US" w:eastAsia="en-US" w:bidi="ar-SA"/>
        </w:rPr>
        <w:t>ex juris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Section 3(e) Real and Substantial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Uniform Law Conference of Canada commented that the intent of s. 3(e) of the Act was to ensure that all judgments would be based on the exercise of the "properly restrained jurisdiction" that would warrant their recognition in other Canadian jurisdictions.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(e) replaces the existing rules, in the common law provinces, relating to service ex juris. Territorial competence will depend, not on whether a defendant can be served ex juris under rules of court, but on whether there is, substantively, a real and substantial connection between the enacting jurisdiction and the facts on which the proceeding in question is based. This provision would bring the law on jurisdiction into line with the concept of "properly restrained jurisdiction" that the Supreme Court of Canada, in </w:t>
      </w:r>
      <w:r>
        <w:rPr>
          <w:rFonts w:ascii="arial" w:eastAsia="arial" w:hAnsi="arial" w:cs="arial"/>
          <w:i/>
          <w:color w:val="000000"/>
          <w:sz w:val="20"/>
          <w:lang w:val="en-US" w:eastAsia="en-US" w:bidi="ar-SA"/>
        </w:rPr>
        <w:t>Morguard Investments Ltd. v. De Savoye</w:t>
      </w:r>
      <w:r>
        <w:rPr>
          <w:rFonts w:ascii="arial" w:eastAsia="arial" w:hAnsi="arial" w:cs="arial"/>
          <w:color w:val="000000"/>
          <w:sz w:val="20"/>
          <w:lang w:val="en-US" w:eastAsia="en-US" w:bidi="ar-SA"/>
        </w:rPr>
        <w:t xml:space="preserve"> (1990), held was a precondition for the recognition and enforcement of a default judgment throughout Canada. The "real and substantial connection" criterion is therefore an essential complement to the uniform Enforcement of Canadian Judgments Act, which requires all Canadian judgments to be enforced without recourse to any jurisdictional test. The present Act, if adopted, will ensure that all judgments will satisfy the Supreme Court's criterion of "properly restrained" jurisdiction, which the court laid down as the indispensable requirement for a judgment to be entitled to recognition at common law throughout Canada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Broman submits that there is a real and substantial connection between British Columbia and his claim against MM and SHB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these factors: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territorial competence over SHB and him because they all reside in British Columbia.</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MM were the agents of SHB. SHB is liable to Mr. Broman for the actions of MM and SHB blames MM wholly for the error that gives rise to Mr. Broman's claim. (Although counsel did not express it this way, I think his position could be put fairly that SHB and MM were joint tort feasors who did harm to him in British Columbia).</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dispute between SHB and MM is inexorably linked and cannot be separated from Mr. Broman's </w:t>
      </w:r>
      <w:r>
        <w:rPr>
          <w:rFonts w:ascii="arial" w:eastAsia="arial" w:hAnsi="arial" w:cs="arial"/>
          <w:i/>
          <w:color w:val="000000"/>
          <w:sz w:val="20"/>
          <w:lang w:val="en-US" w:eastAsia="en-US" w:bidi="ar-SA"/>
        </w:rPr>
        <w:t>in juris</w:t>
      </w:r>
      <w:r>
        <w:rPr>
          <w:rFonts w:ascii="arial" w:eastAsia="arial" w:hAnsi="arial" w:cs="arial"/>
          <w:color w:val="000000"/>
          <w:sz w:val="20"/>
          <w:lang w:val="en-US" w:eastAsia="en-US" w:bidi="ar-SA"/>
        </w:rPr>
        <w:t xml:space="preserve"> action against SHB. To do so would create a multiplicity of proceedings.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Broman is not able to collect damages for personal injuries which are ongoing and for which he is receiving treatment in British Columbia.</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period in which to sue MM in Alberta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Vancouver action, SHB submits that the above factors, together with the following factors, create a real and substantial connection between British Columbia and the facts on which the proceeding against MM is based:</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MM corresponded and communicated by telephone with SHB in British Columbia.</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were suffered in British Columbia, although the tortious act of providing negligent legal services may have been provided elsewhere.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advice from MM was received in British Columbia and paid for in British Columbia.</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between SHB and MM was formed in British Columbia. The governing law will be British Columbian.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MM solicited and performed work for residents of British Columbia and should have foreseen the consequences of being sued in British Columbia if they failed to perform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New Westminster action, SHB relies on these factors to establish territorial competence:</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between SHB and MM was made in British Columbia.</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MM did not specify the terms of their retainer in writing, but also did not specify that Alberta law should apply. The law of British Columbian should apply.</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was breached in British Columbia.</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SHB have suffered damages in British Columbia in the form of lost contingent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view, the above submissions of the parties, while admirable in their ingenuity, do not properly reflect what is in issue in either proceeding against the Albertan parties. At the heart of both actions is the allegation that MM, who do not practice, reside or solicit business in British Columbia and are not subject to the governance of the Law Society of British Columbia, or the Province of British Columbia, or for that matter the standard of care of lawyers in British Columbia, were negligent in providing legal services in Alberta, with respect to an Albertan law suit arising out of a motor vehicle accident in Alberta, in which the defendant driver was resident in Alberta. All the legal work, including the drafting and filing of the allegedly deficient statement of claim occurred in Alberta. Mr. Bluekens traveled with Mr. Broman to Alberta to conduct the examinations for discovery there. The claim against the Fund was made in Alberta, as was the refusal of the Administrator to pay out to Mr. Broman. Any payout would have been on an Albertan assessment of the damages suffered by the plaintiff in an Albertan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opinion, the time when the causes of action in both these proceedings arose was when the defective statement of claim was filed. Up to that point in time there was no connection with British Columbia except that MM's client (SHB), and SHB's client (Mr. Broman), resided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whole reason why MM were retained was because they were Albertan lawyers and everything about Mr. Broman's case was connected to Alberta. Mr. Broman chose to sue in Alberta for this very reason. It is inconsistent for him to now say his personal injuries are connected to British Columbia, not Alberta, because he receives treatment here (</w:t>
      </w:r>
      <w:r>
        <w:rPr>
          <w:rFonts w:ascii="arial" w:eastAsia="arial" w:hAnsi="arial" w:cs="arial"/>
          <w:i/>
          <w:color w:val="000000"/>
          <w:sz w:val="20"/>
          <w:lang w:val="en-US" w:eastAsia="en-US" w:bidi="ar-SA"/>
        </w:rPr>
        <w:t>Dembroski v. Rhainds</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2010 BCSC 186</w:t>
        </w:r>
      </w:hyperlink>
      <w:r>
        <w:rPr>
          <w:rFonts w:ascii="arial" w:eastAsia="arial" w:hAnsi="arial" w:cs="arial"/>
          <w:color w:val="000000"/>
          <w:sz w:val="20"/>
          <w:lang w:val="en-US" w:eastAsia="en-US" w:bidi="ar-SA"/>
        </w:rPr>
        <w:t>) or that because he did not recover damages in Alberta, he has suffered a loss in British Columbia. The underlying motor vehicle accident suit is key. It is only from the results of that suit that Mr. Broman's loss can be measured, and that will in turn depend upon an assessment of damage by an Alberta Court in accordance with Alberta law. The damages alleged by SHB in the Vancouver action are directly linked to the damages of Mr. Broman and will have to be quantified in the same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With respect to the New Westminster action, there is an argument to be made that SHB would have received a contingency fee in British Columbia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Alberta. However, the situs of where SHB would have received payment of its fee from Mr. Broman is hardly a real and substantial connecting factor when compared to the rest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One of the stated purposes of the CJPTA is to bring Canadian jurisdictional rules into line with the principles laid down by the Supreme Court of Canada in </w:t>
      </w:r>
      <w:r>
        <w:rPr>
          <w:rFonts w:ascii="arial" w:eastAsia="arial" w:hAnsi="arial" w:cs="arial"/>
          <w:i/>
          <w:color w:val="000000"/>
          <w:sz w:val="20"/>
          <w:lang w:val="en-US" w:eastAsia="en-US" w:bidi="ar-SA"/>
        </w:rPr>
        <w:t>Morguard Investments Ltd. v. De Savoye,</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[1990] 3 S.C.R. 1077</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Morguard</w:t>
      </w:r>
      <w:r>
        <w:rPr>
          <w:rFonts w:ascii="arial" w:eastAsia="arial" w:hAnsi="arial" w:cs="arial"/>
          <w:color w:val="000000"/>
          <w:sz w:val="20"/>
          <w:lang w:val="en-US" w:eastAsia="en-US" w:bidi="ar-SA"/>
        </w:rPr>
        <w:t xml:space="preserve"> at 1108-1109, La Forest J. observed that reasonable limits must be placed on the exercise of jurisdiction against defendants served outside of a province if the courts of other provinces were to be expected to recognize each other's judgments. He did not define the "real and substantial connection" test, but remarked that it was not intended to be a rigid test. It should simply capture the idea that there must be some limits on the claims to jurisdiction. He noted that the principles of order and fairness required consideration of the interest of the parties. He concluded that the approach of permitting suit where there is a real and substantial connection with the action provided a reasonable balance between the rights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I apply the concept of order and fairness in deciding jurisdiction in the cases before me, I must side with the Albertan defendants. They did not come to British Columbia looking to perform services for which they may be responsible to answer for in a British Columbia Court. The plaintiff and SHB sought them out in Calgary where they practiced and where they would have expected to answer for any deficiencies in their service. On top of that, it would be more orderly (and undoubtedly safer) for an Alberta Court, which would be more familiar with Alberta standards of practice, the legislation and law governing motor vehicle accident injury awards in Alberta, claims on the Fund, and Alberta limitation periods, to decide the issues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 6 of the CJPTA has no application because the Alberta Court of Queen's Bench is a court of competent jurisdiction and is available to try these matters, without being inordinately inconvenient to Mr. Borman and SHB. Therefore, I am transferring both of these proceedings to Alberta where they can be litigated together. In doing so, I am well aware that Mr. Broman would ordinarily be entitled to sue his British Columbia lawyers in British Columbia. However, as I stated earlier, at the heart of both these actions is the conduct of MM, not SHB. There is nothing in the pleadings or the evidence before me to suggest that SHB are liable to Mr. Broman except vicariously for any negligent conduct of MM. It would be impractical to hive off Mr. Broman's claims against SHB from the rest of the action and I see no reason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Therefore the defendant MM shall have an order transferring the entirety of both the Vancouver and New Westminster actions to Calgary, Alberta pursuant to Part 3 of the CJPTA. The details of the order required to ensure the effective transfer of the proceedings to Alberta can be spoken to if counsel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KLOEGMAN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1"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Charlie v. Canada Safeway Ltd., [2010] B.C.J. No. 790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 Parrett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08 3132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790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618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915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1066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Monica Patricia Charlie, Plaintiff, and Canada Safeway Limited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2"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8" w:name="Keywords_21"/>
      <w:bookmarkEnd w:id="168"/>
      <w:r>
        <w:rPr>
          <w:rFonts w:ascii="arial" w:eastAsia="arial" w:hAnsi="arial" w:cs="arial"/>
          <w:b/>
          <w:color w:val="000000"/>
          <w:sz w:val="20"/>
          <w:lang w:val="en-US" w:eastAsia="en-US" w:bidi="ar-SA"/>
        </w:rPr>
        <w:t>Tort law — Occupiers' liability — Duty of occupier — Unusual danger — Particular situations — Floors — Action for damages for injuries sustained in fall at defendant store dismissed — Plaintiff was walking towards cash when her feet slipped from under her and she fell, knocking over flowers in water — Plaintiff's assertion that water was on floor before she fell, causing her to slip, simply her unproven assumption — Defendant had reasonable hourly inspection and reporting system in place and area where plaintiff fell was inspected and approved only nine minutes before she fell — Plaintiff failed to prove existence of hazard causing her fall.</w:t>
      </w:r>
    </w:p>
    <w:p>
      <w:pPr>
        <w:jc w:val="both"/>
        <w:rPr>
          <w:rFonts w:ascii="arial" w:eastAsia="arial" w:hAnsi="arial" w:cs="arial"/>
          <w:sz w:val="20"/>
          <w:lang w:val="en-US" w:eastAsia="en-US" w:bidi="ar-SA"/>
        </w:rPr>
      </w:pPr>
      <w:bookmarkStart w:id="169" w:name="Legislation Cited_9"/>
      <w:bookmarkEnd w:id="1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3"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425" w:history="1">
        <w:r>
          <w:rPr>
            <w:rFonts w:ascii="arial" w:eastAsia="arial" w:hAnsi="arial" w:cs="arial"/>
            <w:i/>
            <w:color w:val="0077CC"/>
            <w:sz w:val="20"/>
            <w:u w:val="single"/>
            <w:shd w:val="clear" w:color="auto" w:fill="FFFFFF"/>
            <w:lang w:val="en-US" w:eastAsia="en-US" w:bidi="ar-SA"/>
          </w:rPr>
          <w:t>RSBC 1996, CHAPTER 337, s. 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0" w:name="Counsel_29"/>
      <w:bookmarkEnd w:id="17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4"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A.J.E. Gilliland.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Canada Safeway Limited: N.C. Carfra.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1" w:name="Judgment_27"/>
      <w:bookmarkEnd w:id="171"/>
      <w:r>
        <w:pict>
          <v:line id="_x0000_s1155"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2" w:name="W.G. PARRETT J."/>
            <w:bookmarkEnd w:id="172"/>
            <w:r>
              <w:rPr>
                <w:rFonts w:ascii="arial" w:eastAsia="arial" w:hAnsi="arial" w:cs="arial"/>
                <w:b/>
                <w:color w:val="000000"/>
                <w:sz w:val="30"/>
                <w:lang w:val="en-US" w:eastAsia="en-US" w:bidi="ar-SA"/>
              </w:rPr>
              <w:t>W.G. 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seeks to recover damages for injuries sustained in a fall she suffered in the defendant's retail store in Duncan, B.C., on August 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was set to proceed to trial on October 26, 2009. The present application, brought by the defendant Canada Safeway Limited ("Safeway") under Rule 18A, seeks to have the issue of liability determined. Both sides agree this matter is suitable for determination under R.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shopping in the defendant store which is located at 181 Island Highway in Duncan, British Columbia, on August 1, 2006. This grocery store was a large 48,000 square foot store with which the plaintiff was very familiar. She had shopped at this store at least once a week and at times twice a week for as long as she could remember. The plaintiff went on to testify that on none of those occasions had she ever been concerned for her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her affidavit the plaintiff describes the circumstances and her fall in paras. 7 to 9 as follows:</w:t>
      </w:r>
      <w:r>
        <w:rPr>
          <w:rFonts w:ascii="arial" w:eastAsia="arial" w:hAnsi="arial" w:cs="arial"/>
          <w:sz w:val="20"/>
          <w:lang w:val="en-US" w:eastAsia="en-US" w:bidi="ar-SA"/>
        </w:rPr>
        <w:cr/>
      </w:r>
    </w:p>
    <w:p>
      <w:pPr>
        <w:numPr>
          <w:numId w:val="2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shopping in the defendant's store in the middle of the afternoon I was walking towards till number 6 where my friend was waiting at the checkout. I was looking towards my friend as I was walking normally with a deli sample in one hand and holding my Safeway and Airmiles card in the other. At the time I was wearing flat-bottomed, foam treaded shoes that were secured tightly to my feet. I had worn these shoes before and found them to be very stable with good traction. I had never slipped in them before.</w:t>
      </w:r>
    </w:p>
    <w:p>
      <w:pPr>
        <w:numPr>
          <w:numId w:val="2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got close to till number 6 my feet suddenly slipped out from under me. I fell heavily to my hands and knees, primarily to on my right side. </w:t>
      </w:r>
      <w:r>
        <w:rPr>
          <w:rFonts w:ascii="arial" w:eastAsia="arial" w:hAnsi="arial" w:cs="arial"/>
          <w:color w:val="000000"/>
          <w:sz w:val="20"/>
          <w:u w:val="single"/>
          <w:lang w:val="en-US" w:eastAsia="en-US" w:bidi="ar-SA"/>
        </w:rPr>
        <w:t>On my way to the floor I knocked over some of the buckets of water with flowers in it displayed near the till</w:t>
      </w:r>
      <w:r>
        <w:rPr>
          <w:rFonts w:ascii="arial" w:eastAsia="arial" w:hAnsi="arial" w:cs="arial"/>
          <w:color w:val="000000"/>
          <w:sz w:val="20"/>
          <w:lang w:val="en-US" w:eastAsia="en-US" w:bidi="ar-SA"/>
        </w:rPr>
        <w:t>. On the ground my clothing became soaked in water . . . .</w:t>
      </w:r>
    </w:p>
    <w:p>
      <w:pPr>
        <w:numPr>
          <w:numId w:val="2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time of the accident, in front of till number 6 there were buckets of water with bouquets of cut flowers displayed in them. </w:t>
      </w:r>
      <w:r>
        <w:rPr>
          <w:rFonts w:ascii="arial" w:eastAsia="arial" w:hAnsi="arial" w:cs="arial"/>
          <w:color w:val="000000"/>
          <w:sz w:val="20"/>
          <w:u w:val="single"/>
          <w:lang w:val="en-US" w:eastAsia="en-US" w:bidi="ar-SA"/>
        </w:rPr>
        <w:t>It is apparent to me that water dripped off of the flowers as they were removed from the buckets of water by customers, or that one of the buckets leaked, resulting in the water on the floor that I slipped on. I saw nothing else in the area that I could have slipped on</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an unusual process agreed to by counsel, Ms. Charlie exhibited to her affidavit extracts from her examination for discovery. In relation to these extracts in para. 13 of her affidavit, she testifies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that the questions asked and the answers provided in the transcript are true and accurate and I stand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express no view in these reasons on this unusual procedure agreed to by counsel. Suffice it to say that it was a procedure agreed to between them, and as a result these extracts by adoption are effectively direct evidence given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these extracts the plaintiff gave, in part,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172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Tell me how the accident happened, please.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coming from the Deli area, and I stopped for those samples, and Leon was telling me about where he was going, so I start walking. He said he needed my card, so I was walking towards him, and I was putting my hand out to give him the cards, and that's when I slipped and fell.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was on my hands, like that, and on my knees, and I was in water, and the flower --- I don't know how high it stood. There's a flower display that held the bouquets of flowers. I call them cones, you know, because the flower bouquets went in them. It's like a coat rack, I guess. That's how high it stood with cones in it.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That was down on the floor with me, and I couldn't get up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just going to get you to stop there, because there's parts of that I'd like to go back over to get a bit more detail, please.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So if I understand correctly, you'd actually gone over to till 6 and were very close to Leon, close enough to put out your hand to pass him the cards?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went - my cards are right 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your left hand?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recall, but I just remember I had my cards right here, and the next thing I knew, I was on the floor.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happened really, really fast.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do you think caused you to fall?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Slipped on water.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209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what makes you think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 - a puddle of water is what I landed in when I was down.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notice that puddle of water before or after the flower display fell over?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While I was laying in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but - - when you first noticed the water on the floor, had the flower display already tipped over?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came down. It came down - - the flower display thing came down with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came down with me. It - - because I slipped, and I went down, and it just came down with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how do you know the water that you saw underneath you wasn't from the display that tipped over with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I slipped before the flower display.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fair that you're thinking that it must have been water on the floor before, but you don't actually know whether there was water on the floor?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water on the floor because I was - - there was nothing else around me but the flower display and the - - there was no - - like, there was not even a wet floor sign that Safeway and all the other stores do put up those signs a lot, but they didn't have any of that there either.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I'm not trying to be tricky here, I just want to be sure I understand. You didn't see water before you fell. Do I have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see - - like visually see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222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then when you first noticed water on the floor, when you described that you were on your hands and knees, that's when you first noticed the water on the floor?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 - I was like that on my hands and knees, and I was in the water.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this is the essence of the plaintiff's evidence on how the fall occurred there is other evidence on which the plaintiff's counsel relies. These come from Steve Wadsworth, the Second Assistant Manager of the store at the time, who was working that day and attended on the plaintiff after the fall and while: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she was sitting on the ground by the display and checkout stand number 6. She was holding her right knee and appeared to be in some [pain]. </w:t>
      </w:r>
      <w:r>
        <w:rPr>
          <w:rFonts w:ascii="arial" w:eastAsia="arial" w:hAnsi="arial" w:cs="arial"/>
          <w:color w:val="000000"/>
          <w:sz w:val="20"/>
          <w:u w:val="single"/>
          <w:lang w:val="en-US" w:eastAsia="en-US" w:bidi="ar-SA"/>
        </w:rPr>
        <w:t>Ms. Charlie informed me that she had slipped on some water located near the display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Wadsworth then, according to his affidavit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had Ms. Charlie fill out a portion of the Customer Injury Report ("Injury Report") detailing the time of the fall, which was approximately 3:40 pm, in addition to her name, date of birth and address information. I then filled out the remainder of the Injury Report wherein I outlined how the fall occurred as detailed by Ms. Charlie.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Injury Report is attached to Mr. Wadsworth's affidavit, and includes the statement attributed to Ms. Charlie: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Customer said she slipped on water on the floor in front of checkstand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passing I note that the injury report is dated in two locations and in apparently two different handwritings. The first is in the portion apparently completed by Ms. Charlie where the accident date is given at the top of the page. The second is at the bottom of the page immediate above Mr. Wadsworth's signature where the entry is the Date of This Report. In both cases, the date entered is July 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in her submissions, asserts that evidence supporting the plaintiff's evidence is found in the evidence of Derik Sheers, the store Manager, given at his examination for discovery. During the course of that evidence Mr. Sheers testified that: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times he had noticed water on the floor around the buckets;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cut flowers were taken from the buckets water can drip to the floor;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water could be quite significant;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water was on the floor it "would be slippery" and would create a hazard for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evidence establishes that at the time of the plaintiff's fall the defendant had in place a system that: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Required that sweeps be carried out at regular intervals and recorded and time stamped in a log;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employees were trained and instructed to immediately clean any spill;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when cleaning any wet area employees are required to place a wet floor sign and then mop the area;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regular management review of the sweep logs;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system by which on site management regularly walked the floor areas looking for, amongst other things, compliance with policy and slipping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written policy established at the store requires that the grocery area, including the area where this incident occurred, to be inspected and swept ". . . approximately once every two hours" and that the person performing it "promptly and accurately log each and every sweep upon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written policy goes on to stipulate that these are the minimum standards and that compliance with the policy is mandatory. It goes on to warn that failure to comply with the policy may result in disciplinary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logs were produced for the day in question and reveal that generally the inspection and sweeps were completed within an hour or slightly more throughout the day with one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log shows that the last inspection and sweep of the area where the plaintiff fell was completed and recorded at 15:31. This was nine minutes or less before the plaintiff fell which, according to the Injury Report, took place at 3:40 p.m. or 15:40. Ms. Charlie, in her evidence, described receiving a telephone call on her cellular telephone moments after the fall at 3:38 p.m. or 15:38.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duty of care on an occupier of premises to persons on the premises is set out in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law is usefully summarized by Cohen J. in his decision in </w:t>
      </w:r>
      <w:r>
        <w:rPr>
          <w:rFonts w:ascii="arial" w:eastAsia="arial" w:hAnsi="arial" w:cs="arial"/>
          <w:i/>
          <w:color w:val="000000"/>
          <w:sz w:val="20"/>
          <w:lang w:val="en-US" w:eastAsia="en-US" w:bidi="ar-SA"/>
        </w:rPr>
        <w:t>Van Slee v. Canada Safeway Limited</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2008 BCSC 107</w:t>
        </w:r>
      </w:hyperlink>
      <w:r>
        <w:rPr>
          <w:rFonts w:ascii="arial" w:eastAsia="arial" w:hAnsi="arial" w:cs="arial"/>
          <w:color w:val="000000"/>
          <w:sz w:val="20"/>
          <w:lang w:val="en-US" w:eastAsia="en-US" w:bidi="ar-SA"/>
        </w:rPr>
        <w:t xml:space="preserve">, at para. 7 ff. In this decision the court began by quoting the decision of our Court of Appeal in </w:t>
      </w:r>
      <w:r>
        <w:rPr>
          <w:rFonts w:ascii="arial" w:eastAsia="arial" w:hAnsi="arial" w:cs="arial"/>
          <w:i/>
          <w:color w:val="000000"/>
          <w:sz w:val="20"/>
          <w:lang w:val="en-US" w:eastAsia="en-US" w:bidi="ar-SA"/>
        </w:rPr>
        <w:t>Coulson v. Canada Safeway Limited</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(1989), 32 B.C.L.R. (2d) 212</w:t>
        </w:r>
      </w:hyperlink>
      <w:r>
        <w:rPr>
          <w:rFonts w:ascii="arial" w:eastAsia="arial" w:hAnsi="arial" w:cs="arial"/>
          <w:color w:val="000000"/>
          <w:sz w:val="20"/>
          <w:lang w:val="en-US" w:eastAsia="en-US" w:bidi="ar-SA"/>
        </w:rPr>
        <w:t xml:space="preserve"> at p. 214, where Hutcheon J.A. speaking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Rees v. B.C. Place</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[1986] B.C.J. No. 2594</w:t>
        </w:r>
      </w:hyperlink>
      <w:r>
        <w:rPr>
          <w:rFonts w:ascii="arial" w:eastAsia="arial" w:hAnsi="arial" w:cs="arial"/>
          <w:color w:val="000000"/>
          <w:sz w:val="20"/>
          <w:lang w:val="en-US" w:eastAsia="en-US" w:bidi="ar-SA"/>
        </w:rPr>
        <w:t xml:space="preserve">, [1987] B.C.W.L.D. 756, Vancouver No. C850843, 25th November 1986 (not yet reported), Mr. Justice Trainor summarized the obligation under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in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proceedings are brought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an occupier has a duty to take that care that is reasonable in all the circumstances of the case to see that a person, in using the premises, will be reasonably safe.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requirement to satisfy that obligation is to take the kind of steps that were taken by the defendants here to put into place a system to safeguard against dangerous substances being allowed to remain on the surface of the concourse. And then secondly to be sure that there was compliance by the people who were carrying out that responsibility with the system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in this case bears the onus of proving her claim on a balance of probabilities and this burden applies in the circumstances of a motion brought under R. 18A: </w:t>
      </w:r>
      <w:r>
        <w:rPr>
          <w:rFonts w:ascii="arial" w:eastAsia="arial" w:hAnsi="arial" w:cs="arial"/>
          <w:i/>
          <w:color w:val="000000"/>
          <w:sz w:val="20"/>
          <w:lang w:val="en-US" w:eastAsia="en-US" w:bidi="ar-SA"/>
        </w:rPr>
        <w:t>Miura v. Miura</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(1992), 66 B.C.L.R. (2d) 345</w:t>
        </w:r>
      </w:hyperlink>
      <w:r>
        <w:rPr>
          <w:rFonts w:ascii="arial" w:eastAsia="arial" w:hAnsi="arial" w:cs="arial"/>
          <w:color w:val="000000"/>
          <w:sz w:val="20"/>
          <w:lang w:val="en-US" w:eastAsia="en-US" w:bidi="ar-SA"/>
        </w:rPr>
        <w:t xml:space="preserve"> at p. 352.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provisions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do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fact that someone slips and falls does not shift the 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person who brings an action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must still establish that their injury and loss was caused by some act (or omission) on the part of the occupier: </w:t>
      </w:r>
      <w:r>
        <w:rPr>
          <w:rFonts w:ascii="arial" w:eastAsia="arial" w:hAnsi="arial" w:cs="arial"/>
          <w:i/>
          <w:color w:val="000000"/>
          <w:sz w:val="20"/>
          <w:lang w:val="en-US" w:eastAsia="en-US" w:bidi="ar-SA"/>
        </w:rPr>
        <w:t>Bauman v. Stein</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at p. 127; </w:t>
      </w:r>
      <w:r>
        <w:rPr>
          <w:rFonts w:ascii="arial" w:eastAsia="arial" w:hAnsi="arial" w:cs="arial"/>
          <w:i/>
          <w:color w:val="000000"/>
          <w:sz w:val="20"/>
          <w:lang w:val="en-US" w:eastAsia="en-US" w:bidi="ar-SA"/>
        </w:rPr>
        <w:t>Lansdowne v. United Church of Canada</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2000 BCSC 1604</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present case has marked similarities to that before the court in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and that in </w:t>
      </w:r>
      <w:r>
        <w:rPr>
          <w:rFonts w:ascii="arial" w:eastAsia="arial" w:hAnsi="arial" w:cs="arial"/>
          <w:i/>
          <w:color w:val="000000"/>
          <w:sz w:val="20"/>
          <w:lang w:val="en-US" w:eastAsia="en-US" w:bidi="ar-SA"/>
        </w:rPr>
        <w:t>Lansdowne</w:t>
      </w:r>
      <w:r>
        <w:rPr>
          <w:rFonts w:ascii="arial" w:eastAsia="arial" w:hAnsi="arial" w:cs="arial"/>
          <w:color w:val="000000"/>
          <w:sz w:val="20"/>
          <w:lang w:val="en-US" w:eastAsia="en-US" w:bidi="ar-SA"/>
        </w:rPr>
        <w:t xml:space="preserve"> as well. At paras. 26 to 29 of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Cohen J.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the case at bar, the plaintiff made a similar assertion. In para. 10 of her affidavit the plaintiff deposed ". . . given the nature of the weather on the day in question, I am certain that I must have slipped on water that had accumulated in front of the customer service desk". As defence counsel pointed out, like the plaintiff in </w:t>
      </w:r>
      <w:r>
        <w:rPr>
          <w:rFonts w:ascii="arial" w:eastAsia="arial" w:hAnsi="arial" w:cs="arial"/>
          <w:i/>
          <w:color w:val="000000"/>
          <w:sz w:val="20"/>
          <w:lang w:val="en-US" w:eastAsia="en-US" w:bidi="ar-SA"/>
        </w:rPr>
        <w:t>Lansdowne, supra</w:t>
      </w:r>
      <w:r>
        <w:rPr>
          <w:rFonts w:ascii="arial" w:eastAsia="arial" w:hAnsi="arial" w:cs="arial"/>
          <w:color w:val="000000"/>
          <w:sz w:val="20"/>
          <w:lang w:val="en-US" w:eastAsia="en-US" w:bidi="ar-SA"/>
        </w:rPr>
        <w:t>, the plaintiff in the case at bar deposed, essentially, "what else could it have been"?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However, unlike the plaintiff in </w:t>
      </w:r>
      <w:r>
        <w:rPr>
          <w:rFonts w:ascii="arial" w:eastAsia="arial" w:hAnsi="arial" w:cs="arial"/>
          <w:i/>
          <w:color w:val="000000"/>
          <w:sz w:val="20"/>
          <w:lang w:val="en-US" w:eastAsia="en-US" w:bidi="ar-SA"/>
        </w:rPr>
        <w:t>Lansdowne, supra,</w:t>
      </w:r>
      <w:r>
        <w:rPr>
          <w:rFonts w:ascii="arial" w:eastAsia="arial" w:hAnsi="arial" w:cs="arial"/>
          <w:color w:val="000000"/>
          <w:sz w:val="20"/>
          <w:lang w:val="en-US" w:eastAsia="en-US" w:bidi="ar-SA"/>
        </w:rPr>
        <w:t xml:space="preserve"> who could point to loose carpet threads, the plaintiff in the case at bar did not see any accumulated water, has no other evidence about accumulated water, nor any evidence that a hazard of any kind was present at the time she slipped and fell. Thus, I agree with defence counsel that her case is not even as strong as that of the plaintiff in </w:t>
      </w:r>
      <w:r>
        <w:rPr>
          <w:rFonts w:ascii="arial" w:eastAsia="arial" w:hAnsi="arial" w:cs="arial"/>
          <w:i/>
          <w:color w:val="000000"/>
          <w:sz w:val="20"/>
          <w:lang w:val="en-US" w:eastAsia="en-US" w:bidi="ar-SA"/>
        </w:rPr>
        <w:t>Lansdowne, supra.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Returning to </w:t>
      </w:r>
      <w:r>
        <w:rPr>
          <w:rFonts w:ascii="arial" w:eastAsia="arial" w:hAnsi="arial" w:cs="arial"/>
          <w:i/>
          <w:color w:val="000000"/>
          <w:sz w:val="20"/>
          <w:lang w:val="en-US" w:eastAsia="en-US" w:bidi="ar-SA"/>
        </w:rPr>
        <w:t>Lansdowne, supra</w:t>
      </w:r>
      <w:r>
        <w:rPr>
          <w:rFonts w:ascii="arial" w:eastAsia="arial" w:hAnsi="arial" w:cs="arial"/>
          <w:color w:val="000000"/>
          <w:sz w:val="20"/>
          <w:lang w:val="en-US" w:eastAsia="en-US" w:bidi="ar-SA"/>
        </w:rPr>
        <w:t xml:space="preserve">, at para. 22 Scarth J. noted that the Court cannot presume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 occupier. At para. 23 his Lordship went on to state,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judgment, on the evidence before the Court here the Court would have to resort to speculation in order to find that Ms. Lansdowne's fall was caused by the loose threads on the bottom step of the stairs or some other defect in the carpeting on those stairs. This it must not do. According to [the plaintiff's friend], when she saw the threads one week after the accident they were coming out over the bottom step. Ms. Lansdowne, however, does not know on which step she tripped or where on the stairs she started falling. At best both [the plaintiff's friend] and Ms. Lansdowne are able only to advance a theory that in some way Ms. Lansdowne's sandals got caught up on the loose threads and that as a result she tripped and fell.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Scarth J. went on to dismiss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case at bar the plaintiff's evidence does not and cannot establish the existence of water on the floor at the time she slipped and fell. The assumption that she slipped in water clearly arises from the fact that her clothing was wet while she was on the floor after the display was knocked over. The evidence relied upon by the plaintiff's counsel from Mr. Wadsworth is based on the assumption the plaintiff made and that arising from the evidence of Derik Sheers was both hypothetical and unrelated to the date of the accident. Mr. Sheers was not working on the day of the slip and fall and had no first hand knowledge of the incident. Neither establishes a breach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was the case in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the plaintiff has not proven the existence of a condition or hazard which caused her to slip and fall, nor, that the existence of any such condition existed as a result of a breach of duty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evidence on this application establishes that a reasonable system was in place to inspect, clean and identify problem areas or conditions and that it was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evidence establishes that the specific area was examined and cleaned approximately nine minutes before the fall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Regretfully, the plaintiff has not met the burden of proof. The action is dismissed. Costs will follow that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 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6"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4" w:history="1">
        <w:r>
          <w:rPr>
            <w:rFonts w:ascii="arial" w:eastAsia="arial" w:hAnsi="arial" w:cs="arial"/>
            <w:b/>
            <w:bCs/>
            <w:i/>
            <w:color w:val="0077CC"/>
            <w:kern w:val="32"/>
            <w:sz w:val="28"/>
            <w:szCs w:val="32"/>
            <w:u w:val="single"/>
            <w:shd w:val="clear" w:color="auto" w:fill="FFFFFF"/>
            <w:lang w:val="en-US" w:eastAsia="en-US" w:bidi="ar-SA"/>
          </w:rPr>
          <w:t>Dalhuisen (Guardian ad litem of) v. Maxim's Bakery Ltd., [2002] B.C.J. No. 729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S012584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729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528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112 A.C.W.S. (3d) 1020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Christopher Dalhuisen by his Guardian ad litem Cor Dalhuisen as representative plaintiff, plaintiff, and Maxim's Bakery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7"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3" w:name="Keywords_22"/>
      <w:bookmarkEnd w:id="173"/>
      <w:r>
        <w:rPr>
          <w:rFonts w:ascii="arial" w:eastAsia="arial" w:hAnsi="arial" w:cs="arial"/>
          <w:b/>
          <w:color w:val="000000"/>
          <w:sz w:val="20"/>
          <w:lang w:val="en-US" w:eastAsia="en-US" w:bidi="ar-SA"/>
        </w:rPr>
        <w:t>Practice — Persons who can sue and be sued — Individuals and corporations, status or standing — Class actions, certification, considerations.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4" w:name="Case Summary_21"/>
            <w:bookmarkEnd w:id="1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certification of class proceeding and for various orders and declarations. The plaintiff sought an order that the plaintiff class to be comprised of all persons who were resident in British Columbia on the day that they consumed baked goods tainted with Samonella Enteritidis. The defendant admitted that it negligently made and sold the tainted baked goods. The was no admission of liability for punitive or exemplary damages. There were 48 known potential members of the class. Many of the claims might have been less than the limit of the Small Claims Division. The defendant suggested that the Centre for disease Control contact the individuals and the defendant would negotiate settlements.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5" w:name="Holdings of Court_21"/>
            <w:bookmarkEnd w:id="17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amount punitive or exemplary damages was a common issue. The defendant's admission of fault did not prevent the certification of fault as a common issue because it did not bind the defendant against all class members. Resolution of the common issues would advance the actions of each member of the class if separate actions were required. Certifying the action avoided a multiplicity of proceedings and the possibility of inconsistent verdicts. The common issues predominated over questions affecting only individual members. It was not likely that a significant number of members had an interest in controlling the litigation of separate actions. Other procedures were less efficient and less practical.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6" w:name="Legislation Cited_10"/>
      <w:bookmarkEnd w:id="1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8"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Proceedings Act, 1996, ss. 1, 4(1)(a), 4(1)(b), 4(1)(c), 4(1)(d), 4(1)(e)(i), 4(1)(e)(ii), 4(1)(e)(iii), 4(2)(c), 7(a), 16(1), 27(3).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 Order Interest Act, 1996, s. 37(2).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7" w:name="Counsel_30"/>
      <w:bookmarkEnd w:id="1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9"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 Klein, for the plaintiff. L.C. Boulton,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8" w:name="Judgment_28"/>
      <w:bookmarkEnd w:id="178"/>
      <w:r>
        <w:pict>
          <v:line id="_x0000_s1160"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9" w:name="BURNYEAT J."/>
            <w:bookmarkEnd w:id="179"/>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Representative Plaintiff applies for the following Orders and Declarations pursuant to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("Act"): (a) this proceeding be certified as a class proceeding; (b) the Plaintiff Class be comprised of all persons who were residents of British Columbia on the day they consumed baked goods that were tainted with Salmonella Enteritidis which was manufactured, distributed or sold by the Defendant and who suffered personal injury as a result of consuming the tainted baked goods; (c) that members of the Plaintiff Class may opt out of this action by delivering a signed "Opt-Out Form" to counsel for the Plaintiff; (d) that the current Plaintiff be appointed the Representative Plaintiff of the Plaintiff Class; (e) that the claims of the Plaintiff Class are for damages arising from personal injuries as a result of consuming the tainted baked goods; (f) that the relief sought by the Plaintiff Class is judgment against the Defendant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warranty and, if granted, for general damages, special damages, punitive damages, interest pursuant to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and costs of this action pursuant to s. 37(2) of the Act; and (g) the following questions be certified as common issues in the class proceeding:</w:t>
      </w:r>
      <w:r>
        <w:rPr>
          <w:rFonts w:ascii="arial" w:eastAsia="arial" w:hAnsi="arial" w:cs="arial"/>
          <w:sz w:val="20"/>
          <w:lang w:val="en-US" w:eastAsia="en-US" w:bidi="ar-SA"/>
        </w:rPr>
        <w:cr/>
      </w:r>
    </w:p>
    <w:p>
      <w:pPr>
        <w:numPr>
          <w:numId w:val="2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have a duty to ensure that its baked goods were safe and reasonably fit for its intended purposes, being human consumption?</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in the manufacture, distribution, or sale of the baked goods that were tainted with Salmonella Enteritidis bacteria?</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manufacture, distribution, or sale of its baked goods cause damage to members of the Plaintiff Class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expressly or impliedly warrant that its baked goods were safe and reasonably fit for their intended purpose, being human consumption?</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breach its warranty that its baked goods were safe and reasonably fit for their intended purpose, being human consumption?</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breach of its warranty that its baked goods were safe and reasonably fit for their intended purpose, being human consumption, cause damage to members of the Plaintiff Class?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punitive and exemplary damages be awarded against the Defendant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proceeding is unusual in that the Defendant admits that it negligently made and sold the tainted baked goods. Accordingly, the primary issue between the Defendant and members of the Plaintiff Class is whether it is appropriate to certify a class proceeding where questions of liability are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statutory criteria for deciding if an action should be certified as a class proceeding are set out under s. 4(1) of the Act:</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certify a proceeding as a class proceeding on an application ... if all of the following requirements are met: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takes no real issue with the question of whether a number of the requirements have been met. On a review of the materials before me, I am satisfied that the requirements set out under s. 4(1)(a), (b), and (e)(i) and (iii) of the Act have been met. Accordingly, the issue is whether the requirements of s. 4(1)(c), (d), and (e)(ii) of the Act have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 THE CLAIMS OF THE CLASS MEMBERS RAISE COMMON ISSUES? (SECTION 4(1)(c)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Section 1 of the Act defines "common issues" as: (a) common but not necessarily identical issues of fact, or (b) common but not necessarily identical issues of law that arise from common but not necessarily identical facts. After the Defendant admitted liability, the Statement of Claim was amended so that the Representative Plaintiff claimed punitive or exemplary damages for: "...the reckless and unlawful conduct of the defendant and its wanton disregard for the health and safety of its customers." I am satisfied that the claim for punitive or exemplary damages is a common issue and that it remains as a common issue. There has been no admission of liability for those damages. However, even if there had been no claim for punitive or exemplary damages or if the Defendant had admitted liability for such damages, I am satisfied that the requirement of s. 4(1)(c)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Endean v. Canadian Red Cross Society </w:t>
      </w:r>
      <w:hyperlink r:id="rId745" w:history="1">
        <w:r>
          <w:rPr>
            <w:rFonts w:ascii="arial" w:eastAsia="arial" w:hAnsi="arial" w:cs="arial"/>
            <w:i/>
            <w:color w:val="0077CC"/>
            <w:sz w:val="20"/>
            <w:u w:val="single"/>
            <w:shd w:val="clear" w:color="auto" w:fill="FFFFFF"/>
            <w:lang w:val="en-US" w:eastAsia="en-US" w:bidi="ar-SA"/>
          </w:rPr>
          <w:t>(1997), 36 B.C.L.R. (3d) 350</w:t>
        </w:r>
      </w:hyperlink>
      <w:r>
        <w:rPr>
          <w:rFonts w:ascii="arial" w:eastAsia="arial" w:hAnsi="arial" w:cs="arial"/>
          <w:color w:val="000000"/>
          <w:sz w:val="20"/>
          <w:lang w:val="en-US" w:eastAsia="en-US" w:bidi="ar-SA"/>
        </w:rPr>
        <w:t xml:space="preserve"> (B.C.S.C.), K. Smith J.,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common issue is sufficient if it is an issue of fact or law common to all claims, and that its resolution in favour of the plaintiffs will advance the interests of the class, leaving individual cases to be litigated later in separate trials, if necessary: Harrington v. Dow Corning Corp. </w:t>
      </w:r>
      <w:hyperlink r:id="rId746" w:history="1">
        <w:r>
          <w:rPr>
            <w:rFonts w:ascii="arial" w:eastAsia="arial" w:hAnsi="arial" w:cs="arial"/>
            <w:i/>
            <w:color w:val="0077CC"/>
            <w:sz w:val="20"/>
            <w:u w:val="single"/>
            <w:shd w:val="clear" w:color="auto" w:fill="FFFFFF"/>
            <w:lang w:val="en-US" w:eastAsia="en-US" w:bidi="ar-SA"/>
          </w:rPr>
          <w:t>(1996), 22 B.C.L.R. (3d) 97</w:t>
        </w:r>
      </w:hyperlink>
      <w:r>
        <w:rPr>
          <w:rFonts w:ascii="arial" w:eastAsia="arial" w:hAnsi="arial" w:cs="arial"/>
          <w:color w:val="000000"/>
          <w:sz w:val="20"/>
          <w:lang w:val="en-US" w:eastAsia="en-US" w:bidi="ar-SA"/>
        </w:rPr>
        <w:t xml:space="preserve"> (B.C.S.C.) at 105, 110. (At p. 359).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Western Canadian Shopping Centres Inc. v. Bennett Jones Verchere </w:t>
      </w:r>
      <w:hyperlink r:id="rId747" w:history="1">
        <w:r>
          <w:rPr>
            <w:rFonts w:ascii="arial" w:eastAsia="arial" w:hAnsi="arial" w:cs="arial"/>
            <w:i/>
            <w:color w:val="0077CC"/>
            <w:sz w:val="20"/>
            <w:u w:val="single"/>
            <w:shd w:val="clear" w:color="auto" w:fill="FFFFFF"/>
            <w:lang w:val="en-US" w:eastAsia="en-US" w:bidi="ar-SA"/>
          </w:rPr>
          <w:t>(2000), 201 D.L.R. (4th) 385</w:t>
        </w:r>
      </w:hyperlink>
      <w:r>
        <w:rPr>
          <w:rFonts w:ascii="arial" w:eastAsia="arial" w:hAnsi="arial" w:cs="arial"/>
          <w:color w:val="000000"/>
          <w:sz w:val="20"/>
          <w:lang w:val="en-US" w:eastAsia="en-US" w:bidi="ar-SA"/>
        </w:rPr>
        <w:t xml:space="preserve"> (S.C.C.), McLachlin C.J.C.,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commonality question should be approached purposively. The underlying question is whether allowing the suit to proceed as a representative one will avoid duplication of fact-finding or legal analysis. Thus an issue will be "common" only where its resolution is necessary to the resolution of each class member's claim. It is not essential that the class members be identically situationed vis-à-vis the opposing party. Nor is it necessary that common issues predominate over non-common issues or that the resolution of the common issues would be determinative of each class member's claim. However, the class members' claims must share a substantial common ingredient to justify a class action. Determining whether the common issues justify a class action may require the court to examine the significance of the common issues in relation to individual issues. In doing so, the court should remember that it may not always be possible for a representative party to plead the claims of each class member with the same particularity as would be required in an individual suit. (at p. 401)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Even if fault had not been admitted, I am satisfied that a defendant's admission of fault does not prevent the Court from certifying fault as a common issue. A bare admission will not bind the Defendant against all class members unless embodied in a Court Order within a certified class proceeding: Bywater v. Toronto Transit Commission </w:t>
      </w:r>
      <w:hyperlink r:id="rId748" w:history="1">
        <w:r>
          <w:rPr>
            <w:rFonts w:ascii="arial" w:eastAsia="arial" w:hAnsi="arial" w:cs="arial"/>
            <w:i/>
            <w:color w:val="0077CC"/>
            <w:sz w:val="20"/>
            <w:u w:val="single"/>
            <w:shd w:val="clear" w:color="auto" w:fill="FFFFFF"/>
            <w:lang w:val="en-US" w:eastAsia="en-US" w:bidi="ar-SA"/>
          </w:rPr>
          <w:t>(1998), 27 C.P.C. (4th) 172</w:t>
        </w:r>
      </w:hyperlink>
      <w:r>
        <w:rPr>
          <w:rFonts w:ascii="arial" w:eastAsia="arial" w:hAnsi="arial" w:cs="arial"/>
          <w:color w:val="000000"/>
          <w:sz w:val="20"/>
          <w:lang w:val="en-US" w:eastAsia="en-US" w:bidi="ar-SA"/>
        </w:rPr>
        <w:t xml:space="preserve"> (Ont. G.D.). In that decision, Winkler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the defendant admits liability for the cause of a fire. This admission, it contends, eliminates the common issue of liability. Since this, it asserts, is the only common issue, the certification motion must fail.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accede to this submission. This is not to in any way detract from the commendable and timely admission of fault by the defendant. However, an admission of liability in the air does not advance the litigation or bind the defendant in respect of the members of the proposed class. Without a certification order from this Court no public statement by the defendant, and no admission in its defence to the nominal plaintiff, binds the defendant in respect of the members of the proposed class. A class proceeding by its very nature requires a certification order for the proposed class members to become parties to the proceeding. If the proposed class members are not parties to the proceedings, the admission of liability, as it relates to them, is no more than a bare promise....In any event, absent a judgment by a court of competent jurisdiction on the basis of the admission, res judicata does not apply to the proposed class.... Therefore, the admission simpliciter does not resolve the common issue of liability as it relates to the class members nor does it bind the defendant to them. (at pp. 177-8)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am advised that there are 48 known potential members of the Plaintiff Class. Liability would have to be determined in 48 separate actions before damages could be assessed. It is necessary to the resolution of each of the claims of each of the Members of the Plaintiff Class that liability be determined. It will avoid duplication of fact-finding or legal analysis if there need be only one court determination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am satisfied that the resolution of each of the other common issues listed by the Representative Plaintiff will substantially advance the actions of each of those members of the Plaintiff Class if separate actions were required because this action is not certified. The admission of liability and the binding of this Defendant in respect of the members of the proposed Plaintiff Class is sufficient to justify the Certification Order sought by the Representative Plaintiff. The next question which arises is whether the class proceeding is a preferable procedure for the fair and efficient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 CLASS PROCEEDING A PREFERABLE PROCEDURE? (SECTION 4(1)(d)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Hollick v. Toronto </w:t>
      </w:r>
      <w:hyperlink r:id="rId749" w:history="1">
        <w:r>
          <w:rPr>
            <w:rFonts w:ascii="arial" w:eastAsia="arial" w:hAnsi="arial" w:cs="arial"/>
            <w:i/>
            <w:color w:val="0077CC"/>
            <w:sz w:val="20"/>
            <w:u w:val="single"/>
            <w:shd w:val="clear" w:color="auto" w:fill="FFFFFF"/>
            <w:lang w:val="en-US" w:eastAsia="en-US" w:bidi="ar-SA"/>
          </w:rPr>
          <w:t>(2001), 205 D.L.R. (4th) 19</w:t>
        </w:r>
      </w:hyperlink>
      <w:r>
        <w:rPr>
          <w:rFonts w:ascii="arial" w:eastAsia="arial" w:hAnsi="arial" w:cs="arial"/>
          <w:color w:val="000000"/>
          <w:sz w:val="20"/>
          <w:lang w:val="en-US" w:eastAsia="en-US" w:bidi="ar-SA"/>
        </w:rPr>
        <w:t xml:space="preserve"> (S.C.C.) McLachlin C.J.C. set out the three advantages of class action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 reflects an increasing recognition of the important advantages that the class action offers as a procedural tool. As I discussed at some length in Western Canadian Shopping Centres (at paras. 27-29), class actions provide three important advantages over a multiplicity of individual suits. First, by aggregating similar individual actions, class actions serve judicial economy by avoiding unnecessary duplication in fact-finding and legal analysis. Second, by distributing fixed litigation costs amongst a large number of class members, class actions improve access to justice by making economical the prosecution of claims that any one class member would find too costly to prosecute on his or her own. Third, class actions serve efficiency and justice by ensuring that actual and potential wrongdoers modify their behaviour to take full account of the harm they are causing, or might cause, to the public....In my view, it is essential therefore that courts not take an overly restrictive approach to the legislation, but rather interpret the Act in a way that gives full effect to the benefits foreseen by the drafters. (at pp. 28-29)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Judicial economy is not served by 48 separate actions. As well, counsel for the Representative Plaintiff is prepared to agree that the damages suffered by many of the members of the Plaintiff Class may be less than the $10,000 limit of the Small Claims Division of the British Columbia Provincial Court. If that is so, it is appropriate to distribute the cost of proving liability and quantifying any punitive damages amongst all of the Class Members rather than running the risk that any one or more of the members of the Plaintiff Class may find it too costly to prosecute the claim on his or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Certifying this action, a multiplicity of proceedings and the possibility of inconsistent verdicts can be avoided, the efficient handling of complex issues rather than having the issues re-litigated at numerous trials can be encouraged, the cases remaining after the common issues have been determined can be dealt with inexpensively and expeditiously pursuant to s. 27(3) of the Act, there is a possibility of a global settlement, and there is more likelihood of consistent settlements with members of the Plaintiff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satisfied that access to justice is fostered by permitting the advancement of claims that have previously been uneconomical to pursue because the damages for each individual plaintiff are too small for each claimant to recover through usual court procedures: Endean, supra, at para. 63 and Harrington, supra, at para. 49. A class proceeding is the only practical and efficient means of resolution of the claims which have modest damage potential and which would require considerable expenditure to prove liability and any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Section 4(2) of the Act sets out factors which the court must consider in determining whether a class proceeding would be the preferable procedure for the fair and efficient resolution of the common issues:</w:t>
      </w:r>
      <w:r>
        <w:rPr>
          <w:rFonts w:ascii="arial" w:eastAsia="arial" w:hAnsi="arial" w:cs="arial"/>
          <w:sz w:val="20"/>
          <w:lang w:val="en-US" w:eastAsia="en-US" w:bidi="ar-SA"/>
        </w:rPr>
        <w:cr/>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satisfied that the common issues predominate over any questions affecting only individual members of the Plaintiff Class. As well, although personal damages must be assessed on an individual basis, certification should not be refused merely because the relief claimed includes a claim for damages. If necessary, the individual assessment can proceed after a determination of the common issues: Section 7(a) of the Act. As well, the common issues of liability and liability for punitive damages predominate over a question of personal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view of the modest amount of damages that will likely be available to members of the Plaintiff Class and of the cost of pursuing separate actions, I am satisfied that it is not likely that a significant number of the members of the Plaintiff Class have an interest in individually controlling the prosecution of separate actions. As well, s. 16(1) of the Act permits British Columbia residents to opt out of a certified class so that members of the Plaintiff Class are not precluded from prosecuting separate actions. The desire of some members of the Plaintiff Class to prosecute separate actions should not preclude: "...class proceedings by others for whom a class action is the only practical avenue for relief.": Harrington, supra,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there is no evidence that this proceeding involves claims that are or have been the subject of other proceedings, I am satisfied that s. 4(2)(c) does not apply. In dealing with the question of whether other means of resolving the claims are less practical or less efficient, I have reached the conclusion that they are. One action is much more efficient than 48. This Class Proceeding is much more efficient and effective than what is proposed by the Defendant. The Defendant has already resolved one claim. An offer was made by the Defendant to resolve further claims "... as quickly as possible without incurring any significant legal expenses." What was suggested was that the B.C. Centre for Disease Control ("C.D.C.") forward letters to each of the 48 individuals thought to be members of the Plaintiff Class asking them to outline their symptoms so that settlement negotiations could be initiated and settlement could be made in each of these cases without delay or litigation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response, the Representative Plaintiff submits that the proposal of the Defendant is deficient in several respects: (a) it provides no method for resolving common issues; (b) there is no definitive process by which the quantum of the damages of the Members of the Plaintiff Class will be fairly assessed; (c) there is no method for adjudicating disputes that arise as to causation or quantum of damages; (d) the process is not binding on either the Defendant or the proposed class; (e) the parties are placed in an unequal bargaining position; (f) the claims of Members of the Plaintiff Class will be statute barred in August and September 2002 if the action is not certified; (g) the request does not bind the C.D.C. to contact the class members to inform them of their right to make claims so there is no definitive notification procedure; and (h) breakdowns in the negotiation process will lead to a multiplicity of individual lawsuits.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agree with the submissions made on behalf of the Representative Plaintiff. First, all claims will be barred if this action is not certified or if separate actions are not commenced in the next four to five months. That right of action should not be lost and it must be noted that the Defendant has not offered to waive the limitation periods. Second, there would be no control over the notification of the 48 individuals who are thought to comprise the Plaintiff Class. By requesting that the C.D.C. forward letters, the Defendant has no control over whether that is done or whether there is appropriate follow-up which would allow the conclusion to be drawn that all steps have been taken to seek out the 48 individuals who could be members of the Plaintiff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Third, I am advised that the C.D.C. will not release the names of the 48 individuals without a Court Order. The Defendant would not be in a position to obtain a Court Order to obtain the list so it could supervise notification as there would be no action commenced which would allow the Defendant to apply for such an Order. Even if there was a proceeding where such an application could be made by the Defendant, the Defendant is not motivated to seek out potential claimants. Only a Representative Plaintiff would be. Fourth, separate negotiations regarding quantum would not necessarily result in similar settlements for those suffering similar damages. Fifth, there is no method for adjudicating disputes that might arise other than the commencement of separate actions by the 48 individuals. The best gauge of the failure of the procedure advocated by the Defendant is the fact that, of the 48 potential members of the Plaintiff Class, only one settlement has been reached to date despite liability being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Dealing with an alternate procedure outside of the judicial system, Brokenshire J. had these observations in Brimner et al v. Via Rail Canada Inc. et al </w:t>
      </w:r>
      <w:hyperlink r:id="rId750" w:history="1">
        <w:r>
          <w:rPr>
            <w:rFonts w:ascii="arial" w:eastAsia="arial" w:hAnsi="arial" w:cs="arial"/>
            <w:i/>
            <w:color w:val="0077CC"/>
            <w:sz w:val="20"/>
            <w:u w:val="single"/>
            <w:shd w:val="clear" w:color="auto" w:fill="FFFFFF"/>
            <w:lang w:val="en-US" w:eastAsia="en-US" w:bidi="ar-SA"/>
          </w:rPr>
          <w:t>(2000), 50 O.R. (3d) 114</w:t>
        </w:r>
      </w:hyperlink>
      <w:r>
        <w:rPr>
          <w:rFonts w:ascii="arial" w:eastAsia="arial" w:hAnsi="arial" w:cs="arial"/>
          <w:color w:val="000000"/>
          <w:sz w:val="20"/>
          <w:lang w:val="en-US" w:eastAsia="en-US" w:bidi="ar-SA"/>
        </w:rPr>
        <w:t xml:space="preserve"> (Ont. Sup. 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occurs to me there is a further problem. Via has a list of all of the passengers, but for, I believe, 14 of them, it has no address or telephone number. Via's proposal is to somehow locate these people. It has no answer as to what happens if it cannot. Most of the passengers for whom it has addresses seem to come from Ontario, Michigan or perhaps elsewhere in the United States. The class action process does provide an answer - a notification process is approved by the court and the court then has jurisdiction including jurisdiction to deal with persons who do not bring claims before the court. (at p. 119)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well, it is beyond the statutory functions provided to a Judge of this Court to supervise the process which is suggested by the Defendant. I am satisfied that the possibility of an unequal bargaining position and the potential for inequality and inequity of settlements is such that a class proceeding is preferable. What is proposed by the Defendant is less practical, less efficient and more difficult if not impossible to administer. I am also satisfied that the administration of the class proceedings would not create greater difficulties than those likely to be experienced if relief was sought by individual actions or the negotiation process suggested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THERE A PLAN THAT SETS OUT A WORKABLE METHOD OF ADVANCING THE PROCEEDING AND OF NOTIFYING CLASS MEMBERS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plan for the proceeding and for notifying members of the Plaintiff Class involves the mailing of a notice to Class Members, the Representative Plaintiff bearing the cost of mailing the notice to Class Members, the Defendant bearing the cost of publishing advertisements in various newspapers, and further applications to deal with the trial of common issues and a methodology for resolving remaining issues. While I am not satisfied that the Representative Plaintiff has produced a plan for the proceeding that sets out a workable method of advancing the proceeding on behalf of the Class and of notifying Class Members of the proceeding, I am nevertheless satisfied that it is appropriate to certify the proceeding as a Class Proceeding. While the court "must" certify a proceeding if all of the requirements set out in s. 4(1) have been met, I am not satisfied that it would be inappropriate to certify such a proceeding if one of the requirements has not been met. Rather, I am satisfied that it remains within the discretion of the Court to certify a proceeding even though the Representative Plaintiff has not yet produced a workable plan as is required under s. 4(1)(e)(ii)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will be an order certifying this proceeding as a Class Proceeding. The orders and declarations sought by the Representative Plaintiff are granted. The questions set out above are certified as common issues in the Class Proceeding. The Representative Plaintiff is to apply before me no later than May 8, 2002 to approve: "...a plan for the proceeding that sets out a workable method of advancing the proceeding on behalf of a class and of notifying Class Members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1"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Dos Santos (Committee of) v. Accord Transportation Ltd., [2002] B.C.J. No. 1013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17 - 20,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B994576, M010424, M010426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1013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351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 Vasco Dos Santos, Committee of the person and Estate of Rita Maria Baptista Valoma Dos Santos and the said Jose Vasco Dos Santos, Ernesto Valoma Dos Santos, Cintia Valoma Dos Santos, plaintiffs, and Accord Transportation Ltd. and Gurmehar Singh Grewal, defendants (Vancouver Registry No. B994576) And between Jessica Marques, plaintiff, and Rita Dos Santos, Jose Vasco Dos Santos, Gurmehar Singh Grewal and Accord Transportation, defendants (Vancouver Registry No. M010424) And between Beatriz Valoma Marques, plaintiff, and Rita Dos Santos, Jose Vasco Dos Santos, Gurmehar Singh Grewal and Accord Transportation Ltd., defendants (Vancouver Registry No. M010426)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2"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0" w:name="Keywords_23"/>
      <w:bookmarkEnd w:id="180"/>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rules of the road — Intersections — Motor vehicle, evidence and burden of proof — Accident reconstruction by expert.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1" w:name="Case Summary_22"/>
            <w:bookmarkEnd w:id="1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Dos Santos and Marques for damages arising from a motor vehicle collision between a vehicle driven by Dos Santos and a tractor driven by Grewal and owned by Accord Transportation. Dos Santos remained in a coma. Marques stated that Dos Santos had come to a stop at a red light and then proceeded through the intersection when the light turned green. At that time, the vehicle was struck by Grewal's truck. Grewal stated that he was driving through a green light and that Dos Santos' vehicle was driving against the light. Witnesses in a car driving behind Dos Santos stated that Dos Santos proceeded through a red light without stopping. Accident reconstruction evidence supported the contention that Dos Santos stopped at the intersection before proceeding through. Grewal had had little sleep and had failed to notice signs prohibiting trucks in the area.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2" w:name="Holdings of Court_22"/>
            <w:bookmarkEnd w:id="18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Marques' version of the accident was accepted. Grewal and Accord were liable for the injuries suffered by Dos Santos and Marques as Grewal had driven through a red light. The independent witnesses were mistaken. The evidence of accident reconstruction was accepted. The assessment of damages was adjourned.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3" w:name="Counsel_31"/>
      <w:bookmarkEnd w:id="1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3"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 Adelaar, for plaintiff in Action No. B994576. R.J. Charlton, for the plaintiffs in Action Nos. M010424 and M010426. J.C. Taylor and S. Goodwin, for defendants, Accord Transportation Ltd. and Gurmehar Singh Grewal in all actions. W. Mussio, for the defendant, Rita Dos Santos in Action Nos. M010424 and M010426.</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4" w:name="Judgment_29"/>
      <w:bookmarkEnd w:id="184"/>
      <w:r>
        <w:pict>
          <v:line id="_x0000_s1164" style="position:absolute;z-index:2517934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5" w:name="MELNICK J."/>
            <w:bookmarkEnd w:id="185"/>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6, 1999, at the intersection of 68th Avenue and 128th Street in Surrey, a 1998 Honda automobile owned by Jose Vasco Dos Santos ("Mr. Dos Santos") and driven by his wife, Rita Maria Baptista Valoma Dos Santos ("Mrs. Dos Santos") was struck by a 1997 Freightliner tractor owned or leased by Accord Transportation Ltd. ("Accord") and driven by its employee, Gurmehar Singh Grewal ("Mr. Grewal"). Mrs. Dos Santos was seriously injured and remains in a coma. Her sister, Beatriz Valoma Marques ("Mrs. Marques") was a passenger in the front seat of the Dos Santos vehicle and the daughter of Mrs. Marques, Jessica Marques ("Ms. Marques") was a passenger in the rear right-hand side of the vehicle. Both Mrs. Marques and Ms. Marques suffered personal injuries for which they have advanced claims against both drivers. It is their primary position, however, that liability for the collision rests with Accord and Mr. Grewal.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position taken on behalf of Mrs. Dos Santos is that Mr. Grewal entered the controlled intersection against a red light and is therefore wholly responsible for the accident. Mr. Grewal takes the opposite position, maintaining that Mrs. Dos Santos entered the intersection against a red light and is thus wholly responsible for the accident. The position of Mrs. Dos Santos is supported by Mrs. Marques and Ms. Marques who were eye witnesses to the accident. The position of Mr. Grewal and Accord is supported by Gurjit Sedhu ("Mrs. Sedhu") and Rajwant Mahal ("Mrs. Mahal") who were also eye witnesses to the accident. Both the defendants, Accord and Mr. Grewal, and the plaintiff, Mrs. Dos Santos, called accident reconstruction experts to support their respective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trial was with respect to liability only. Counsel put the issue as, simply, who ran the red light? More properly, the question may be framed as: have the plaintiffs, Dos Santos, discharged their burden of proving, on a balance of probabilities, that Mr. Grewal ran the red light? The same may be said for each of Mrs. Marques and Ms. Marques with respect to the primary position they take on their claims. Their alternative position, of course, is that if Mr. Grewal did not run the red light, then Mrs. Dos Santos did so.</w:t>
      </w:r>
      <w:r>
        <w:rPr>
          <w:rFonts w:ascii="arial" w:eastAsia="arial" w:hAnsi="arial" w:cs="arial"/>
          <w:sz w:val="20"/>
          <w:lang w:val="en-US" w:eastAsia="en-US" w:bidi="ar-SA"/>
        </w:rPr>
        <w:cr/>
      </w:r>
    </w:p>
    <w:p>
      <w:pPr>
        <w:numPr>
          <w:numId w:val="2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Dos Santos home is close to the Marques home in Delta. On the morning of Sunday, June 6, 1999, Mrs. Dos Santos drove to the Marques residence and picked up Mrs. Marques and Ms. Marques at approximately 8:05 a.m. (according to Ms. Marques). Their destination was Saint Bernadette Church for an 8:30 a.m.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Mrs. Dos Santos customarily drove her sister and niece to church and customarily drove down 64th Avenue. That morning, however, she drove on 68th Avenue. Mrs. Dos Santos' route to the church along 68th Avenue meant having to cross the light-controlled traffic intersection at 128th Street in Surrey. It is, of course, what happened at that intersection that gives rise to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According to Mrs. Marques, she observed no other traffic on 68th Avenue, something she thought strange as, in her experience, there was always traffic on 64th Avenue. She said that as they approached 128th Street, she saw a red light and that Mrs. Dos Santos stopped her vehicle. After a while, she said, the light turned green and she said to Mrs. Dos Santos, "It's green". Mrs. Dos Santos has a measure of colour blindness although, according to Mr. Dos Santos, that only affects her perception of blue and grey. According to Mrs. Marques, Mrs. Dos Santos replied, "I know" and proceeded slowly into the intersection. Mrs. Marques looked to her left, saw the truck coming and said "Rita, there's a truck coming!". She said that her sister replied, "No...". She said that she remembers nothing further until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Dos Santos said that, after the accident, he spoke to Ms. Marques and asked her what happened. He said that, in response, she told him that the truck had run the red light. However, in his examination for discovery, he said that Ms. Marques had told him that she had been knocked unconscious, couldn't remember and didn't see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giving evidence herself, Ms. Marques said that the light was red when they stopped at 128th Street. She heard her mother say that the light was green, and then they went ahead. Then she heard her mother yell that the truck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said that, prior to reaching 128th Street, they had been proceeding on 68th Avenue at a normal speed, which she described as about the 50 kilometre per hour speed limit. She said that her aunt brought her vehicle to a stop behind the white line. She said that she recalled feeling that they were going sideways during the collision. Then she lost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agreed that she had spoken with her uncle, Mr. Dos Santos, the day of the accident. However, it was her position that the truck had run the red light and hit them. They had been proceeding, she said, slowly into the intersection after coming to a stop. She said that she was certain that her aunt had not driven through the intersection at 50 kilometres per hour. She said that they had come to a normal stop in the sense that she had the sensation that they had slowed down with the brakes being applied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also said that she had turned around in the rear seat to her left and looked through the rear window and did not see any vehicles behind them, including the green van allegedly driven by Mrs. Mahal.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said that when she first saw the truck it appeared to be continuing straight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Mrs. Mahal said that she was driving a green 1998 Dodge Caravan at about 8:30 in the morning of June 6, 1999 with her co-worker, Mrs. Sedhu, seated in the front passenger's seat. She said that she was following a black Honda at a distance of two or three car-lengths and that, as it approached 128th Street, the light was red. According to Ms. Mahal, the Honda was proceeding at a normal speed prior to the intersection, and it was, in fact, going a bit faster than normal speed as it entered the intersection. According to her, Mrs. Dos Santos did not slow down. She said she did not see the Honda's brake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Mrs. Mahal, the tractor driven by Mr. Grewal had the green light and was in the middle lane of 128th Street. She said that she heard a truck's horn and a truck apply its brakes prior to impact. She gave a statement to the police when they attended immediately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her evidence, Mrs. Mahal was insistent that the Honda had driven into the intersection against a red light and that the truck had driven into the intersection with the green light. However, perhaps in part due to her difficulty in understanding the questions put to her, even with the assistance of an interpreter, Mrs. Mahal's answers with respect to the distance of the home of Mrs. Sedhu from the intersection and what she had observed of the Honda as they drove down 68th, were unclear and, I conclude, quite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Both Mrs. Mahal and Mrs. Sedhu described the accident occurring around 8:30 a.m. Mrs. Sedhu said that Mrs. Mahal had picked her up at about 8:20 at her home on 68th Avenue and they were going to a Zellers store to do janitorial work. She said that she saw a black Honda Civic ahead of them going in the same direction and that they were two to three car-lengths behind the Honda. She could not estimate the speed of the Honda, but it proceeded continuously into the intersection of 128th Street against a red light until "it hit" the truck. She, too, stated that she did not see brake lights on the Honda before the collision. She said that, when the RCMP arrived, she gave them her name and a statement explaining that the light was red for them and the Honda and green for the truck. She said that she told the police that the Honda did not stop for the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said that both vehicles had been proceeding at a normal speed while they were following the Honda down 68th Avenue. She, too, heard the truck sound its horn and heard the sound of its brakes. She did not observe the truck swerve to its left. She, too, said that the truck was in the middle of the southbound lane on 128th Street. She said that the Honda made no evasive manoeuvre.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Both Mrs. Mahal and Mrs. Sedhu said that they sometimes attend Dashmesh Darbar Sikh Temple in Surrey. However, both women denied knowing Mr. Grewal who also occasionally attends that temple and had the custom of parking his tractor unit in the temple parking lot between long-haul 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Mr. Grewal, he and his co-driver had returned from a trip to California during the early morning hours of June 6th. They dropped off his trailer and carried out an inspection of his vehicle, and then drove the tractor unit to the Dashmesh Darbar Sikh Temple at about 4:30 a.m. He said he then got a ride home where, in addition to the sleep that he had on the journey from California while it was his co-driver's turn to drive, he slept until about 15 or 20 minutes before 8:00 a.m. He said that his wife then woke him up, he had coffee, and went to the temple and started his truck. He then left the temple parking lot to drive to Accord's yard to hook up a trailer to go to Texas.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took a route down 128th Street. It was his memory that 128th Street in Surrey had not originally been a restricted route for trucks. When shown a photograph of the intersection of 128th Street and 72nd Avenue, he agreed that there were signs prohibiting trucks from proceeding further down 128th Street. He did not see those signs on the morning of June 6, 1999. The evidence points to them having been there that morning. As he approached 128th Street, he saw that he had the green light and proceeded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Suddenly, he said, a car appeared from his right side. He said that he tried to apply his brakes and with one hand he blew his horn. He said he also tried to swerve to the left. All of this happened in a part of a second, he said, and, although he tried to make a turn, he did not know if there had been enough time for him to accomplish the turn. He said that he had been proceeding at about the speed limit of 50 kilometres per hour. He said he did not observe the Honda to move to either the right or the left prior to the accident; rather it was coming straight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colliding with the side of the Dos Santos vehicle and coming to a stop in the southeast corner of the intersection, he backed his tractor unit up a short distance as he was concerned that his vehicle was on top of the Honda.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the time of the accident, Mr. Grewal had about one year's experience driving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cross-examination, it was put to him that he made a statement to the police that he had last slept prior to arriving back in Vancouver. However, he stated that, because of his poor English, he had not understood the question. He insisted that he slept at his home immediately before returning to the temple parking lot to commence the journey that led to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cross-examination, he insisted that, not only was the light green for him as he entered the intersection, it continued to be green after the impact. There was no evidence of the programmed length of the green light sequences on that day.</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ACCIDENT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Stuart Fowler of MacInnis Engineering Associates Ltd. gave evidence on behalf of Accord and Mr. Grewal. Mr. Donald Rempel of Rempel Engineering Services Ltd. gave evidence on behalf of Mrs. Dos Santos. Both engineers prepared carefully detailed reports reconstructing, to the best of their respective abilities, what had occurred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From information obtained from the truck's log, both engineers assumed that, prior to impact, the freightliner was travelling at 47 kilometres per hour. That speed was, of course, consistent with Mr. Grewal entering the intersection on the understanding that he had a green light. However, the engineers differed in their analysis of the speed of the Honda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his analysis, Mr. Fowler placed the speed of the Honda at between 25 kilometres per hour and 35 kilometres per hour. Although, in a later report, he conceded that, depending on the angle at which the tractor had struck the car, the Honda's speed could have been as low at 15 kilometres per hour. His primary opinion assumed that the tractor struck the car at an angle of approximately 90 degrees. It was his opinion that there would have been little, or no time, for Mr. Grewal to effect any significant left-hand turn during the time between first seeing the Honda and then striking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other hand, Mr. Rempel was of the view that there had been time for Mr. Grewal to turn sufficiently to the left to effect an angle of some five to ten degrees off 90 degrees. This has some significant consequence on the probable speed of the Honda in that the greater the angle of the collision was toward the left of the tractor unit, the slower the probable speed of the Honda.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Rempel discovered that the front bumper of the model of Freightliner truck that is the same as the model of that of Accord contains a structural beam only in the centre of the bumper. The consequence of this in a collision is that the right-hand and left-hand sides of the bumper fascia can easily become deformed since they contain no significant structural component. That is, Mr. Rempel found that "[E]ven if the tractor swerved hard towards left prior to impact, relatively shallow crush depth could be expected at the left rear door of the Honda".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other significant observation made by Mr. Rempel was that the side of the Honda bore virtually no horizontal striation marks that one would expect to see if the vehicles had come into contact while the Honda was proceeding at a high rate of speed. These horizontal striations were not visible on either vehicle. Further, photographs of the side of the Honda that had come into contact with the truck demonstrated that the right-hand wheel of the tractor had gouged vertical striations towards the left rear of the Honda. This demonstrated, said Mr. Rempel, the probability that the tractor had swerved to the left immediately prior to impact. This finding would consequently lower the probable speed of the Honda.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was Mr. Rempel's opinion that, had the Honda come to a stop before entering the intersection and assumed a gradual acceleration, it would have arrived at the point of impact at a speed of 18 kilometres per hour. Had that acceleration been moderate, it would have arrived at impact at a speed of about 27 kilometres per hour and, at its maximum acceleration, would have had a speed of 33 kilometres per hour.</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If the Honda had been moving at a speed of about 35 kilometres per hour at the time of impact (the maximum speed it could have been going according to Mr. Fowler), that speed is consistent with Mrs. Dos Santos driving at a reasonably leisurely pace down 68th Avenue and, conceivably, going through the intersection at that speed through to the point of impact. In one sense, however, if Mrs. Dos Santos was driving at a speed of about 35 kilometres per hour, that would not be consistent with part of the defence's theory that she was concerned about being late for church, was hurrying since she was not very familiar with 68th Avenue, and drove through the intersection. If that had been so, one would have expected her to have been driving at a somewhat higher rate of speed, at least close to the posted speed limit of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his submissions, Mr. Taylor suggested that I did not have to even turn to the evidence of the engineers and that I could rely on the best evidence, namely that of the two independent eye witnesses, Mrs. Mahal and Mrs. Sedhu. They were, he correctly suggested, the only truly independent witnesses involved. However, even independent witnesses can be in error. In this case, I believe that Mrs. Mahal and Mrs. Sedhu were in error when they described the Honda driving into the intersection at normal or above normal speed against the red light. Their evidence is inconsistent with the physical evidence of the vehicles. The gouge mark from the right-hand front tire of the tractor in the left rear of the Honda makes it clear to me that it is probable that, immediately prior to the collision, the tractor unit was angled to the left by approximately five to ten degrees. This makes the probable speed of the Honda at the time of the collision in the range of 18 to 20 kilometres per hour. This is consistent with the Honda having come to a stop at the stop sign as described by Mrs. Marques and Ms. Marques. It is also consistent with Mrs. Dos Santos having gradually accelerated after leaving the stop sign. There is no evidence to suggest that she stopped and then accelerated into the intersection in the face of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Grewal, I have no doubt, firmly believes that he entered the intersection on a green light. However, I do not accept that he slept while at home that morning and conclude, particularly given the fact that he drove through the intersection of 72nd Avenue past signs warning that trucks were not allowed on 128th Street beyond that point, that he was inattentive and this was probably due to being 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have to say that I have difficulty accepting Ms. Marques' evidence that she turned around in the Honda and looked behind her and did not see the Mahal vehicle. I doubt that she did turn around and there was no reason for her to do so. I do accept as probable, however, both her and Mrs. Marques' evidence that the Honda came to a stop at the intersection and then proceeded into it when the light turned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mentioned earlier, I found some of Ms. Mahal's evidence unreliable. That is not to suggest that she did not tell the truth as she believed it. Mrs. Sedhu's evidence was more straightforward. However, I conclude that both of these women were mistaken in their observations that the Dos Santos vehicle proceeded at normal speed (or, in the case of Mrs. Mahal, above normal speed) into the intersection without braking. I believe that they are mistaken in their evidence that the Dos Santos vehicle entered the intersection against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will not pretend that this has been an easy decision. All of the witness, including Mr. Grewal, gave their evidence in a manner that was worthy of belief. I do not agree with Mr. Taylor that this is a case in which I could ignore the evidence of the engineers and rely solely on one set of witnesses or the other. The evidence of the engineers was significant and helpful. Mr. Mussio, in his excellent cross-examination of Mr. Fowler, elicited the concession that, with the appropriate assumptions, the speed of the Honda at impact could have been 18 kilometres per hour and the vehicle could have reached that speed following a stop at the intersection. As noted, I conclude that that is exactly what occurred.</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Mr. Grewal entered the controlled intersection of 68th Avenue and 128th Street against a red light traffic signal. He and his employer, Accord, are therefore liable for any damages proven by the plaintiffs in these actions.</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various plaintiffs are entitled to their costs of this assessment of liability against the defendants, Accord and Grewal, on Scale 3. Because the plaintiffs, Marques, effectively supported the position of Mrs. Dos Santos, I would not award the plaintiffs in the Dos Santos action costs of their defence in the actions against Mr. and Mrs. Dos Santos by the Marques.</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Pursuant to the order of Master Bolton of November 29, 2001, the issue of whether the assessment of damages was to be heard by a judge and jury or by judge alone was left in my discretion. Counsel further left it to my discretion as to whether I should hear the assessment of damages myself. In my view, it would be most efficient for the parties if I did so. I will, therefore, hear the assessment of damages sitting as a judge alone on a date to be arranged through the trial coordinator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5"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Dudas v. Ikea Ltd., [2016] B.C.J. No. 958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G.C.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27-29,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S146064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958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826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Eva Dudas, Plaintiff, and Ikea Ltd. and Scandinavian Building Services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6"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6" w:name="Keywords_24"/>
      <w:bookmarkEnd w:id="186"/>
      <w:r>
        <w:rPr>
          <w:rFonts w:ascii="arial" w:eastAsia="arial" w:hAnsi="arial" w:cs="arial"/>
          <w:b/>
          <w:color w:val="000000"/>
          <w:sz w:val="20"/>
          <w:lang w:val="en-US" w:eastAsia="en-US" w:bidi="ar-SA"/>
        </w:rPr>
        <w:t>Tort law — Occupiers' liability — Duty of occupier — To invitees — Particular sanctions — Floors — Action for injuries suffered in slip and fall accident when plaintiff slipped and fell in defendant's washroom dismissed — Plaintiff alleged floor was wet although she did not detect any water on floor — No evidence that plaintiff slipped on water or damp floor — Plaintiff failed to establish that systems, practices, and procedures in place at defendant to safeguard against injury to patrons when using the washrooms was unreasonable — Mere presence of some water on the floor did not constitute an objectively unreasonable risk of harm.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7" w:name="Case Summary_23"/>
            <w:bookmarkEnd w:id="1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injuries suffered in a slip and fall accident. The plaintiff, 52, slipped and fell in the defendant's washroom. During store hours, the washroom floors were spot cleaned by a contractor with a damp mop using water and disinfectant to ensure that any excess water or other debris was removed. A yellow sign warning of wet floors was kept in the washrooms at all times, regardless of whether the floor was wet. The plaintiff testified that when she entered the washroom, the floor was dry. While the plaintiff was in the washroom, the washroom floor was being spot mopped. When the plaintiff emerged from the washroom stall, she took a couple of steps towards one of the washroom sinks and suddenly slipped on what she believed was water on the floor. After her fall, the plaintiff did not notice any water on the floor and her clothing was dry.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8" w:name="Holdings of Court_23"/>
            <w:bookmarkEnd w:id="18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accepted the plaintiff's evidence that she slipped on the washroom floor. There was no evidence, however, that she slipped on water or a damp floor. The plaintiff failed to establish that the systems, practices, and procedures in place at the defendant to safeguard against injury to patrons when using the washrooms was unreasonable. The plaintiff also failed to establish that the defendant or the contractor was guilty of some act or omission that caused the plaintiff's fall. The defendant exercised reasonable care in its selection of the contractor and it was reasonable that a contractor be engaged to perform the janitorial work at the defendant's store. The potential for some dampness on the floor ought reasonably to have been expected by anyone using the washroom. The mere presence of some water on the floor did not constitute an objectively unreasonable risk of harm.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9" w:name="Legislation Cited_11"/>
      <w:bookmarkEnd w:id="1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7"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425"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 s. 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0" w:name="Counsel_32"/>
      <w:bookmarkEnd w:id="19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8"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Lott, G.T. Buchanan.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C.R. Cordick.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1" w:name="Judgment_30"/>
      <w:bookmarkEnd w:id="191"/>
      <w:r>
        <w:pict>
          <v:line id="_x0000_s1169"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2" w:name="G.C. WEATHERILL J."/>
            <w:bookmarkEnd w:id="192"/>
            <w:r>
              <w:rPr>
                <w:rFonts w:ascii="arial" w:eastAsia="arial" w:hAnsi="arial" w:cs="arial"/>
                <w:b/>
                <w:color w:val="000000"/>
                <w:sz w:val="30"/>
                <w:lang w:val="en-US" w:eastAsia="en-US" w:bidi="ar-SA"/>
              </w:rPr>
              <w:t>G.C.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damages for injuries she sustained on June 23, 2014 when she slipped and fell in the washroom in premises owned by the defendant, Ikea Ltd. ("Ikea"). The washroom had been cleaned and maintained by the defendant, Scandinavian Building Services Ltd. ("SBS"). The plaintiff relies for her claim on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admit that they were "occupiers" as defined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but take the position that they met the standard of reasonableness required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I find that the defendants met the standard of care expected of them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a 52-year-old Hungarian woman who immigrated to Canada in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1989, the plaintiff had silicone implants inserted in her breasts. In 1994, for safety reasons, the silicone implants were replaced with saline implants. The plaintiff had never experienced any problem with her implants prior to June 23, 2014 and she had neither a plan to replace them nor any indication that replacement was required despite their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all material times, the Ikea Coquitlam store had a contract with SBS for it to provide general maintenance and janitorial services at the store, including for the inspection, cleaning and replenishing of the washrooms as needed on at least an hourly basis, depending upon whether it is a low, medium or high traffic day. During store hours, the washroom floors are "spot cleaned" with a damp mop using water and disinfectant to ensure that any excess water or other debris is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Washroom floors are fully cleaned after store hours. A yellow sandwich-board-like sign reading "Caution - Wet Floor" with a depiction of a person falling inside a triangle is kept in the washrooms at all times, regardless of whether the floor is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From the photographs put in evidence, I deduce that these signs are approximately 30 inches high. Mr. Terry Hay, the Chief Executive Officer of SBS, testified that, if an area of the washroom floor is wet or damp, the sign is moved by the cleaner to that location. Otherwise, it is kept near the entrance/exit door. A washroom cleaning log is also completed by the cleaner.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condition of the washrooms is also "spot checked" by Ikea personnel throughout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June 23, 2014, the plaintiff was shopping with a friend, Ms. Darasz, at an Ikea retail store in Coquitlam, B.C. She was wearing running shoes with good tread. After having lunch at the store's restaurant, she had an upset stomach and went to the ladies' washroom. Ms. Darasz attended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that, when she entered the washroom, she saw no indication that the floor was anything other than clean and dry. She does not recall seeing a "Caution" sign in the washroom. She entered one of the stalls and stayed there for approximately five minutes. She heard several peopled entering and leaving the washroom but denies hearing or seeing any indication that the washroom was being cleaned while she was in the 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clear from the evidence that, shortly after the plaintiff and Ms. Darasz entered the washroom, one of SBS's employees, Ms. Harvinder Kaur, entered the same washroom to perform her hourly cleaning services, which included spot mopping the floor. The incident report Ms. Kaur completed states that she was unable to inspect and clean one of the stalls because it was occupied.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court did not have the benefit of Ms. Kaur's sworn evidence despite her being listed as a witness on the defendants' trial brief. No explanation was provided other than that she is no longer an employee of SBS.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the plaintiff emerged from the washroom stall, she took a couple of steps towards one of the washroom sinks and suddenly slipped on what she believes was water on the floor, although she is not sure. While in the process of falling, she reached out to grab the sink that was in front of her, but the sink was "cold and wet", and her hands slipped. Her chest hit the sink with the full weight of her body and she fell to the floor. She was winded and dizzy, and she felt immediate pain in her sternum and chest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Darasz helped the plaintiff sit up with her back against the wall and ran to get assistance. While sitting there, the plaintiff did not notice any water on the floor and her clothing was dry. However, she did see a "Caution" sign nearby. A chair was brought in by Ikea staff for her to sit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During the course of the trial, the defendants admitted the following sequence of events and timeline (the times are taken from the stores video surveillance):</w:t>
      </w:r>
      <w:r>
        <w:rPr>
          <w:rFonts w:ascii="arial" w:eastAsia="arial" w:hAnsi="arial" w:cs="arial"/>
          <w:sz w:val="20"/>
          <w:lang w:val="en-US" w:eastAsia="en-US" w:bidi="ar-SA"/>
        </w:rPr>
        <w:cr/>
      </w:r>
    </w:p>
    <w:p>
      <w:pPr>
        <w:numPr>
          <w:numId w:val="2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12:51:36</w:t>
      </w:r>
      <w:r>
        <w:rPr>
          <w:rFonts w:ascii="arial" w:eastAsia="arial" w:hAnsi="arial" w:cs="arial"/>
          <w:color w:val="000000"/>
          <w:sz w:val="20"/>
          <w:lang w:val="en-US" w:eastAsia="en-US" w:bidi="ar-SA"/>
        </w:rPr>
        <w:t xml:space="preserve"> The plaintiff and Ms. Darasz enter the washroom;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12:52:26</w:t>
      </w:r>
      <w:r>
        <w:rPr>
          <w:rFonts w:ascii="arial" w:eastAsia="arial" w:hAnsi="arial" w:cs="arial"/>
          <w:color w:val="000000"/>
          <w:sz w:val="20"/>
          <w:lang w:val="en-US" w:eastAsia="en-US" w:bidi="ar-SA"/>
        </w:rPr>
        <w:t xml:space="preserve"> The SBS cleaner, Ms. Kaur, enters the washroom;</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12:55:15</w:t>
      </w:r>
      <w:r>
        <w:rPr>
          <w:rFonts w:ascii="arial" w:eastAsia="arial" w:hAnsi="arial" w:cs="arial"/>
          <w:color w:val="000000"/>
          <w:sz w:val="20"/>
          <w:lang w:val="en-US" w:eastAsia="en-US" w:bidi="ar-SA"/>
        </w:rPr>
        <w:t xml:space="preserve"> Ms. Kaur leaves the washroom;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12:56:29</w:t>
      </w:r>
      <w:r>
        <w:rPr>
          <w:rFonts w:ascii="arial" w:eastAsia="arial" w:hAnsi="arial" w:cs="arial"/>
          <w:color w:val="000000"/>
          <w:sz w:val="20"/>
          <w:lang w:val="en-US" w:eastAsia="en-US" w:bidi="ar-SA"/>
        </w:rPr>
        <w:t xml:space="preserve"> Ms. Darasz runs out of the washroom;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this 5 minute period, a number of customers enter and leave the washroom;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12:59:00</w:t>
      </w:r>
      <w:r>
        <w:rPr>
          <w:rFonts w:ascii="arial" w:eastAsia="arial" w:hAnsi="arial" w:cs="arial"/>
          <w:color w:val="000000"/>
          <w:sz w:val="20"/>
          <w:lang w:val="en-US" w:eastAsia="en-US" w:bidi="ar-SA"/>
        </w:rPr>
        <w:t xml:space="preserve"> Two Ikea safety and security people enter the washroom;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Bernardi and Ms. Glenn (whose name was Ms. McCallum at the time of the incident) were the two Ikea safety and security personnel who arrived at the washroom to attend to the plaintiff less than three minutes after Ms. Darasz ran for help. Both had Level 2 first aid training. Both described the plaintiff as being emotionally distraught, having difficulty breathing and complaining of pain in her chest. The plaintiff told them that she had slipped on the floor and struck her chest on the sink.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Neither of the safety and security personnel observed any obvious sign of the washroom floor being wet or damp. Indeed, both described the floor as being clean and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was taken by ambulance to the hospital where she waited in the Emergency Department for approximately four to five hours before being seen. Her sternum remained painful and she was having difficulty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she disrobed to don a hospital gown, she discovered that her left breast implant had fully deflated. She testified that she was traumatized by the discovery. She was discharged after x-rays were taken, and was advised to see her family doctor the following day. She did so and was prescribed Tylenol 3. She experienced painful breathing and sharp chest pain for approximately ten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testified that she was emotionally devastated by having one deflated breast and immediately made arrangements to have it repaired. On June 30, 2014, she consulted with Dr. Rai, an aesthetic plastic and reconstructive surgeon at the False Creek Surgery Center.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Rai was qualified as an expert to opine on breast implant surgery. He determined that the plaintiff's left breast implant had ruptured, and opined that the plaintiff's fall likely contributed to the rupture. He also determined that her right breast implant, although intact, had severe capsular contracture, likely as a result of it having been in place for approximately 20 years. He opined that the fatigue period for such implants was 10 to 12 years, and recommended that both breast implants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accepted his recommendation. Indeed, Dr Rai testified that had he been consulted by the plaintiff prior to her fall, he would have advised her to consider replacing the implants.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surgery took place as scheduled on August 13, 2014 under a general anesthetic. A new saline implant was inserted in each breast. The plaintiff was fully recovered after approximately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found the plaintiff to be a credible and forthright witness who gave her evidence honestly and without embellishment.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that, when the plaintiff entered the washroom, there was no indication of any unusual risk of slippage. I also find that the "Caution" sign was in the washroom when the plaintiff entered it, but that it was not obvious to her. Indeed, Ms. Glenn also did not see the Caution sign when she first entered the washroom to assist the plaintiff. She testified that she only noticed it when Ms. Bernardi moved it from near the entrance door to make room for the paramedics.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that, while the plaintiff was in a washroom stall, Ms. Kaur, an employee of SBS, entered the washroom and, among other cleaning services, mopped the area of the floor in front of the stall occupied by the plaintiff. The Caution sign was left by the entrance door. I accept the plaintiff's evidence that she was oblivious to the fact that the washroom was being cleaned while she was in the 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accept that the plaintiff slipped on the floor surface after she exited the washroom stall and was walking towards the sink. However, to find that she slipped on water or a damp floor would be speculation. There is no evidence that moisture was observed by anyone on the floor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that the injuries that the plaintiff sustained to her sternum and breast were caused by the resulting 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As stated above, the defendants admit that, for the purposes of this action, they were occupiers as defined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applicable standard of care expected of an occupier is one of reasonableness, not perfection. The duty is to use reasonable care to prevent injury or damage from danger which is known or which ought to be known: </w:t>
      </w:r>
      <w:r>
        <w:rPr>
          <w:rFonts w:ascii="arial" w:eastAsia="arial" w:hAnsi="arial" w:cs="arial"/>
          <w:i/>
          <w:color w:val="000000"/>
          <w:sz w:val="20"/>
          <w:lang w:val="en-US" w:eastAsia="en-US" w:bidi="ar-SA"/>
        </w:rPr>
        <w:t>Ball v. GAP (Canada) Inc.</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2001 BCSC 1106</w:t>
        </w:r>
      </w:hyperlink>
      <w:r>
        <w:rPr>
          <w:rFonts w:ascii="arial" w:eastAsia="arial" w:hAnsi="arial" w:cs="arial"/>
          <w:color w:val="000000"/>
          <w:sz w:val="20"/>
          <w:lang w:val="en-US" w:eastAsia="en-US" w:bidi="ar-SA"/>
        </w:rPr>
        <w:t xml:space="preserve">, aff'd </w:t>
      </w:r>
      <w:hyperlink r:id="rId766" w:history="1">
        <w:r>
          <w:rPr>
            <w:rFonts w:ascii="arial" w:eastAsia="arial" w:hAnsi="arial" w:cs="arial"/>
            <w:i/>
            <w:color w:val="0077CC"/>
            <w:sz w:val="20"/>
            <w:u w:val="single"/>
            <w:shd w:val="clear" w:color="auto" w:fill="FFFFFF"/>
            <w:lang w:val="en-US" w:eastAsia="en-US" w:bidi="ar-SA"/>
          </w:rPr>
          <w:t>2002 BCCA 488</w:t>
        </w:r>
      </w:hyperlink>
      <w:r>
        <w:rPr>
          <w:rFonts w:ascii="arial" w:eastAsia="arial" w:hAnsi="arial" w:cs="arial"/>
          <w:color w:val="000000"/>
          <w:sz w:val="20"/>
          <w:lang w:val="en-US" w:eastAsia="en-US" w:bidi="ar-SA"/>
        </w:rPr>
        <w:t xml:space="preserve"> at paras. 25 - 27.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Mainardi v. Shannon</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2005 BCSC 644</w:t>
        </w:r>
      </w:hyperlink>
      <w:r>
        <w:rPr>
          <w:rFonts w:ascii="arial" w:eastAsia="arial" w:hAnsi="arial" w:cs="arial"/>
          <w:color w:val="000000"/>
          <w:sz w:val="20"/>
          <w:lang w:val="en-US" w:eastAsia="en-US" w:bidi="ar-SA"/>
        </w:rPr>
        <w:t xml:space="preserve">, Justice Preston set out at para. 21 the following principles derived from the cases that apply the occupier's duty as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bears the onus of proving on a balance of probabilities that the occupier breached its duty of care;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created by the fact that the plaintiff was injured. The plaintiff must establish that some act or failure to act on the part of the occupier resulted in his or her injury;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care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require the occupier to remove every possibility of danger -- the test is one of reasonableness, not perfection;</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not entitled to resort to speculation when determining the cause of the plaintiff's fall and subsequent injury. The plaintiff must prove the nexus between his or her fall and the occupier's failure to discharge his or her duty of care;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 that an occupier must take differs according to the nature and use of the premises; and</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need not, in all cases, show that it had a specific policy in place to deal with the maintenance of the portion of the premises where the fall occurred. The nature of the premises will determine whether or not a maintenance scheme will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agree that those principles are apt and should be applied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Ikea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that the plaintiff has failed to establish on the balance of probabilities that the systems, practices, and procedures in place at Ikea to safeguard against injury to patrons when using the washrooms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further that the plaintiff has failed to establish that Ikea was guilty of some act or omission that caused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Ikea had comprehensive safety and training policies and procedures in place, as well as a detailed code of conduct which all of its contractors, including SBS employees, were required to learn and sign off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Ikea facility management staff regularly met with SBS managers on a weekly basis, and inspected and audited the effectiveness of SBS's cleaning program. Any deficiency was remedied immediately. Checklists were placed in each washroom and cleaners are required to complete them at no more than one-hour intervals.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Relatively large and obvious Caution signs were provided and on display in the washrooms to alert users that the floor may be slippery due to water from sinks being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Although the foregoing is sufficient to deal with the claim asserted against Ikea, Ikea also relies on s.5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(1) Despite section 3(1), if damage is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engaged by the occupier, the occupier is not on that account liable under this Act if, in all the circumstances,</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exercised reasonable care in the selection and supervision of the independent contractor, and</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reasonable that the work that the independent contractor was engaged to do should have been undertaken.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Ikea contracted with SBS to perform the janitorial and maintenance services at its Coquitlam store and SBS plainly had the expertise to perform that work. SBS is an established and well known national janitorial and maintenance provider with sophisticated training and janitorial systems in place to clean and replenish the washroom in question. I find that Ikea exercised reasonable care in its selection of SBS and that it was reasonable that SBS be engaged to perform the janitorial work at the Ikea store.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Fatal to the plaintiff's case against SBS is her failure to demonstrate a nexus between her fall and a breach by SBS of its duty of care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testified that she does not know what she slipped on. She merely assumes it was water. Moreover, her evidence is that there were several people who came and left the washroom while she was in the stall. If she did slip on water, which she has not proven, the source could have been water splashed on the floor while any one of these people was washing their hands at the sink. As stated above, the court is not entitled to resort to speculation when determining the cause of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However, even if the plaintiff had proven on a balance of probabilities that she slipped on water left on the floor by Ms. Kaur while the plaintiff was in the washroom stall, she also has the onus of establishing on the balance of probabilities that she did so as a result of SBS, as an occupier, failing to meet the reasonableness standard required of it under s.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 my view, the plaintiff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Hay, SBS's Chief Executive Officer, gave detailed evidence regarding the systems it had in place at Ikea for the provision of its maintenance and janitorial services and the training of its staff. Those systems, policies and procedures are by any measure sophisticated, thorough and detailed. It is hard to imagine reasonable steps that could have been implemented to improve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submits that it is apparent from the SBS Incident report that Ms. Kaur, the cleaner in question, knew that someone was in the washroom stall while she was mopping the floor, and that it was unreasonable for SBS not to have an established protocol in place for the cleaner to verbally alert patrons who were using washroom stalls to the fact that the floor outside of the stall was being mopped.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Hay agreed that there is no such protocol in place. He testified that, in such situations, SBS relies on the noise generated by the cleaners during the cleaning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submits that the failure to have such a protocol was a breach of SBS's obligations under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disagree. There is no evidence that such a policy exists anywhere in the industry. Moreover, it raises policy issues relating not only to privacy, but also equality considerations in terms of the potential for hearing persons being preferred over non-hearing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This incident took place in a ladies washroom. The potential for some dampness on the floor ought reasonably to have been expected by anyone using it. The mere presence of some water on the floor does not constitute an objectively unreasonable risk of harm: </w:t>
      </w:r>
      <w:r>
        <w:rPr>
          <w:rFonts w:ascii="arial" w:eastAsia="arial" w:hAnsi="arial" w:cs="arial"/>
          <w:i/>
          <w:color w:val="000000"/>
          <w:sz w:val="20"/>
          <w:lang w:val="en-US" w:eastAsia="en-US" w:bidi="ar-SA"/>
        </w:rPr>
        <w:t>Zary v. Canada Mortgage and Housing Corp</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2015 BCSC 1145</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fall was unfortunate. However, I am unable to find that it was the result of a breach of duty on the part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claim is dismissed, with costs to the defendants at Scale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G.C.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0"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74" w:history="1">
        <w:r>
          <w:rPr>
            <w:rFonts w:ascii="arial" w:eastAsia="arial" w:hAnsi="arial" w:cs="arial"/>
            <w:b/>
            <w:bCs/>
            <w:i/>
            <w:color w:val="0077CC"/>
            <w:kern w:val="32"/>
            <w:sz w:val="28"/>
            <w:szCs w:val="32"/>
            <w:u w:val="single"/>
            <w:shd w:val="clear" w:color="auto" w:fill="FFFFFF"/>
            <w:lang w:val="en-US" w:eastAsia="en-US" w:bidi="ar-SA"/>
          </w:rPr>
          <w:t>E.P. v. J.E.S., [2002] B.C.J. No. 997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9,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9, 2002.</w:t>
      </w:r>
    </w:p>
    <w:p>
      <w:pPr>
        <w:spacing w:before="120" w:line="260" w:lineRule="atLeast"/>
        <w:jc w:val="center"/>
        <w:rPr>
          <w:lang w:val="en-US" w:eastAsia="en-US" w:bidi="ar-SA"/>
        </w:rPr>
      </w:pPr>
      <w:r>
        <w:rPr>
          <w:rFonts w:ascii="arial" w:eastAsia="arial" w:hAnsi="arial" w:cs="arial"/>
          <w:color w:val="000000"/>
          <w:sz w:val="20"/>
          <w:lang w:val="en-US" w:eastAsia="en-US" w:bidi="ar-SA"/>
        </w:rPr>
        <w:t>Nanaimo Registry No. E16590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997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588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113 A.C.W.S. (3d) 738</w:t>
      </w:r>
    </w:p>
    <w:p>
      <w:pPr>
        <w:spacing w:before="120" w:line="260" w:lineRule="atLeast"/>
        <w:rPr>
          <w:lang w:val="en-US" w:eastAsia="en-US" w:bidi="ar-SA"/>
        </w:rPr>
      </w:pPr>
      <w:r>
        <w:rPr>
          <w:rFonts w:ascii="arial" w:eastAsia="arial" w:hAnsi="arial" w:cs="arial"/>
          <w:color w:val="000000"/>
          <w:sz w:val="20"/>
          <w:lang w:val="en-US" w:eastAsia="en-US" w:bidi="ar-SA"/>
        </w:rPr>
        <w:t>Between E.P., plaintiff, and J.E.S.,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1" style="position:absolute;z-index:2516940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93" w:name="Keywords_25"/>
      <w:bookmarkEnd w:id="193"/>
      <w:r>
        <w:rPr>
          <w:rFonts w:ascii="arial" w:eastAsia="arial" w:hAnsi="arial" w:cs="arial"/>
          <w:b/>
          <w:color w:val="000000"/>
          <w:sz w:val="20"/>
          <w:lang w:val="en-US" w:eastAsia="en-US" w:bidi="ar-SA"/>
        </w:rPr>
        <w:t>Torts — Trespass — Assault and battery — Sexual assault — Damages — Punitive damages.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94" w:name="Case Summary_24"/>
            <w:bookmarkEnd w:id="19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EP for damages for sexual assault. The defendant JES did not appear, although he was served with documents at his last known address. EP was sexually abused by her mother's partner MS between ages 3 and 11. These assaults consisted of fondling EP's genitals and progressed to oral sex. EP's mother then started a relationship with JES. JES sexually abused EP between the ages of 12 and 16. He fondled her, engaged in oral sex, and forced her to have sexual intercourse several times a month for three years. EP left home at 16. She had become sexually active outside of the home shortly after JES started having intercourse with her. She became pregnant at age 13 and had an abortion. She had had a number of short-term abusive relationships. She had been married, but characterized the marriage as an emotionally abusive relationship. She had received counselling for many years. She had three children and found that the assaults inflicted by JES affected her parenting ability. JES had not been tried for the assaults as he resided in Mexico. </w:t>
            </w:r>
            <w:r>
              <w:rPr>
                <w:lang w:val="en-US" w:eastAsia="en-US" w:bidi="ar-SA"/>
              </w:rPr>
              <w:cr/>
            </w:r>
          </w:p>
          <w:p>
            <w:pPr>
              <w:spacing w:before="120" w:line="260" w:lineRule="atLeast"/>
              <w:ind w:left="240"/>
              <w:jc w:val="both"/>
              <w:rPr>
                <w:lang w:val="en-US" w:eastAsia="en-US" w:bidi="ar-SA"/>
              </w:rPr>
            </w:pPr>
            <w:bookmarkStart w:id="195" w:name="Holdings of Court_24"/>
            <w:bookmarkEnd w:id="195"/>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EP was entitled to general damages of $150,000 and punitive damages of $35,000. The assaults by JES were more invasive and serious than those by MS. JES created significantly greater harm than did MS. EP suffered a long- term detrimental impact on her life affecting her relationships, her self-respect and her self-esteem. The assaults were aggravated by the fact that EP was a child and JES was in a position of trust over her. Punitive damages were appropriate as JES had not faced criminal liability for his actions. </w:t>
            </w:r>
            <w:r>
              <w:rPr>
                <w:lang w:val="en-US" w:eastAsia="en-US" w:bidi="ar-SA"/>
              </w:rPr>
              <w:cr/>
            </w:r>
          </w:p>
          <w:p>
            <w:pPr>
              <w:rPr>
                <w:lang w:val="en-US" w:eastAsia="en-US" w:bidi="ar-SA"/>
              </w:rPr>
            </w:pPr>
          </w:p>
        </w:tc>
      </w:tr>
    </w:tbl>
    <w:p>
      <w:pPr>
        <w:jc w:val="both"/>
        <w:rPr>
          <w:lang w:val="en-US" w:eastAsia="en-US" w:bidi="ar-SA"/>
        </w:rPr>
      </w:pPr>
      <w:bookmarkStart w:id="196" w:name="Legislation Cited_12"/>
      <w:bookmarkEnd w:id="19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72" style="position:absolute;z-index:2517452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39(33).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197" w:name="Counsel_33"/>
      <w:bookmarkEnd w:id="19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3" style="position:absolute;z-index:2517954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Richard F. Johnston, for the plaintiff.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defendant did not appear.</w:t>
      </w:r>
      <w:r>
        <w:rPr>
          <w:lang w:val="en-US" w:eastAsia="en-US" w:bidi="ar-SA"/>
        </w:rPr>
        <w:cr/>
      </w:r>
    </w:p>
    <w:p>
      <w:pPr>
        <w:spacing w:after="240"/>
        <w:rPr>
          <w:lang w:val="en-US" w:eastAsia="en-US" w:bidi="ar-SA"/>
        </w:rPr>
      </w:pPr>
      <w:bookmarkStart w:id="198" w:name="Judgment_31"/>
      <w:bookmarkEnd w:id="198"/>
      <w:r>
        <w:pict>
          <v:line id="_x0000_s1174" style="position:absolute;z-index:251835392"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[Quicklaw note: A Corrigendum was released by the Court May 21, 2002. The correction has been made to the text and the Corrigendum is appended to this document.]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99" w:name="RALPH J."/>
            <w:bookmarkEnd w:id="199"/>
            <w:r>
              <w:rPr>
                <w:rFonts w:ascii="arial" w:eastAsia="arial" w:hAnsi="arial" w:cs="arial"/>
                <w:b/>
                <w:color w:val="000000"/>
                <w:sz w:val="30"/>
                <w:lang w:val="en-US" w:eastAsia="en-US" w:bidi="ar-SA"/>
              </w:rPr>
              <w:t>RALPH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E.P., alleges that the defendant sexually assaulted her repeatedly when she was between 12 and 16 years of age. In this action she seeks damages for the assaults.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was commenced in 1997 and the plaintiff obtained a default judgment some time later. In February 1999 the defendant retained counsel and obtained an order setting aside the default judgment. A statement of defence was filed February 26, 1999. In April 1999 the defendant's counsel withdrew from the action, having filed a notice of intention to withdraw as solicitor and then a notice of withdrawal. The notice of withdrawal stated the defendant's last known address as an address in Mexico. On January 30, 2002, counsel for E.P. sent the defendant notice of an intention to proceed, an affidavit of E.P., and notice of trial at the address provided in the defendant's notice of withdrawal. Copies of the documents were also sent to a second address in Mexico which counsel for E.P. had learned might also be an address where the defendant could be reached. No response was received and no documents were returned. After hearing submissions from counsel for the plaintiff I ruled pursuant to R. 39(33) that the trial would proceed.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E.P. was born December 19, 1966, and is now 35 years old. She was married in 1991 and is the mother of three children aged 8, 6 and 4 who reside with her. She separated from her husband in August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Before moving to British Columbia with her mother and two of her brothers at a date between 1978 and 1980, E.P. lived with them in Ontario. E.P.'s mother had separated from E.P.'s father when E.P. was between the ages of 2 and 3. When E.P. was between 3 and 4, her mother began living with M.S., a man whom E.P. described as being physically abusive to her and her brothers.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E.P. described sexual assaults upon her by M.S. which began when she was 3 or 4 years old and continued for 7 or 8 years. The assaults consisted of fondling E.P.'s genitals and progressed when she was 6 or 7 years old to oral sex which they performed on each other. E.P. recalled the frequency of the assaults as occurring two or three times a month. Her mother's relationship with M.S. ended when E.P. was approximately 11 or 12 years 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E.P. was approximately 12 years old her mother formed a relationship with the defendant, J.E.S., in Ontario but they did not begin living together until after the family moved to British Columbia shortly after. E.P. described J.E.S. as being very friendly and having a friendly appearance. She says that it seemed like he really cared about her mother. In addition, E.P. says that J.E.S. took her on outings such as shopping and she felt like she was his daughter.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E.P. says, however, that while they were still living in Ontario J.E.S. began abusing her at his apartment by touching and grabbing her breasts. She also referred to an incident where J.E.S. suggested to her that he would invite her mother to his apartment and have her perform oral sex on him so that E.P. could watch without her mother knowing and learn how to perform such acts on him. It was E.P.'s evidence that this was subsequently carried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E.P.'s family and J.E.S. moved to British Columbia they lived in the same home. The frequency of the defendant grabbing E.P.'s breasts and her vaginal area increased and progressed to the defendant inserting his finger into E.P.'s vagina and to E.P. and J.E.S. performing oral sex on each other. When E.P. was approximately 13, J.E.S. began to force her to have sexual intercourse with him. The intercourse continued for about 3 years at a frequency of approximately twice a month until E.P. left home at age 16. The assaults took place in the family home when others were not around or E.P.'s brothers were downstairs.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E.P. says that she did not disclose the assaults to her mother because after the family's abusive relationship with M.S. her mother was "finally happy" in her new relationship and E.P. did not want to see her mother unhappy again.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some point shortly after the incidents of sexual intercourse began, E.P. became sexually active outside of the home to the point of becoming promiscuous. She links that behaviour to J.E.S. because she felt that he thought that was all she was good for. She became pregnant at age 13 and did not know who the father of the child was. She made a decision to have an abortion. In looking back on that decision today, E.P. regards that decision as the best one in her circumstances at the time but says that she continues to feel guilty about having terminated the pregnancy.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E.P. was in grade 9 her school attendance and performance dropped although she continued to receive passing grades. She left home at age 16. She also left school just short of completing 2 credits required for high school graduation.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leaving home, E.P. lived for a few months with her father in Ontario. She subsequently returned to live with her mother in Nanaimo when she was 18 and J.E.S. had left the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E.P. attended a counselling group in Nanaimo before her nineteenth birthday. Because of her age the counsellor took the position that the sexual abuse described by E.P. was required to be reported to the police. However, E.P. did not wish to pursue criminal action against J.E.S., as her mother had ended her relationship with him. After discussions with the police it was agreed that such action would not be taken if E.P. informed her mother of the abuse that had taken place. E.P. received approximately 3 months of counselling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For the next few years E.P. had a number of short-term relationships with men, a number of whom were physically and emotionally abusive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time, E.P. undertook some college training and became employed as a financial assistance worker in Fort St. James. She met and married her husband there. In the course of the marriage there were a number of problems and E.P. describes the marriage as an emotionally abusive relationship. In 1993 E.P. received counselling from a mental health therapist in Fort St. James. E.P. says that in her relationship with her husband she began to have flashbacks to the assaults she received from the defendant and this made her relationship with her husband worse. In a number of respects her husband's treatment of her caused E.P. to be reminded of her relationship with J.E.S. In August 2001 E P. separated from her husband and returned to Nanaimo.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E.P. referred to the difficulty she now experiences when she sees her own children touching or grabbing one another. Even though the contact is not of a sexual nature it reminds her of the grabbing of her by J.E. S. and causes her unreasonably to become very angry.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Since returning to Nanaimo, E.P. has received further counselling. The counselling is expected to continue for some time. E.P. has enrolled as a full-time student at Malaspina College in the third year of a program leading to a bachelor's degree. She appears to be doing well in her studies and her success is a source of confidence for her. It is her wish to pursue studies at a Master's degree level after completing her bachelor's degree.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E.P.'s assessment that she has made progress in dealing with the mental and emotional problems she has experienced. She says that she continues to struggle with issues relating to her self-esteem.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March and April 1998 Dr. A. Maura Beattie, a registered psychologist in Nanaimo, assessed E.P. Dr. Beattie's opinion dated May 6, 1998, was filed in the trial. In Dr. Beattie's opinion, E.P.'s "presentation, background information, and psychological test results are all consistent with a history of sexual victimization." Dr. Beattie notes that E.P. displays a number of the patterns of behaviour of victims of sexual assault.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Among those patterns of behaviour identified by Dr Beattie are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Females who are sexually abused as children may become quite promiscuous as they feel that sexual behavior defines their worth. Simultaneously, such individuals may excel in school or work due to perfectionist tendencies, but have low self-esteem.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Beattie also addresses the issue of E.P. having been sexually assaulted by both M.S. and the defendant and recognizes the difficulty in attributing the effects of the abuse to one or the other. Dr. Beattie summarizes her conclusion on this matter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Although it is impossible to clearly associate individual problems that [E.P.] is experiencing to abuses perpetrated by [M.S.] or [J.E.S.], one can conclude that the abuse by [J.E.S.] did affect [E.P.] quite profoundly and if not creating some difficulties for her, may have exacerbated them. Certainly, she describes some difficulties that would appear to be more clearly related to the abuse perpetrated by [J.E.S.] rather than that perpetrated by [M.S.].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am satisfied on the evidence that the sexual assaults by J.E.S. have been proven, that they occurred between 1979 and 1984, and that J.E.S. was in a position of trust in relation to E.P.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E.P. claims general and aggravated damages, punitive damages, interest on punitive damages and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Counsel for E.P. referred to a number of recent decisions that have awarded damages for sexual abuse of children. The range of general damages in those cases is $100,000 to $250,000. The award of $250,000 was made in S.Y. v. F.G.C. </w:t>
      </w:r>
      <w:hyperlink r:id="rId775"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(C.A.) where the Court of Appeal reduced a jury award of $350,000.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comparing the circumstances in those cases to the present case, counsel submits that an appropriate assessment in this case for non-pecuniary damages, including aggravated damages, is $175,000. He says that an appropriate award for punitive damages is $50,000.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case E.P. has been the victim of a large number of intentional wrongs involving criminal behaviour which extended over a period of four years. The assaults were aggravated by the fact the plaintiff was a child and the defendant was in a position of trust in relation to her. While the plaintiff had the tragic misfortune to have been sexually assaulted earlier in her life by another person who was then in a position of trust toward her, the nature of the assaults by the defendant in this case entailed even more serious invasive misconduct. In addition to enduring the actual assaults which were frequent and of long duration, it is clear that E.P also suffered a long-term detrimental impact on her life affecting her relationships with men, her marriage, her self-respect, and her self-esteem. The distress resulting from the assaults continues to be experienced by E.P. almost 20 years after the physical harm ended and further counselling has been prescribed.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J.E.S. bears responsibility for the harm which he caused but not for the harm caused by M.S. In Athey v. Leonati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(S.C.C.) Major J. recognized that the plaintiff was entitled to be put in the "original position", that being "the position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Major J. went on to state at para. 35: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damages but not the pre-existing damage: Cooper-Stephenson, supra, at pp. 779-780 and John Munkman, Damages for Personal Injuries and Death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Graham v. Roule </w:t>
      </w:r>
      <w:hyperlink r:id="rId135"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Malec v. J.C. Hutton Proprietary Ltd. (1990), 169 U.K.W.L.R. 638; Cooper-Stephenson, supra, at pp. 851-852. This is consistent with the general rule that the plaintiff must be returned to the position he would have been in, with all of its attendant risks and shortcomings, and not a better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the evidence supports a conclusion that the harm caused by the defendant was significantly greater than the harm caused by M.S. The harm caused by the defendant has had a profound and long-term impact upon E.P. Recognizing that compensation should be based on an approach which seeks to place E.P. in the position she would have been in absent the defendant's assaults, I assess her general damages, inclusive of aggravated damages, at $150,000.00.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purpose of punitive damages was addressed by the Supreme Court of Canada in Hill v. Church of Scientology of Toronto </w:t>
      </w:r>
      <w:hyperlink r:id="rId12" w:history="1">
        <w:r>
          <w:rPr>
            <w:rFonts w:ascii="arial" w:eastAsia="arial" w:hAnsi="arial" w:cs="arial"/>
            <w:i/>
            <w:color w:val="0077CC"/>
            <w:sz w:val="20"/>
            <w:u w:val="single"/>
            <w:shd w:val="clear" w:color="auto" w:fill="FFFFFF"/>
            <w:lang w:val="en-US" w:eastAsia="en-US" w:bidi="ar-SA"/>
          </w:rPr>
          <w:t>(1995), 126 D.L.R. (4th) 129</w:t>
        </w:r>
      </w:hyperlink>
      <w:r>
        <w:rPr>
          <w:rFonts w:ascii="arial" w:eastAsia="arial" w:hAnsi="arial" w:cs="arial"/>
          <w:color w:val="000000"/>
          <w:sz w:val="20"/>
          <w:lang w:val="en-US" w:eastAsia="en-US" w:bidi="ar-SA"/>
        </w:rPr>
        <w:t>. The court noted that their purpose is to punish the defendant. Cory J. expanded upon that purpose at para. 196: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the means by which the jury or judge expresses its outrage at the egregious conduct of the defendant. They are in the nature of a fine, which is meant to act as a deterrent to the defendant and to others from acting in this manner. It is important to emphasize that punitive damages should only be awarded in those circumstances where the combined award of general and aggravated damages would be insufficient to achieve the goal of punishment and deterrence.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assessing punitive damages in cases of this nature the court has taken into account any criminal proceedings which may have been taken against defendants. Because such proceedings in part serve a purpose similar to the purpose of punitive damages punitive damages may not be awarded or awards may be reduced in amount. Although the police are aware of E.P.'s complaint, criminal proceedings have not taken place, likely because J.E.S. is resident in Mexico. There is no evidence that they are likely to take place. Having regard to the range of punitive damages in the cases which have been cited, I assess punitive damages in the amount of $35,000.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summary, the plaintiff is awarded judgment against the defendant. Damages are assessed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405"/>
        <w:gridCol w:w="1255"/>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General damages</w:t>
            </w:r>
          </w:p>
        </w:tc>
        <w:tc>
          <w:tcPr>
            <w:tcW w:w="122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$150,000</w:t>
            </w:r>
          </w:p>
        </w:tc>
        <w:tc>
          <w:tcPr>
            <w:tcW w:w="6042"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Punitive damages</w:t>
            </w:r>
          </w:p>
        </w:tc>
        <w:tc>
          <w:tcPr>
            <w:tcW w:w="122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35,000</w:t>
            </w:r>
          </w:p>
        </w:tc>
        <w:tc>
          <w:tcPr>
            <w:tcW w:w="6042"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355"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1229"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$185,000</w:t>
            </w:r>
          </w:p>
        </w:tc>
        <w:tc>
          <w:tcPr>
            <w:tcW w:w="6042"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The plaintiff is entitled to interest on punitive damages as provided for under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The plaintiff is also entitled to costs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RALPH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CORRIGENDUM</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Released: May 21, 2002</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[1] On page one of my reasons for judgment in this action dated May 9, 2002, the place of trial should in fact read "Nanaimo" and not "Vancouver".</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Farrokhmanesh v. Sahib, [2010] B.C.J. No. 2525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M070334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2525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1797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C.P.C. (7th) 380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3830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195 A.C.W.S. (3d) 636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Sanaz Farrokhmanesh, Plaintiff, and Ishtiyaq Ali Sahib and Amin Zulfikaralli Shamji,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6"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0" w:name="Keywords_26"/>
      <w:bookmarkEnd w:id="200"/>
      <w:r>
        <w:rPr>
          <w:rFonts w:ascii="arial" w:eastAsia="arial" w:hAnsi="arial" w:cs="arial"/>
          <w:b/>
          <w:color w:val="000000"/>
          <w:sz w:val="20"/>
          <w:lang w:val="en-US" w:eastAsia="en-US" w:bidi="ar-SA"/>
        </w:rPr>
        <w:t>Civil litigation — Civil procedure — Costs — Assessment or fixing of costs — Considerations — Disbursements — Application by plaintiff to review a Registrar's assessment of costs with respect to an action for damages for injuries sustained in a motor vehicle accident dismissed with costs — The Registrar had not erred on a matter of principle in disallowing the cost of the MRIs on the grounds that they were not necessary or properly incurred — The applicant failed to show the Registrar acted on a wrong principle in disallowing the cost of a psychologist where a psychiatrist had also been retained.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Costs — Application by plaintiff to review a Registrar's assessment of costs with respect to an action for damages for injuries sustained in a motor vehicle accident dismissed with costs — The Registrar had not erred on a matter of principle in disallowing the cost of the MRIs on the grounds that they were not necessary or properly incurred — The applicant failed to show the Registrar acted on a wrong principle in disallowing the cost of a psychologist where a psychiatrist had also been retained.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1" w:name="Case Summary_25"/>
            <w:bookmarkEnd w:id="2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plaintiff to review a Registrar's assessment of costs with respect to an action for damages for injuries sustained in a motor vehicle accident. The Registrar disallowed two claimed disbursements, namely a claim for $2,279 for MRI scans, and $3,938 for a medical legal report prepared by a psychologist. The applicant argued the Registrar erred in disallowing the cost of the MRIs when Fahey had deposed in his affidavit that he exercised his judgement and believed the MRIs to be reasonable or necessary. The applicant further argued the Registrar erred in principle in disallowing the cost of Dr. Joy's report on the basis that it was unreasonably duplicative of the report of Dr. Sehon. The defendants argued that the application offended the rule against champerty, as they suspected the application was being funded by strangers to the litigation.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2" w:name="Holdings of Court_25"/>
            <w:bookmarkEnd w:id="202"/>
            <w:r>
              <w:rPr>
                <w:rFonts w:ascii="arial" w:eastAsia="arial" w:hAnsi="arial" w:cs="arial"/>
                <w:color w:val="000000"/>
                <w:sz w:val="20"/>
                <w:lang w:val="en-US" w:eastAsia="en-US" w:bidi="ar-SA"/>
              </w:rPr>
              <w:t>HELD: Application dismissed with costs.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for the court to interfere on a review of taxation save where the taxing master had gone wrong on a matter of principle. It was not an error in principle for the Registrar to disallow a disbursement that counsel said was justified. Read in context, the Registrar's reason for disallowing the cost of the MRI was that she found it was necessarily or properly incurred. In coming to that conclusion, she took into account that no medical professional had advised counsel of the probable utility of an MRI in the particular circumstances of the case. Fahey had deposed in his affidavit that he was unaware of the plaintiff exhibiting any objective signs of injury when he ordered the MRIs. The court was unable to find the Registrar acted on a wrong principle in disallowing the cost of the MRIs. A fair reading of the Registrar's decision did not disclose that the Registrar committed the error of post facto reasoning. The Registrar found the reasons advanced by Fahey that both experts should be retained were unsatisfactory. The Registrar quite reasonably found the explanation that the purpose of retaining both experts was to respond to the defence expert to be wanting when at the time the plaintiff had not yet seen the defence expert and his report was not available. There was a sufficient basis to refer to "doctor shopping". The applicant failed to show the Registrar acted on a wrong principle in disallowing the cost of a psychologist where a psychiatrist had also been retained. There was no need to decide the issue of whether the application was champertous.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3" w:name="Legislation Cited_13"/>
      <w:bookmarkEnd w:id="2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7"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Civil Rules, Rule 14-1(2), Rule 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57(2), Rule 57(4)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4" w:name="Counsel_34"/>
      <w:bookmarkEnd w:id="2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8"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W.S. Berardino, Q.C. and T.C. Boyar.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Weinrath.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5" w:name="Judgment_32"/>
      <w:bookmarkEnd w:id="205"/>
      <w:r>
        <w:pict>
          <v:line id="_x0000_s1179"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6" w:name="W. EHRCKE J."/>
            <w:bookmarkEnd w:id="206"/>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brought by a Notice of Motion signed by Mr. Boyar as solicitor for the plaintiff. At the hearing, Mr. Boyar appeared along with Mr. Berardino, Q.C., who presented the oral argument. The application is to review the assessment of costs of District Registrar Sainty dated April 14, 2010, reported at </w:t>
      </w:r>
      <w:hyperlink r:id="rId783" w:history="1">
        <w:r>
          <w:rPr>
            <w:rFonts w:ascii="arial" w:eastAsia="arial" w:hAnsi="arial" w:cs="arial"/>
            <w:i/>
            <w:color w:val="0077CC"/>
            <w:sz w:val="20"/>
            <w:u w:val="single"/>
            <w:shd w:val="clear" w:color="auto" w:fill="FFFFFF"/>
            <w:lang w:val="en-US" w:eastAsia="en-US" w:bidi="ar-SA"/>
          </w:rPr>
          <w:t>2010 BCSC 497</w:t>
        </w:r>
      </w:hyperlink>
      <w:r>
        <w:rPr>
          <w:rFonts w:ascii="arial" w:eastAsia="arial" w:hAnsi="arial" w:cs="arial"/>
          <w:color w:val="000000"/>
          <w:sz w:val="20"/>
          <w:lang w:val="en-US" w:eastAsia="en-US" w:bidi="ar-SA"/>
        </w:rPr>
        <w:t xml:space="preserve">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her Decision, the Registrar disallowed two of the plaintiff's disbursements, namely, MRI scans in the amount of $2,279.10, and a medical legal report prepared by a psychologist, Dr. Joy, in the amount of $3,937.50.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applicant submits that these two disbursements ought to be allowed. The defendants submit that the decision of the Registrar should not be 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also raise an additional point. They submit that the present application offends the rule against champerty, as they suspect that this application for review is being funded by strangers 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involved in two motor vehicle accidents, one on January 25, 2005 and the other on November 18, 2005. Matthew Fahey acted as counsel for the plaintiff in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trial, the plaintiff settled both actions for $42,000, plus costs to be assessed. The costs of the second action were settled for $8,100, but the parties could not agree on the costs of the first action, so they went before District Registrar Sainty on March 22, 2010 for an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that hearing, Mr. Fahey filed an affidavit in which he explained his understanding of the agreement between the plaintiff and CMI (Canadian Magnetic Imaging), the company that performed the MRIs. He deposed at para. 8:</w:t>
      </w:r>
      <w:r>
        <w:rPr>
          <w:rFonts w:ascii="arial" w:eastAsia="arial" w:hAnsi="arial" w:cs="arial"/>
          <w:sz w:val="20"/>
          <w:lang w:val="en-US" w:eastAsia="en-US" w:bidi="ar-SA"/>
        </w:rPr>
        <w:cr/>
      </w:r>
    </w:p>
    <w:p>
      <w:pPr>
        <w:numPr>
          <w:numId w:val="2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advised by Mr. T. Cherniak that the agreement between the plaintiff herein and CMI is that if there is no recovery, on account of damages or costs, under her claim then CMI waives payment for the scans. In this case the plaintiff has recovered sums and is obligated to pay the CMI accounts with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also deposed at para. 9 that he understood CMI required a requisition from a physician before they would perform an MRI, and in this case, CMI wrote the physician for clarification as to which areas were to be scanned. The doctor provided that clarification, and the scans were performed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Fahey explained his reasons for ordering the MRI at paras. 11-14:</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been practicing personal injury law for approximately 19 years and in my experience defendants typically argue that there are no objective signs of injury and thus one must believe the plaintiff and then argue that the plaintiff is not credible for whatever reason. I anticipated this approach in the claim herein. I was unaware of the plaintiff exhibiting any objective signs of injury when I ordered the MRI scans. I thought the scans may show objective injury including, but not limited to, a cervical disc injury and/or a muscle tear in the trapezius area. In my experience these injuries often show up with magnetic scans but do not show up on traditional x-rays or CT scans.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ordered the scans because in my view presentation of my client's claim required it. The plaintiff had been off work for a long time and had continuing complaints. These pain symptoms were also causing significant depression. I knew the fact of whether or not there were objective signs of injury as opposed to only subjective complaints was going to be an important issue at trial and thus I ordered the scans to obtain evidence going to this issue.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knew when I ordered the scans that upon resolution of the subject claims the client would likely be required to sign a release thereby ending her ability to make any further claim for damage, on a permanent basis, to her neck and shoulder. Knowing this and the fact I was responsible for giving advice to the plaintiff regarding her injury and damages and the release, I ordered the scans to ensure there was no latent injury not previously uncovered. This was one of the reasons I ordered the scans. The plaintiff herein was going to forever give up her right to sue in connection with these injuries and thus it was my view that it was important to have the scans undertaken. In fact, it was a term of the settlement herein that the plaintiff sign an ICBC form of release.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scan findings were relied upon by me in giving advice to the plaintiff regarding settlement and were relied upon by the plaintiff in consideration of the strength of her case and were very useful in this regard. After the scans were done and the reports were reviewed the plaintiff and I had a much better sense of her case and the litigation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diagnosed with cancer shortly before the accidents and suffered from depression as a result. Her husband left her after the accidents. Although the plaintiff attributed the breakdown of her marriage to depression caused by the injuries she suffered in the accidents, Mr. Fahey anticipated that he would have to address a defence argument that her condition was caused by events unrelated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Fahey retained a psychiatrist, Dr. Sehon to prepare a psychiatric opinion. He also retained a psychologist, Dr. Joy for a psychological opinion. Subsequently, the defence retained Dr. O'Shaughnessy to prepare an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para. 3 of his affidavit, Mr. Fahey explained why he retained both a psychiatrist and a psychologist. He said: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retained Dr. T. Sehon to prepare psychiatric opinion evidence. I retained Dr. Joy for a psychological opinion. I retained both experts because as counsel I believed my client's case required it. This was my belief because:</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mental/emotional problems were a significant issue, and the matter was complicated.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Psychiatrist and the Psychologist bring different perspectives and analyses to bear and I had not decided whether to use one, both, or neither of them.</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may have used Dr. Sehon for preparation of my cross of the defence expert or for rebuttal purposes only.</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know Dr. Joy to be a very polished and strong expert witness with many years of experience. I have reviewed the cases where he is mentioned and courts have typically agreed and relied upon his testimony. His opinions in my experience are well written, are comprehensive and he is objective.</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I ordered the reports, I anticipated making future care awards for medicine and psychotherapy. Dr. Joy cannot prescribe prescription drugs and thus would not be in a position to give opinions in this regard. Dr. Joy would be in a position to opine regarding the need for psychotherapy and the cost thereof. The therapy offered by Psychiatrists, in my experience, is drug therapy and possible referral to psychotherapy.</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these investigations were requisitioned, the precise nature of the depression and psychological upset and the treatment plan was not established. As counsel, I believed I needed to have the plaintiff investigated by these experts to effectively present her claims and to respond to the defence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THE REGISTRAR'S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issue on the Registrar's hearing were a number of tariff items and five disbursements, including the costs of the MRIs and of Dr. Joy's medical legal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Registrar gave extensive reasons for disallowing the costs of the MRIs. At paras. 36-37 of her Decision, she quoted extensively from the affidavit of Mr. Fahey. She went on at paras. 38-43 to review the relevant case law and the submissions of both parties. She then decided on the basis of the law, the evidence, and the submissions of counsel that the claim for the MRIs should be disallowed. She concluded at paras. 44-46: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I am going to disallow the claim for reimbursement for the two MRI scans. I cannot accede to Mr. Fahey's argument that simply because he, as counsel, thought it was necessary to obtain MRI scans I ought not to question that decision unless I find it to be extravagant or overly zealous. In my view, and I am going to expand on what Registrar Blok held in </w:t>
      </w:r>
      <w:r>
        <w:rPr>
          <w:rFonts w:ascii="arial" w:eastAsia="arial" w:hAnsi="arial" w:cs="arial"/>
          <w:i/>
          <w:color w:val="000000"/>
          <w:sz w:val="20"/>
          <w:lang w:val="en-US" w:eastAsia="en-US" w:bidi="ar-SA"/>
        </w:rPr>
        <w:t>Ward v. W.S. Leasing Ltd.</w:t>
      </w:r>
      <w:r>
        <w:rPr>
          <w:rFonts w:ascii="arial" w:eastAsia="arial" w:hAnsi="arial" w:cs="arial"/>
          <w:color w:val="000000"/>
          <w:sz w:val="20"/>
          <w:lang w:val="en-US" w:eastAsia="en-US" w:bidi="ar-SA"/>
        </w:rPr>
        <w:t>, to be allowed as a necessary and proper disbursement, there must be some medical reason for ordering an MRI. It is not simply enough that counsel seeks some (potential) objective evidence of an injury. Nor is it enough that counsel wishes to ensure that there is no latent injury such that his client might sign the standard release required. There is always a risk in personal injury litigation that a new injury or an injury that has not yet been determined might be found following settlement. That is simply a risk of litigation and a risk of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I am not satisfied on the evidence before me that costs of the MRI scans were necessarily or properly incurred in the conduct of the proceeding and I will not allow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Mr. Fahey made a claim for interest on the fees for the MRI scans. As I have not allowed the costs of those scans, I do not have to decide the issue of whether the defendant ought to reimburse the plaintiff any interest paid by her on such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Registrar next turned, at para. 47, to the issue of the fees for Dr. Joy, the psychologist who had been retained by Mr. Fahey in addition to the psychiatrist, Dr. Sehon. The issue was whether it was necessary or proper to retain both experts on the facts of this case. At para. 48, the Registrar reviewed the affidavit evidence of Mr. Fahey as to his reasons for retaining both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paras. 49-53. the Registrar considered the submissions of counsel and found that it was not necessary or proper to retain Dr. Joy in light of the work that had been done by Dr. Sehon, and she disallowed that disbursement.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As I noted above, Ms Weinrath suggested that Dr. Joy's and Dr. Sehon's work was duplicative in nature and that there was no particular reason for employing both a psychologist and a psychiatrist. In support of her argument, she took me through both experts' reports. Both Dr. Joy and Dr. Sehon diagnosed the plaintiff as having a pain disorder. Dr. Sehon also thought the plaintiff had sustained a "major depressive disorder" while Dr. Joy felt that she had "anxiety and depressive symptomology". Both Dr. Joy and Dr. Sehon used the same diagnostic tools (the DSM-IV-TR) in coming to their conclusions. Both doctors also performed similar testing including the Beck Depression Inventory 2nd Edition in assessing Ms Farrokhmanesh.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In response to Mr. Fahey's suggestion that the report of Dr. Sehon was required in order to have "matching experts" (the defendants had retained Dr. O'Shaunessy, a psychiatrist), Ms Weinrath argued that it is not necessary to have matching experts to bring forward a particular claim, as each expert is an expert in his or her own right and can opine on his or her own areas of expertise.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As for the issue of psychotherapy, Ms Weinrath submitted that psychiatrists frequently engage in psychotherapy. Further, as regards to Mr. Fahey's submission that Dr. Sehon was required to prescribe drug therapy Ms Weinrath noted that the plaintiff was being prescribed drugs by her family physician and suggested that there was therefore no requirement to have Dr. Sehon available as a prescriber.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I am not convinced, on the evidence before me, that it was necessary and proper to hire both experts given that their expertise clearly overlaps and each used similar methodology in assessing the plaintiff. The plaintiff saw both Dr. Joy and Dr. Sehon in July 2008. There was no reason, in my view, to have the plaintiff assessed by both, except to some extent, to do some "doctor shopping" (and in saying so I mean no disrespect to Mr. Fahey's decision to have the plaintiff seen by both Dr. Joy and Dr. Sehon). My view is bolstered by the fact that, at the time that both experts were retained (or at least at the time their reports were ordered), the plaintiff had not yet seen Dr. O'Shaunessy (and certainly his report was not available) and thus Mr. Fahey's concerns over having an expert who could "match" Dr. O'Shaunessy were unfounded.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 find that is was not necessary or proper to have two experts engaged in a similar assessment at the time these experts were retained and, accordingly I disallow the claim for the expert report and fees charged by Dr. Joy in the amount of $3,937.50.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Frost v. Frost</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(1940), 56 B.C.R. 30</w:t>
        </w:r>
      </w:hyperlink>
      <w:r>
        <w:rPr>
          <w:rFonts w:ascii="arial" w:eastAsia="arial" w:hAnsi="arial" w:cs="arial"/>
          <w:color w:val="000000"/>
          <w:sz w:val="20"/>
          <w:lang w:val="en-US" w:eastAsia="en-US" w:bidi="ar-SA"/>
        </w:rPr>
        <w:t xml:space="preserve"> (C.A.), the Court of Appeal discussed the proper standard on a review of a registrar's decision on assessment of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Historically the matter seems to stand thus: It was always the law in England that it was not for the Court to interfere on a review of taxation except where the taxing master had gone wrong on a matter of principle. In </w:t>
      </w:r>
      <w:r>
        <w:rPr>
          <w:rFonts w:ascii="arial" w:eastAsia="arial" w:hAnsi="arial" w:cs="arial"/>
          <w:i/>
          <w:color w:val="000000"/>
          <w:sz w:val="20"/>
          <w:lang w:val="en-US" w:eastAsia="en-US" w:bidi="ar-SA"/>
        </w:rPr>
        <w:t>Ginn v. Robey</w:t>
      </w:r>
      <w:r>
        <w:rPr>
          <w:rFonts w:ascii="arial" w:eastAsia="arial" w:hAnsi="arial" w:cs="arial"/>
          <w:color w:val="000000"/>
          <w:sz w:val="20"/>
          <w:lang w:val="en-US" w:eastAsia="en-US" w:bidi="ar-SA"/>
        </w:rPr>
        <w:t>, [1911] WN 28, this is clearly laid down by the Court of Appeal, reversing Bucknill, J. who had reversed the taxing master's order allowing fees to two counsel. The Court of Appeal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a question which the taxing master was much better qualified than a judge to decide and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the Court would not interfere in such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This standard of review was applied in </w:t>
      </w:r>
      <w:r>
        <w:rPr>
          <w:rFonts w:ascii="arial" w:eastAsia="arial" w:hAnsi="arial" w:cs="arial"/>
          <w:i/>
          <w:color w:val="000000"/>
          <w:sz w:val="20"/>
          <w:lang w:val="en-US" w:eastAsia="en-US" w:bidi="ar-SA"/>
        </w:rPr>
        <w:t>Bell v. Fantini</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(1981), 32 B.C.L.R. 322</w:t>
        </w:r>
      </w:hyperlink>
      <w:r>
        <w:rPr>
          <w:rFonts w:ascii="arial" w:eastAsia="arial" w:hAnsi="arial" w:cs="arial"/>
          <w:color w:val="000000"/>
          <w:sz w:val="20"/>
          <w:lang w:val="en-US" w:eastAsia="en-US" w:bidi="ar-SA"/>
        </w:rPr>
        <w:t xml:space="preserve"> (S.C.), where Legg J. said at p. 326: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examined the registrar's decisions on the basis that the court should rarely interfere with a taxing officer's ruling if appears that he understood the governing principle in reaching his conclusions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More recently, </w:t>
      </w:r>
      <w:r>
        <w:rPr>
          <w:rFonts w:ascii="arial" w:eastAsia="arial" w:hAnsi="arial" w:cs="arial"/>
          <w:i/>
          <w:color w:val="000000"/>
          <w:sz w:val="20"/>
          <w:lang w:val="en-US" w:eastAsia="en-US" w:bidi="ar-SA"/>
        </w:rPr>
        <w:t>Frost</w:t>
      </w:r>
      <w:r>
        <w:rPr>
          <w:rFonts w:ascii="arial" w:eastAsia="arial" w:hAnsi="arial" w:cs="arial"/>
          <w:color w:val="000000"/>
          <w:sz w:val="20"/>
          <w:lang w:val="en-US" w:eastAsia="en-US" w:bidi="ar-SA"/>
        </w:rPr>
        <w:t xml:space="preserve"> was applied in </w:t>
      </w:r>
      <w:r>
        <w:rPr>
          <w:rFonts w:ascii="arial" w:eastAsia="arial" w:hAnsi="arial" w:cs="arial"/>
          <w:i/>
          <w:color w:val="000000"/>
          <w:sz w:val="20"/>
          <w:lang w:val="en-US" w:eastAsia="en-US" w:bidi="ar-SA"/>
        </w:rPr>
        <w:t>Wood v. Kabaroff</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2006 BCSC 1391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accept that those cases set out the appropriate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THE RULES REGARDING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Registrar's Decision was rendered before the new Rules of Court came into effect. The former Rule 57(2) and (4)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57(2) On an assessment of party and party costs, the registrar shall allow those fees under Appendix B that were proper or reasonably necessary to conduct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determining the fees that are to be allowed on an assessment under subrule (1) or (3), the registrar must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which expenses and disbursement have been necessarily or properly incurred in the conduct of the proceeding, and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 reasonable amount for those expenses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current rule is similar. Rule 14-1(2) and (5) now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14-1(2) On an assessment of party and party costs under Appendix B, a registrar must: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those fees under Appendix B that were proper or reasonably necessary to conduct the proceeding,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Rule 1-3 and any case plan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assessing costs under subrule (2) or (3) of this rule, a registrar must: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which expenses and disbursements have been necessarily or properly incurred in the conduct of the proceeding,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 reasonable amount for those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One difference between the former rules and the current rules is that under the current Rule 14-1(2)(b), the Registrar is specifically directed to consider Rule 1-3,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 The object of these Supreme Court Civil Rules is to secure the just, speedy and inexpensive determination of every proceeding on its merits.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Securing the just, speedy and inexpensive determination of a proceeding on its merits includes, so far as is practicable, conducting the proceeding in ways that are proportionate to</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issues in dispute,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new rules thus explicitly require the Registrar to consider proportionality. Even under the former rules, however, the case law made it clear that the Registrar was required to assess whether a given disbursement was extravagant or the result of excessive caution or zeal. In making that determination, a consideration of proportionality would inevitably be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Bell v. Fantini</w:t>
      </w:r>
      <w:r>
        <w:rPr>
          <w:rFonts w:ascii="arial" w:eastAsia="arial" w:hAnsi="arial" w:cs="arial"/>
          <w:color w:val="000000"/>
          <w:sz w:val="20"/>
          <w:lang w:val="en-US" w:eastAsia="en-US" w:bidi="ar-SA"/>
        </w:rPr>
        <w:t>, Legg J. observed that in exercising the wide discretion given under rule 57(4) to disallow disbursements, to the Registrar must consider all the circumstances. He said at p. 327: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consider that Rule 57(4) entitles the registrar to exercise a wide discretion to disallow disbursements in whole or in part where the disbursements appear to him to have been incurred or increased through extravagance,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mistake or by payment of unjustified charges or expenses. The registrar must consider all the circumstances of each case and determine whether the disbursements were reasonably incurred and were justified. He must be careful to balance his duty to disallow expenses incurred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mistake, or which are extravagant, with his duty to recognize that a carefully prepared case requires that counsel use care in the choice of expert witnesses and examine all sources of information and possible evidence which may be of advantage to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 Daele v. Van Daele</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(1983), 56 B.C.L.R. 178</w:t>
        </w:r>
      </w:hyperlink>
      <w:r>
        <w:rPr>
          <w:rFonts w:ascii="arial" w:eastAsia="arial" w:hAnsi="arial" w:cs="arial"/>
          <w:color w:val="000000"/>
          <w:sz w:val="20"/>
          <w:lang w:val="en-US" w:eastAsia="en-US" w:bidi="ar-SA"/>
        </w:rPr>
        <w:t xml:space="preserve"> (C.A.) the Court of Appeal held that the circumstances must be judged at the time that the expense was incurred. McFarlane J.A. wrote at p. 180: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in my opinion, lies the error of principle into which Meredith J. fell. The proper test, it seems to me, from a number of authorities referred to us this morning is whether at the time the disbursement or expense was incurred it was a proper disbursement in the sense of not being extravagant, negligent, mistaken or a result of excessive caution or excessive zeal, judged by the situation at the time when the disbursement or expense was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McKenzie v. Darke</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2003 BCSC 138</w:t>
        </w:r>
      </w:hyperlink>
      <w:r>
        <w:rPr>
          <w:rFonts w:ascii="arial" w:eastAsia="arial" w:hAnsi="arial" w:cs="arial"/>
          <w:color w:val="000000"/>
          <w:sz w:val="20"/>
          <w:lang w:val="en-US" w:eastAsia="en-US" w:bidi="ar-SA"/>
        </w:rPr>
        <w:t>, Registrar Horn distinguished between the words "necessary" and "proper" in Rule 57(4). He wrote at paras. 17-18: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Rule 57(4) provides that necessary or proper disbursements and expenses shall be allowed.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There is a difference between a disbursement which is necessary and a disbursement which is proper. A "Necessary" disbursement is one which is essential to conduct the litigation. A "proper" disbursement is one which is not "necessary" but is reasonably incurred for the purposes of the proceeding. (For these propositions, see Fraser &amp; Horn, </w:t>
      </w:r>
      <w:r>
        <w:rPr>
          <w:rFonts w:ascii="arial" w:eastAsia="arial" w:hAnsi="arial" w:cs="arial"/>
          <w:i/>
          <w:color w:val="000000"/>
          <w:sz w:val="20"/>
          <w:lang w:val="en-US" w:eastAsia="en-US" w:bidi="ar-SA"/>
        </w:rPr>
        <w:t>Conduct of Civil Litigation in British Columbia</w:t>
      </w:r>
      <w:r>
        <w:rPr>
          <w:rFonts w:ascii="arial" w:eastAsia="arial" w:hAnsi="arial" w:cs="arial"/>
          <w:color w:val="000000"/>
          <w:sz w:val="20"/>
          <w:lang w:val="en-US" w:eastAsia="en-US" w:bidi="ar-SA"/>
        </w:rPr>
        <w:t xml:space="preserve"> ss. 28.28 and 28.30).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THE COST OF THE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applicant submits that the Registrar erred in disallowing the cost of the MRIs when Mr. Fahey had deposed at paras. 10-14 of his affidavit that he exercised his judgment and believed the MRIs to be reasonable or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It is not, however, an error in principle for the Registrar to disallow a disbursement that counsel has said was justified. In </w:t>
      </w:r>
      <w:r>
        <w:rPr>
          <w:rFonts w:ascii="arial" w:eastAsia="arial" w:hAnsi="arial" w:cs="arial"/>
          <w:i/>
          <w:color w:val="000000"/>
          <w:sz w:val="20"/>
          <w:lang w:val="en-US" w:eastAsia="en-US" w:bidi="ar-SA"/>
        </w:rPr>
        <w:t>Bell v. Fantini</w:t>
      </w:r>
      <w:r>
        <w:rPr>
          <w:rFonts w:ascii="arial" w:eastAsia="arial" w:hAnsi="arial" w:cs="arial"/>
          <w:color w:val="000000"/>
          <w:sz w:val="20"/>
          <w:lang w:val="en-US" w:eastAsia="en-US" w:bidi="ar-SA"/>
        </w:rPr>
        <w:t>, Legg J. observed at p. 327 that the Registrar was not bound to accept counsel's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registrar is not bound to accept an affidavit of counsel that in counsel's opinion the employment of the expert or the incurring of the expense was justified or that it was necessary for the attainment of justice when the registrar is considering allowing or disallowing the disbursement under this rule. He should give careful consideration to any such affidavit and he must weigh what is deposed to against any affidavit that deposes to the opposite effect. His duty under the rule is to determine whether the expense is a reasonable and justifiable expense </w:t>
      </w:r>
      <w:r>
        <w:rPr>
          <w:rFonts w:ascii="arial" w:eastAsia="arial" w:hAnsi="arial" w:cs="arial"/>
          <w:i/>
          <w:color w:val="000000"/>
          <w:sz w:val="20"/>
          <w:lang w:val="en-US" w:eastAsia="en-US" w:bidi="ar-SA"/>
        </w:rPr>
        <w:t>which should be borne by the unsuccessful litigant</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her Decision, the Registrar considered two cases specifically dealing with MRIs. She referred to </w:t>
      </w:r>
      <w:r>
        <w:rPr>
          <w:rFonts w:ascii="arial" w:eastAsia="arial" w:hAnsi="arial" w:cs="arial"/>
          <w:i/>
          <w:color w:val="000000"/>
          <w:sz w:val="20"/>
          <w:lang w:val="en-US" w:eastAsia="en-US" w:bidi="ar-SA"/>
        </w:rPr>
        <w:t>Phelan v. Newcombe</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2007 BCSC 714</w:t>
        </w:r>
      </w:hyperlink>
      <w:r>
        <w:rPr>
          <w:rFonts w:ascii="arial" w:eastAsia="arial" w:hAnsi="arial" w:cs="arial"/>
          <w:color w:val="000000"/>
          <w:sz w:val="20"/>
          <w:lang w:val="en-US" w:eastAsia="en-US" w:bidi="ar-SA"/>
        </w:rPr>
        <w:t>, where Registrar Blok, in disallowing the cost of an MRI, wrote at paras. 16-17: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In general, disbursements that are incurred based on reasoning that is equivalent to "just in case" or "you never know" will not be found to have been reasonably incurred or, to put it another way, they will be found to be extravagant or the result of excessive caution or zeal.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 should add that the mere fact that a physician has recommended that an MRI scan be done will not guarantee its recovery as a disbursement. For the most part, diagnostic imaging will be a medical matter (and any private medical costs would fall under special damages) and its role as an aid in litigation will be relatively narrow.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She also referred to </w:t>
      </w:r>
      <w:r>
        <w:rPr>
          <w:rFonts w:ascii="arial" w:eastAsia="arial" w:hAnsi="arial" w:cs="arial"/>
          <w:i/>
          <w:color w:val="000000"/>
          <w:sz w:val="20"/>
          <w:lang w:val="en-US" w:eastAsia="en-US" w:bidi="ar-SA"/>
        </w:rPr>
        <w:t>Ward v. W.S. Leasing Ltd.</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2007 BCSC 877</w:t>
        </w:r>
      </w:hyperlink>
      <w:r>
        <w:rPr>
          <w:rFonts w:ascii="arial" w:eastAsia="arial" w:hAnsi="arial" w:cs="arial"/>
          <w:color w:val="000000"/>
          <w:sz w:val="20"/>
          <w:lang w:val="en-US" w:eastAsia="en-US" w:bidi="ar-SA"/>
        </w:rPr>
        <w:t>. In that case, Registrar Blok disallowed an MRI where counsel had deposed that he ordered MRIs as a standard practice as soon as he was retained. He said at paras. 13-15: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evidence here is simply that the standard practice of plaintiff's counsel is to obtain MRIs for his personal injury clients as soon as he is retained. No consideration is given to the necessity of an MRI in any particular case. It is evidently assumed that an MRI is necessary in all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 conclude that the claim fails for that reason. A blanket conclusion that an MRI is necessary in every personal injury case renders the cost extravagant or as a result of excessive caution or zeal, as that language was used in </w:t>
      </w:r>
      <w:r>
        <w:rPr>
          <w:rFonts w:ascii="arial" w:eastAsia="arial" w:hAnsi="arial" w:cs="arial"/>
          <w:i/>
          <w:color w:val="000000"/>
          <w:sz w:val="20"/>
          <w:lang w:val="en-US" w:eastAsia="en-US" w:bidi="ar-SA"/>
        </w:rPr>
        <w:t>Van Daele v. Van Daele</w:t>
      </w:r>
      <w:r>
        <w:rPr>
          <w:rFonts w:ascii="arial" w:eastAsia="arial" w:hAnsi="arial" w:cs="arial"/>
          <w:color w:val="000000"/>
          <w:sz w:val="20"/>
          <w:lang w:val="en-US" w:eastAsia="en-US" w:bidi="ar-SA"/>
        </w:rPr>
        <w:t>. In my view there must be some judgment applied, perhaps with medical input, in considering the necessity for the procedure in a litigation context, given the injuries involved, the likely damages, what the MRI is expected to achieve from a litigation standpoint, and so on. There is no proper basis on which I can conclude that the MRIs were necessary, at the time they were ordered, in this particular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In the circumstances it is unnecessary for me to comment on the interest charges. The claim for the cost of the MRIs is therefore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applicant submits that the Registrar erred in principle when, at para. 44 of her Decision, she expanded on the reasoning in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by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In my view, and I am going to expand on what Registrar Blok held in </w:t>
      </w:r>
      <w:r>
        <w:rPr>
          <w:rFonts w:ascii="arial" w:eastAsia="arial" w:hAnsi="arial" w:cs="arial"/>
          <w:i/>
          <w:color w:val="000000"/>
          <w:sz w:val="20"/>
          <w:lang w:val="en-US" w:eastAsia="en-US" w:bidi="ar-SA"/>
        </w:rPr>
        <w:t>Ward v. W.S. Leasing Ltd</w:t>
      </w:r>
      <w:r>
        <w:rPr>
          <w:rFonts w:ascii="arial" w:eastAsia="arial" w:hAnsi="arial" w:cs="arial"/>
          <w:color w:val="000000"/>
          <w:sz w:val="20"/>
          <w:lang w:val="en-US" w:eastAsia="en-US" w:bidi="ar-SA"/>
        </w:rPr>
        <w:t>., to be allowed as a necessary and proper disbursement, there must be some medical reason for ordering an MRI. It is not simply enough that counsel seeks some (potential) objective evidence of an injury. Nor is it enough that counsel wishes to ensure that there is no latent injury such that his client might sign the standard release required. There is always a risk in personal injury litigation that a new injury or an injury that has not yet been determined might be found following settlement. That is simply a risk of litigation and a risk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applicant submits that the Registrar erred in principle by saying that there must be a medical reason for ordering the MRI. In my view, the applicant's submission seeks to parse the Registrar's decision too finely. In reviewing the Decision of the Registrar with the appropriate level of deference, it would be wrong to focus on a single word or a phrase taken out of the context in which it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read in context, the Registrar's reason for disallowing the cost of the MRI is that she found it was not necessarily or properly incurred. In coming to that conclusion, she took into account that no medical professional had advised counsel of the probable utility of an MRI in the particular circumstances of this case. Mr. Fahey had deposed in para. 11 of his affidavit that he was unaware of the plaintiff exhibiting any objective signs of injury when he ordered the MRI scans.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am unable to find that the Registrar acted on a wrong principle in disallowing the cost of the MRIs in this case, and I would not interfere with her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DR. JOY'S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applicant submits that the Registrar erred in principal in disallowing the cost of Dr. Joy's report on the basis that it was unreasonably duplicative of the report of Dr. Sehon.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First, the applicant submits that the Registrar committed the error of </w:t>
      </w:r>
      <w:r>
        <w:rPr>
          <w:rFonts w:ascii="arial" w:eastAsia="arial" w:hAnsi="arial" w:cs="arial"/>
          <w:i/>
          <w:color w:val="000000"/>
          <w:sz w:val="20"/>
          <w:lang w:val="en-US" w:eastAsia="en-US" w:bidi="ar-SA"/>
        </w:rPr>
        <w:t>post facto</w:t>
      </w:r>
      <w:r>
        <w:rPr>
          <w:rFonts w:ascii="arial" w:eastAsia="arial" w:hAnsi="arial" w:cs="arial"/>
          <w:color w:val="000000"/>
          <w:sz w:val="20"/>
          <w:lang w:val="en-US" w:eastAsia="en-US" w:bidi="ar-SA"/>
        </w:rPr>
        <w:t xml:space="preserve"> reasoning, that is, assessing the utility of the two experts at a time other than the time when they were retained. I do not agree that a fair reading of the Registrar's Decision discloses such an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Second, the applicant submits that the Registrar ignored the evidence of Mr. Fahey as to the reasons he felt both experts should be retained. I do not agree. In her Decision, the Registrar explicitly set out the reasons advanced by Mr. Fahey. She quoted from para. 3 of his affidavit. She found that the reasons he advanced were unsatisfactory. For example, in his affidavit at para. 3(F), Mr. Fahey said one of the reasons for retaining both experts was in order to "respond to the defence expert." The Registrar quite reasonably found this explanation to be wanting when she observed that at the time both experts were retained the plaintiff had not yet seen the defence expert, Dr. O'Shaunessy, and his report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the applicant objects that the Registrar referred to "doctor shopping" when there was no evidence from which she could draw such an inference. The applicant says that this is an error in principle.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his affidavit, Mr. Fahey deposed at para. 3(B) that when he retained both Dr. Sehon and Dr. Joy, he had not decided whether to use one, both, or neither of them. This suggests that he wanted to see which expert's opinion would be more beneficial to his client. There was a sufficient basis, therefore, for the Registrar to say, at para. 52 of her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no reason, in my view, to have the plaintiff assessed by both, except to some extent, to do some "doctor shopping" (and in saying so I mean no disrespect to Mr. Fahey's decision to have the plaintiff seen by both Dr. Joy and Dr. Sehon).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applicant has not shown that the Registrar acted on a wrong principle in disallowing the cost of a psychologist in this case, when a psychiatrist had also been retained. I would not interfere with the Registrar's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CHAMPERTY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the outset of this hearing, counsel for the defendants objected that it appeared Mr. Berardino may be acting for a stranger to the litigation, and that this amounted to maintenance or champerty. She said she suspected that this review application was being financed by CMI, the company that provided the MRI scans. She alleged that CMI has a collateral interest in the outcome of this case, namely to encourage the widespread use of its private MRI services in virtually all personal injury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Berardino stated in oral argument that although he could not disclose details of his retainer for reasons of solicitor-client privilege, he was prepared to have this case decided on the basis that CMI provided funding for that part of the review application dealing with the MRI disbursement, but that no one other than a party to the litigation was funding the remainder of the review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Our Court of Appeal discussed the strictures of the common law against champerty and maintenance in </w:t>
      </w:r>
      <w:r>
        <w:rPr>
          <w:rFonts w:ascii="arial" w:eastAsia="arial" w:hAnsi="arial" w:cs="arial"/>
          <w:i/>
          <w:color w:val="000000"/>
          <w:sz w:val="20"/>
          <w:lang w:val="en-US" w:eastAsia="en-US" w:bidi="ar-SA"/>
        </w:rPr>
        <w:t>Fredrickson v. ICBC</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(1986), 3 B.C.L.R. (2d) 145</w:t>
        </w:r>
      </w:hyperlink>
      <w:r>
        <w:rPr>
          <w:rFonts w:ascii="arial" w:eastAsia="arial" w:hAnsi="arial" w:cs="arial"/>
          <w:color w:val="000000"/>
          <w:sz w:val="20"/>
          <w:lang w:val="en-US" w:eastAsia="en-US" w:bidi="ar-SA"/>
        </w:rPr>
        <w:t xml:space="preserve"> (C.A.), aff'd </w:t>
      </w:r>
      <w:hyperlink r:id="rId792" w:history="1">
        <w:r>
          <w:rPr>
            <w:rFonts w:ascii="arial" w:eastAsia="arial" w:hAnsi="arial" w:cs="arial"/>
            <w:i/>
            <w:color w:val="0077CC"/>
            <w:sz w:val="20"/>
            <w:u w:val="single"/>
            <w:shd w:val="clear" w:color="auto" w:fill="FFFFFF"/>
            <w:lang w:val="en-US" w:eastAsia="en-US" w:bidi="ar-SA"/>
          </w:rPr>
          <w:t>[1988] 1 S.C.R. 1089</w:t>
        </w:r>
      </w:hyperlink>
      <w:r>
        <w:rPr>
          <w:rFonts w:ascii="arial" w:eastAsia="arial" w:hAnsi="arial" w:cs="arial"/>
          <w:color w:val="000000"/>
          <w:sz w:val="20"/>
          <w:lang w:val="en-US" w:eastAsia="en-US" w:bidi="ar-SA"/>
        </w:rPr>
        <w:t>. The Court also mentioned a number of exceptions. At p. 153 McLachlin J.A.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second exception concerns cases where the assignee has either a pre-existing property interest or a legitimate commercial interest in the enforcement of the claim. An assignment where the assignee possesses such an interest will be valid, provided the action in tort is not based on a personal wrong, such as assault, libel or personal injury. The reason for the latter stricture appears to be that in cases of personal torts, the assignee can have no legitimate property or commercial interest in recovery: </w:t>
      </w:r>
      <w:r>
        <w:rPr>
          <w:rFonts w:ascii="arial" w:eastAsia="arial" w:hAnsi="arial" w:cs="arial"/>
          <w:i/>
          <w:color w:val="000000"/>
          <w:sz w:val="20"/>
          <w:lang w:val="en-US" w:eastAsia="en-US" w:bidi="ar-SA"/>
        </w:rPr>
        <w:t>Trendtex Trading Corp. v. Credit Suisse</w:t>
      </w:r>
      <w:r>
        <w:rPr>
          <w:rFonts w:ascii="arial" w:eastAsia="arial" w:hAnsi="arial" w:cs="arial"/>
          <w:color w:val="000000"/>
          <w:sz w:val="20"/>
          <w:lang w:val="en-US" w:eastAsia="en-US" w:bidi="ar-SA"/>
        </w:rPr>
        <w:t>, [1980] 1 Q.B. 629 at 656-657, [1980] 3 W.L.R. 367, [1980] 3 All E.R. 721, per Denning M.R., affirmed [1982] A.C. 679, [1981] 3 W.L.R. 766, [1981] 3 All E.R. 520 at p. 530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applicant, at paras. 52-53 of its written submissions, submitted that these proceedings were not champertous because CMI would suffer a loss if the disbursement for the MRIs was not allowed. It submits that CMI therefore had a genuine pre-existing interest in this review application:</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Indeed, it is only where there is no relationship between the third party and the litigants that can be described as "external" to the litigation that the tort of champerty and maintenance will be made out.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these proceedings, there is evidence on the record that CMI had a legitimate pre-existing commercial interest in the litigation by virtue of the business in which it is engaged. Mr. Fahey's understanding of the agreement between the plaintiff and CMI was that CMI would waive the costs of the MRI if there is no recovery on account of damages or costs. CMI therefore has a genuine pre-existing interest in ensuring that the plaintiff recovers the costs of the MRI as a disbursement. If not, it suffers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That submission is difficult to understand in light of Mr. Fahey's affidavit, where he deposed at para. 8 that: "In this case the plaintiff has recovered sums and is obligated to pay the CMI accounts with interest." If the plaintiff is obligated to pay CMI for the MRI scans regardless of the outcome of this review application, then it is difficult to understand how CMI has "a legitimate pre-existing commercial interest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However, as I have in any event found on the merits that the review application must fail, I need not finally decide the issue of whether the application is champertous.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application to review the Decision of the Registrar is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0"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Galdikas v. Spalding, [2015] B.C.J. No. 805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L. Muir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S001741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805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2015 BCSC 644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Biruté Galdikas, Plaintiff, and Linda Spalding and Key Porter Books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1"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27"/>
      <w:bookmarkEnd w:id="207"/>
      <w:r>
        <w:rPr>
          <w:rFonts w:ascii="arial" w:eastAsia="arial" w:hAnsi="arial" w:cs="arial"/>
          <w:b/>
          <w:color w:val="000000"/>
          <w:sz w:val="20"/>
          <w:lang w:val="en-US" w:eastAsia="en-US" w:bidi="ar-SA"/>
        </w:rPr>
        <w:t>Civil litigation — Civil procedure — Disposition without trial — Dismissal of action — Delay or failure to prosecute — Necessity that essential justice be done — Application by defendant for order dismissing plaintiff's claim for want of prosecution allowed — Plaintiff, who commenced her claim in 2000, alleged defendant defamed her in book defendant wrote about plaintiff's field work studying orangutans in Kalimantan — There had been no communication between parties or counsel since 2004 — Inability to bring witnesses who were capable of independently recalling matters discussed with defendant that became foundation for her book would prejudice defendant — It was impossible to have fair trial — In interests of justice to dismiss action — Supreme Court Civil Rules, Rule 22-7(7).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8" w:name="Case Summary_26"/>
            <w:bookmarkEnd w:id="2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an order that the plaintiff's claim be dismissed for want of prosecution. The plaintiff, who commenced her claim in 2000, alleged the defendant defamed her in a book the defendant wrote about the plaintiff's field work studying orangutans in Kalimantan. The defendant relied on the defences of fair comment and truth in her statement of defence filed in 2000. There had been no communication between the parties or their counsel since 2004. The plaintiff submitted she always intended to proceed with the action but faced several emergencies in Indonesia where she resided much of the time. The whereabouts of many of the individuals the defendant interviewed in Kalimantan were unknown.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9" w:name="Holdings of Court_26"/>
            <w:bookmarkEnd w:id="20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inability to bring witnesses who were capable of independently recalling the matters discussed with the defendant that became the foundation for her book would prejudice the defendant. The defendant had been irremediably prejudiced by the delay in the prosecution of the matter. The plaintiff's reasons for failing to pursue the action were questionable. It would be impossible to have a fair trial. It was in the interests of justice to dismiss the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0" w:name="Legislation Cited_14"/>
      <w:bookmarkEnd w:id="2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2"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22-7</w:t>
      </w:r>
      <w:r>
        <w:rPr>
          <w:rFonts w:ascii="arial" w:eastAsia="arial" w:hAnsi="arial" w:cs="arial"/>
          <w:color w:val="000000"/>
          <w:sz w:val="20"/>
          <w:lang w:val="en-US" w:eastAsia="en-US" w:bidi="ar-SA"/>
        </w:rPr>
        <w:t>(7)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1" w:name="Counsel_35"/>
      <w:bookmarkEnd w:id="2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3"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L.R. Cruickshank.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W.M.B. Holburn, Q.C., S.S. Deol.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2" w:name="Judgment_33"/>
      <w:bookmarkEnd w:id="212"/>
      <w:r>
        <w:pict>
          <v:line id="_x0000_s1184"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3" w:name="MASTER L. MUIR"/>
            <w:bookmarkEnd w:id="213"/>
            <w:r>
              <w:rPr>
                <w:rFonts w:ascii="arial" w:eastAsia="arial" w:hAnsi="arial" w:cs="arial"/>
                <w:b/>
                <w:color w:val="000000"/>
                <w:sz w:val="30"/>
                <w:lang w:val="en-US" w:eastAsia="en-US" w:bidi="ar-SA"/>
              </w:rPr>
              <w:t>MASTER L. MUIR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Linda Spalding, for an order that the plaintiff's claim be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am advised that the other defendant, Key Porter Books Limited, has filed a proposal in bankruptcy and that the action as against it is stayed as a result. I am further advised that the trustee in bankruptcy has been given notice of this application and takes no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will refer to the defendant, Linda Spalding as Ms. Spalding; Key Porter Books Limited as Key Porter Books Limited; and the defendants, Linda Spalding and Key Porter Books Limited collectively as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now 68, has since 1971 been continuously engaged in the study of orangutans. Her mentor was the late Louis Leakey, a world renowned anthropologist. The plaintiff's study has centered on the Island of Borneo, now known as Kalimantan. She has apparently received several awards for her work, including the Order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also the co-founder and president of the Orangutan Foundation International, headquartered in Los Angeles, California, and is a part-time Professor of Archaeology at Simon Fraser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the plaintiff began her research, her original goal was to observe wild orangutans in their natural habitat, using a difficult technique known as a "follow": a subject orangutan would be selected and the researcher would attempt to discretely follow the orangutan and record its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Spalding is an award winning author with several published books. She approached the plaintiff in 1994 to inquire about the plaintiff's research with the intention of writing a book. Ms. Spalding met with the plaintiff and on three occasions between June, 1995 and May, 1997, she travelled to Kalimantan to obtain information for the 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in Kalimantan, Ms. Spalding says that she interviewed a large number of Indonesian nationals employed by the government and non-Indonesian nationals who were in Kalimantan, either performing volunteer or research work with the plaintiff or were there doing unrelated volunteer or research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Spalding then wrote a book entitled "The Follow" and subtitled "A True Story" ("The Follow"), which was published by Key Porter Books Limited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CHRONOLOGY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writ of summons and statement of claim in this action were filed on March 28, 2000. The plaintiff claims that the defendants defamed her in The Follow, citing numerous passages alleged to be defamatory. The plaintiff claims that Ms. Spalding published information intended to discredit the plaintiff within the scientific community, relied on unreliable sources and published the work recklessly, without caring whether the contents were true. The plaintiff claims that Ms. Spalding acted with malice and a wanton and callous disregard for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filed an appearance on April 26, 2000 and a statement of defence on June 22, 2000. The defendants deny the passages are defamatory and rely on defences of fair comment and, for some passages,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Plaintiff's counsel served a demand for discovery of documents and a notice to produce on defendants' counsel on June 18,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Defendants' counsel served a demand for discovery of documents and notice to produce on July 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December 10, 2001, plaintiff's counsel advised that the plaintiff would be in Vancouver, British Columbia from January to May 2002, and suggested discovery of her be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letter of April 5, 2002, plaintiff's counsel advised that the plaintiff was available for discovery until the end of the month and requested the defendants produce their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letter of April 8, 2002, defendants' counsel requested the plaintiff produce her list of documents and advised that discoveries would not be conducted until the plaintiff had produced her documents and the defendants' counsel had examined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list of documents was delivered on April 29,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May 2002, counsel for the plaintiff served two notices of change of address for delivery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received copies of the plaintiff's documents on June 21,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list of documents was delivered on August 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November 1, 2002, defendants' counsel was advised that the plaintiff would be in Vancouver in February or March 2003, and that they wished to arrange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December 9, 2002, the plaintiff, her daughter and a legal assistant attended defendants' counsel's office to review the defendants' documents. The plaintiff and her daughter attended to review the documents further on December 10,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two letters of December 13, 2002, defendants' counsel advised plaintiff's counsel that particulars of the plaintiff's claim were required and demanded additional document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September 1, 2004, a legal assistant from the plaintiff's counsel's office left a message expressing interest in scheduling discovery and trial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From September 1, 2004 until the end of August 2014, when this application was served, there was no contact between the plaintiff, her counsel or anyone on behalf of the plaintiff and defendants'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From December 10, 2002 to the filing of this notice of application, there were no procedural steps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notice of intention to proceed was filed by the plaintiff in November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say that the trial of this matter will take 45 days and if scheduled now, it will not be heard until 2017. The plaintiff disputes that, saying the trial should only take 19 days and can be heard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Legal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Rule 22-7(7)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Dismissal for want of prosecution</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 party, it appears to the court that there is want of prosecution in a proceeding, the court may order that the proceeding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test was recently addressed by the Court of Appeal in </w:t>
      </w:r>
      <w:r>
        <w:rPr>
          <w:rFonts w:ascii="arial" w:eastAsia="arial" w:hAnsi="arial" w:cs="arial"/>
          <w:i/>
          <w:color w:val="000000"/>
          <w:sz w:val="20"/>
          <w:lang w:val="en-US" w:eastAsia="en-US" w:bidi="ar-SA"/>
        </w:rPr>
        <w:t>Murrin Construction Ltd. v. All-Span Engineering and Construction Ltd</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2012 BCCA 251</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 proper approach to an application to dismiss for want of prosecution is set out in </w:t>
      </w:r>
      <w:r>
        <w:rPr>
          <w:rFonts w:ascii="arial" w:eastAsia="arial" w:hAnsi="arial" w:cs="arial"/>
          <w:i/>
          <w:color w:val="000000"/>
          <w:sz w:val="20"/>
          <w:lang w:val="en-US" w:eastAsia="en-US" w:bidi="ar-SA"/>
        </w:rPr>
        <w:t>PMC Builders and Developers Ltd. v. Country West Construction Ltd.</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where the Court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[27] ... [A] chambers judge charged with the hearing of an application for dismissal of an action for want of prosecution is bound to consider the following:</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 and whether it was inordinate;</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reasons for the delay either offered in evidence or inferring from the evidence, including whether the delay was intentional and tactical or whether it was the product of dilatoriness,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impecuniosity, illness or some other relevant cause, the ultimate consideration being whether the delay is excusable in the circumstances;</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has caused serious prejudice to the defendant in presenting a defence and, if there is such prejudice, whether it creates a substantial risk that a fair trial is not possible at the earliest date by which the action could be readied for trial after its reactivation by the plaintiff; and</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 balance, justice requires dismissal of the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[28] I consider the fourth question to encompass the other three and to be the most important and decisive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 referred me to the decision of </w:t>
      </w:r>
      <w:r>
        <w:rPr>
          <w:rFonts w:ascii="arial" w:eastAsia="arial" w:hAnsi="arial" w:cs="arial"/>
          <w:i/>
          <w:color w:val="000000"/>
          <w:sz w:val="20"/>
          <w:lang w:val="en-US" w:eastAsia="en-US" w:bidi="ar-SA"/>
        </w:rPr>
        <w:t>Irving v. Irving</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[1982] 6 W.W.R. 193</w:t>
        </w:r>
      </w:hyperlink>
      <w:r>
        <w:rPr>
          <w:rFonts w:ascii="arial" w:eastAsia="arial" w:hAnsi="arial" w:cs="arial"/>
          <w:color w:val="000000"/>
          <w:sz w:val="20"/>
          <w:lang w:val="en-US" w:eastAsia="en-US" w:bidi="ar-SA"/>
        </w:rPr>
        <w:t xml:space="preserve"> (B.C.C.A.), which was also relied upon by the defendants. At para. 7, it referenced </w:t>
      </w:r>
      <w:r>
        <w:rPr>
          <w:rFonts w:ascii="arial" w:eastAsia="arial" w:hAnsi="arial" w:cs="arial"/>
          <w:i/>
          <w:color w:val="000000"/>
          <w:sz w:val="20"/>
          <w:lang w:val="en-US" w:eastAsia="en-US" w:bidi="ar-SA"/>
        </w:rPr>
        <w:t>Allen v. Sir Alfred McAlpine &amp; Sons; Bostic v. Bermondsey &amp; Southwark Group Hosp. Mgmt. Ctee.; Sternberg v. Hammond</w:t>
      </w:r>
      <w:r>
        <w:rPr>
          <w:rFonts w:ascii="arial" w:eastAsia="arial" w:hAnsi="arial" w:cs="arial"/>
          <w:color w:val="000000"/>
          <w:sz w:val="20"/>
          <w:lang w:val="en-US" w:eastAsia="en-US" w:bidi="ar-SA"/>
        </w:rPr>
        <w:t>, [1968] 2 Q.B. 229, [1968] 1 All E.R. 543 (C.A.) citing the reasons of Diplock L.J. at 259-260 discussing the extraordinary nature of a dismissal for want of prosecution: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then a Draconian order and will not be lightly made. It should not in any event be exercised without giving the plaintiff an opportunity to remedy his default, unless the court is satisfied either that the default has been intentional and contumelious, or that the inexcusable delay for which the plaintiff or his lawyers have been responsible has been such as to give rise to a substantial risk that a fair trial of the issues in the litigation will not be possible at the earliest date at which, as a result of the delay, the action would come to trial if it were allowed to continue. It is for the defendant to satisfy the court that one or other of these two conditions is fulfilled. Disobedience to a peremptory order of the court would be insufficient to satisfy the first condition. Whether the second alternative condition is satisfied will depend upon the circumstances of the particular case; but the length of the delay may of itself suffice to satisfy this condition if the relevant issues would depend upon the recollection of witnesses of events which happened long ago.</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Inordinate and Inexcusable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Twelve years have elapsed between the last step in this action and the filing of this notice of application. Fifteen years have elapsed since the action was commenced. Seventeen years have elapsed since The Follow was published. Twenty years have elapsed since Ms. Spalding conducted the first interviews in Kalimantan.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for the plaintiff conceded in submissions that the delay here was both inordinate and inexcusable. He pointed out that the delay was not tactical, but was due to the plaintiff and her counsel losing contact as a result of the plaintiff's busy schedule, changes of address and frequent travel and absences from Canada. It appears that plaintiff's counsel lost touch with the plaintiff sometime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evidence is that she always intended to proceed with this action and that the publication of The Follow has caused and continues to cause her personal damage and is a permanent stain on her reputation. The plaintiff says that has impacted her ability to fundraise for her conservation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Her evidence is that she worked closely with counsel in preparing pleadings and assembling and reviewing documents through December 2002. She refers to an extended leave of absence from Simon Fraser University that occurred in 2005. She says that the past 10 years have been particularly difficult due to conflict with political and commercial forces, and significant tension and upheaval in Indonesia. The plaintiff says that she has faced a number of emergencies in Indonesia that have been her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says she did not try to follow up with her counsel as she did not know they were trying to contact her and did not know there were any time requirements in proceeding with the action. She says she assumed that she would hear from counsel in due course and the matter would proceed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loss of contact with the plaintiff is questioned by the defendants. They submit, and I agree, that as the plaintiff was the president of a high profile organization headquartered in Los Angeles and a part-time professor at Simon Fraser University, it should not have been a difficult matter to contact her. Further, as the plaintiff, both personally and through her counsel, was actively pursuing document disclosure and examinations for discovery from the defendants in 2002, it seems odd that the plaintiff was content to then let things lie for twelve years, particularly given the damage she claims to have suffered.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Turning then to the third criteria, prejudice, the defendants relied on para. 18 of </w:t>
      </w:r>
      <w:r>
        <w:rPr>
          <w:rFonts w:ascii="arial" w:eastAsia="arial" w:hAnsi="arial" w:cs="arial"/>
          <w:i/>
          <w:color w:val="000000"/>
          <w:sz w:val="20"/>
          <w:lang w:val="en-US" w:eastAsia="en-US" w:bidi="ar-SA"/>
        </w:rPr>
        <w:t>Busse v. Robinson Morelli Chertkow</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1999 BCCA 313</w:t>
        </w:r>
      </w:hyperlink>
      <w:r>
        <w:rPr>
          <w:rFonts w:ascii="arial" w:eastAsia="arial" w:hAnsi="arial" w:cs="arial"/>
          <w:color w:val="000000"/>
          <w:sz w:val="20"/>
          <w:lang w:val="en-US" w:eastAsia="en-US" w:bidi="ar-SA"/>
        </w:rPr>
        <w:t xml:space="preserve"> for the proposition that where the delay is inordinate and inexcusable, a rebuttable presumption of prejudice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argued that the defendants remain in the best position to establish the facts surrounding prejudice and that this presumption has been tempered since the decision of the Court of Appeal in </w:t>
      </w:r>
      <w:r>
        <w:rPr>
          <w:rFonts w:ascii="arial" w:eastAsia="arial" w:hAnsi="arial" w:cs="arial"/>
          <w:i/>
          <w:color w:val="000000"/>
          <w:sz w:val="20"/>
          <w:lang w:val="en-US" w:eastAsia="en-US" w:bidi="ar-SA"/>
        </w:rPr>
        <w:t>Tundra Helicopters v. Allison Gas Turbine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 Division of General Motors Corp.,</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Tundra</w:t>
      </w:r>
      <w:r>
        <w:rPr>
          <w:rFonts w:ascii="arial" w:eastAsia="arial" w:hAnsi="arial" w:cs="arial"/>
          <w:color w:val="000000"/>
          <w:sz w:val="20"/>
          <w:lang w:val="en-US" w:eastAsia="en-US" w:bidi="ar-SA"/>
        </w:rPr>
        <w:t>, the court held at paras. 35 and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 also regard it as error in principle to dispose of the issue of prejudice by asking whether the plaintiffs had rebutted 'the presumption of prejudice that arises in the circumstances' and by going on to answer that question in the negative. The "presumption of prejudice" is not a presumption of law. It can be termed a presumption of fact but only in the sense, as it is put in Sopinka and Lederman </w:t>
      </w:r>
      <w:r>
        <w:rPr>
          <w:rFonts w:ascii="arial" w:eastAsia="arial" w:hAnsi="arial" w:cs="arial"/>
          <w:i/>
          <w:color w:val="000000"/>
          <w:sz w:val="20"/>
          <w:lang w:val="en-US" w:eastAsia="en-US" w:bidi="ar-SA"/>
        </w:rPr>
        <w:t>"The Law of Evidence in Civil Cases"</w:t>
      </w:r>
      <w:r>
        <w:rPr>
          <w:rFonts w:ascii="arial" w:eastAsia="arial" w:hAnsi="arial" w:cs="arial"/>
          <w:color w:val="000000"/>
          <w:sz w:val="20"/>
          <w:lang w:val="en-US" w:eastAsia="en-US" w:bidi="ar-SA"/>
        </w:rPr>
        <w:t>, 1974 at p. p. p. 378: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term "presumption of fact" is used in many instances in which it is desired merely to shift the secondary burden to a particular party. When used in this sense, it means that the facts are such that a certain inference should, but need not, be logically drawn.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It is in that sense that the word "presumption" is employed in </w:t>
      </w:r>
      <w:r>
        <w:rPr>
          <w:rFonts w:ascii="arial" w:eastAsia="arial" w:hAnsi="arial" w:cs="arial"/>
          <w:i/>
          <w:color w:val="000000"/>
          <w:sz w:val="20"/>
          <w:lang w:val="en-US" w:eastAsia="en-US" w:bidi="ar-SA"/>
        </w:rPr>
        <w:t>Busse v. Robinson Morelli Chertkow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In considering whether the presumption of prejudice has any application in a particular case, the question properly to be asked, as stated by Goldie J.A. in para. 27 of </w:t>
      </w:r>
      <w:r>
        <w:rPr>
          <w:rFonts w:ascii="arial" w:eastAsia="arial" w:hAnsi="arial" w:cs="arial"/>
          <w:i/>
          <w:color w:val="000000"/>
          <w:sz w:val="20"/>
          <w:lang w:val="en-US" w:eastAsia="en-US" w:bidi="ar-SA"/>
        </w:rPr>
        <w:t>Busse</w:t>
      </w:r>
      <w:r>
        <w:rPr>
          <w:rFonts w:ascii="arial" w:eastAsia="arial" w:hAnsi="arial" w:cs="arial"/>
          <w:color w:val="000000"/>
          <w:sz w:val="20"/>
          <w:lang w:val="en-US" w:eastAsia="en-US" w:bidi="ar-SA"/>
        </w:rPr>
        <w:t>,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has the plaintiff established on a balance of probabilities that the defendant has not suffered prejudice or that other circumstances would make it unjust to terminate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that question it may be misleading to approach it by asking whether the plaintiff offered evidence on the point. In most cases, it will only be the defendant who is in a position to offer evidence as to the existence of specific prejudice -- as two of the defendants attempted to do in this case. The plaintiff often will be able only to point to the overall circumstances, including the absence of any evidence from the defendant of specific prejudice, as establishing on the balance of probabilities that serious prejudice has not been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argued that the defendants here had not shown any specific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Spalding says in her affidavit that it will be necessary to call as witnesses at trial the individuals that she met with and had conversations with or interviewed as these were the foundation for The Follow. She says it will be virtually impossible to track down and gather the necessary witnesses. She further questions their ability to give evidence of events that happened so long ago, particularly as some of the witnesses were in their 60s or mid-70s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rely on the affidavit of their counsel, Mr. Deol, in addition to the evidence of Ms. Spalding. Mr. Deol deposed that, based on his review of the file, the defence of this matter would be highly fact intensive and would require calling as witnesses numerous individuals spoken to or interviewed during Ms. Spalding's trips. He says the whereabouts of most of these individuals are not known and it is not known if they are alive or dead. He says that gathering these individuals now will be virtually impossible and that even if they are located, it is unlikely they will have a clear recollection of the events that occurred between 1995 and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Deol's evidence is supported by the evidence of an associate of his law firm who conducted internet based searches into the current status and availability of 23 specific individuals who are potential witnesses in this action. It is safe to summarize that he found little useful information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attacked this evidence, saying that it lacked specificity. The plaintiff says that none of these witnesses were specifically identified by Ms. Spalding as being critical or even important to her defence. Further, the plaintiff conducted her own research and advised that other than three of the witnesses mentioned who were known to be dead and six of them who she could not identify or locate, the rest were identified as being alive and although some were retired, for the most part they remained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also argued that Ms. Spalding must have notes of her interviews and, of course, there is the book itself, so it cannot be said that the entire case relies upon the evidence of the people interviewed.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for Ms. Spalding argued that she would not be able to rely upon her own notes, assuming they exist, or what is contained in the book. He argued that without the people she interviewed having independent recollections of the circumstances and what was said to Ms. Spalding, she would be seriously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agree that the inability to bring witnesses who were capable of independently recalling the matters discussed with Ms. Spalding that became the foundation for her book would prejudice the defendants. Ms. Spalding's notes would undoubtedly meet with the same objections that the passages in The Follow have raised - that they are wrong, malicious and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defendants also refer to </w:t>
      </w:r>
      <w:r>
        <w:rPr>
          <w:rFonts w:ascii="arial" w:eastAsia="arial" w:hAnsi="arial" w:cs="arial"/>
          <w:i/>
          <w:color w:val="000000"/>
          <w:sz w:val="20"/>
          <w:lang w:val="en-US" w:eastAsia="en-US" w:bidi="ar-SA"/>
        </w:rPr>
        <w:t>Lindholm v. Pollen</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(1986), 3 B.C.L.R. (2d) 23</w:t>
        </w:r>
      </w:hyperlink>
      <w:r>
        <w:rPr>
          <w:rFonts w:ascii="arial" w:eastAsia="arial" w:hAnsi="arial" w:cs="arial"/>
          <w:color w:val="000000"/>
          <w:sz w:val="20"/>
          <w:lang w:val="en-US" w:eastAsia="en-US" w:bidi="ar-SA"/>
        </w:rPr>
        <w:t xml:space="preserve"> (S.C.), a defamation action, where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More troublesome is the third principle, namely that of serious prejudice. In his affidavit Pollen says that he has entered into the arena of provincial politics, has been nominated by his party to be a candidate in the next provincial election and that, as long as this action against him survives like some brooding omnipresence, he is prejudiced in the pursuit of his political aspirations. I am not persuaded that this is a relevant prejudice. It seems to me that prejudice, to be relevant, must be prejudice directly concerned with the action itself and its trial. He adverts to that prejudice in para. 31 of his affidavit, where he states that he anticipates that a substantial body of viva voce testimony will be required, which testimony will be subject to failure in memory after the passage of some 4 1/2 years and that thereby he will be prejudiced in his defence of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animating principle lying back of any system of administration of justice is that litigation be proceeded with diligence and expedition. This principle is expressed in R. 1(5) that the object of the Rules of Court is to secure the just, speedy and inexpensive determination of every proceeding on its merits and echoed in s. 11 of the Charter of Rights and Freedoms, which speaks of the right to be tried within a reasonable time. A just determination can only be attained if an action is tried while the facts are still within the recollection of the witnesses. As was said in </w:t>
      </w:r>
      <w:r>
        <w:rPr>
          <w:rFonts w:ascii="arial" w:eastAsia="arial" w:hAnsi="arial" w:cs="arial"/>
          <w:i/>
          <w:color w:val="000000"/>
          <w:sz w:val="20"/>
          <w:lang w:val="en-US" w:eastAsia="en-US" w:bidi="ar-SA"/>
        </w:rPr>
        <w:t>Russell v. Glassman</w:t>
      </w:r>
      <w:r>
        <w:rPr>
          <w:rFonts w:ascii="arial" w:eastAsia="arial" w:hAnsi="arial" w:cs="arial"/>
          <w:color w:val="000000"/>
          <w:sz w:val="20"/>
          <w:lang w:val="en-US" w:eastAsia="en-US" w:bidi="ar-SA"/>
        </w:rPr>
        <w:t xml:space="preserve"> (1959), 66 Man. R. 464 at 472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is entitled to have the best evidence obtainable. Even in the simplest of cases there is often great difficulty in ascertaining the relevant facts where the testimony is recent in the memory of the witnesses, a difficulty manifestly greatly increased when witnesses are asked to remember events or circumstances which occurred four years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In actions of this kind it is more than highly desirable that there be conveyed to the trial judge reliable evidence of the ambience of the alleged events. Effluxion of time here has been so great that the very substantial likelihood is that the evidence will have deteriorated to the point where it can be of little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concluded that recourse to a presumption of prejudice is not necessary here. Ms. Spalding has established that she has been prejudiced by the delay in the prosecution of this matter. Ms. Spalding's evidence combined with that of counsel establishes the difficulty of locating individuals interviewed by Ms. Spalding some 18 to 20 years ago. The evidence of the plaintiff, although indicating that some of these witnesses can be found, confirms that many of them have either died or could not be identified or located and confirms that, of those who can be located, many are past retirement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It is obvious that, as in </w:t>
      </w:r>
      <w:r>
        <w:rPr>
          <w:rFonts w:ascii="arial" w:eastAsia="arial" w:hAnsi="arial" w:cs="arial"/>
          <w:i/>
          <w:color w:val="000000"/>
          <w:sz w:val="20"/>
          <w:lang w:val="en-US" w:eastAsia="en-US" w:bidi="ar-SA"/>
        </w:rPr>
        <w:t>Lindholm</w:t>
      </w:r>
      <w:r>
        <w:rPr>
          <w:rFonts w:ascii="arial" w:eastAsia="arial" w:hAnsi="arial" w:cs="arial"/>
          <w:color w:val="000000"/>
          <w:sz w:val="20"/>
          <w:lang w:val="en-US" w:eastAsia="en-US" w:bidi="ar-SA"/>
        </w:rPr>
        <w:t>, there is a very substantial risk that the evidence that could be obtained from these witnesses at a trial of this matter will be of little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argued that the prejudice suffered by the passage of time and the dispersal of witnesses is particularly sharp in cases that involve allegations of defamation and malice, such as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Spalding says having these allegations of defamation and malice hanging over her head for so long has been a burden to her and that she has been prejudiced by them. She says as a result of these allegations, The Follow has not been referenced and promoted as much as some of her other books and this has had a negative impact on her recognition as a writer. She says she is sometimes asked questions about the defamation action at publishing and promotional events by people in the industry, which is uncomfortable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defendants point to the reasons of Master Brandreth-Gibbs in </w:t>
      </w:r>
      <w:r>
        <w:rPr>
          <w:rFonts w:ascii="arial" w:eastAsia="arial" w:hAnsi="arial" w:cs="arial"/>
          <w:i/>
          <w:color w:val="000000"/>
          <w:sz w:val="20"/>
          <w:lang w:val="en-US" w:eastAsia="en-US" w:bidi="ar-SA"/>
        </w:rPr>
        <w:t>Matheny v. British Columbia Transit Corp.</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[1997] B.C.J. No. 3020</w:t>
        </w:r>
      </w:hyperlink>
      <w:r>
        <w:rPr>
          <w:rFonts w:ascii="arial" w:eastAsia="arial" w:hAnsi="arial" w:cs="arial"/>
          <w:color w:val="000000"/>
          <w:sz w:val="20"/>
          <w:lang w:val="en-US" w:eastAsia="en-US" w:bidi="ar-SA"/>
        </w:rPr>
        <w:t xml:space="preserve"> at paras. 39-42, as well as the excerpts from </w:t>
      </w:r>
      <w:r>
        <w:rPr>
          <w:rFonts w:ascii="arial" w:eastAsia="arial" w:hAnsi="arial" w:cs="arial"/>
          <w:i/>
          <w:color w:val="000000"/>
          <w:sz w:val="20"/>
          <w:lang w:val="en-US" w:eastAsia="en-US" w:bidi="ar-SA"/>
        </w:rPr>
        <w:t>Lindholm</w:t>
      </w:r>
      <w:r>
        <w:rPr>
          <w:rFonts w:ascii="arial" w:eastAsia="arial" w:hAnsi="arial" w:cs="arial"/>
          <w:color w:val="000000"/>
          <w:sz w:val="20"/>
          <w:lang w:val="en-US" w:eastAsia="en-US" w:bidi="ar-SA"/>
        </w:rPr>
        <w:t xml:space="preserve"> quoted above in support of the proposition that, where there are serious allegations of credit and character, there is a heightened onus on the plaintiff to press on with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argues that if Ms. Spalding's alleged suffering was real, the defendants could and should have pressed on with the action or the application for dismissal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Counsel for the plaintiff referred me to the decision in </w:t>
      </w:r>
      <w:r>
        <w:rPr>
          <w:rFonts w:ascii="arial" w:eastAsia="arial" w:hAnsi="arial" w:cs="arial"/>
          <w:i/>
          <w:color w:val="000000"/>
          <w:sz w:val="20"/>
          <w:lang w:val="en-US" w:eastAsia="en-US" w:bidi="ar-SA"/>
        </w:rPr>
        <w:t>Van Schie v. Williams</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2013 BCSC 2016</w:t>
        </w:r>
      </w:hyperlink>
      <w:r>
        <w:rPr>
          <w:rFonts w:ascii="arial" w:eastAsia="arial" w:hAnsi="arial" w:cs="arial"/>
          <w:color w:val="000000"/>
          <w:sz w:val="20"/>
          <w:lang w:val="en-US" w:eastAsia="en-US" w:bidi="ar-SA"/>
        </w:rPr>
        <w:t xml:space="preserve">, where Master Scarth held that a delay in bringing an application to dismiss for want of prosecution before 7 years had elapsed and the failure to renew it until 12 years had elapsed, while not acquiescence, was an indication that there was not serious prejudice being experienced by the defendants in that case. Master Scarth found no specific prejudice in </w:t>
      </w:r>
      <w:r>
        <w:rPr>
          <w:rFonts w:ascii="arial" w:eastAsia="arial" w:hAnsi="arial" w:cs="arial"/>
          <w:i/>
          <w:color w:val="000000"/>
          <w:sz w:val="20"/>
          <w:lang w:val="en-US" w:eastAsia="en-US" w:bidi="ar-SA"/>
        </w:rPr>
        <w:t>Van Schie</w:t>
      </w:r>
      <w:r>
        <w:rPr>
          <w:rFonts w:ascii="arial" w:eastAsia="arial" w:hAnsi="arial" w:cs="arial"/>
          <w:color w:val="000000"/>
          <w:sz w:val="20"/>
          <w:lang w:val="en-US" w:eastAsia="en-US" w:bidi="ar-SA"/>
        </w:rPr>
        <w:t>, particularly noting that discovery evidence was available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Ms. Spalding counters with the decision of </w:t>
      </w:r>
      <w:r>
        <w:rPr>
          <w:rFonts w:ascii="arial" w:eastAsia="arial" w:hAnsi="arial" w:cs="arial"/>
          <w:i/>
          <w:color w:val="000000"/>
          <w:sz w:val="20"/>
          <w:lang w:val="en-US" w:eastAsia="en-US" w:bidi="ar-SA"/>
        </w:rPr>
        <w:t>Haight-Smith v. Morelli Chertkow</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2002 BCSC 1893</w:t>
        </w:r>
      </w:hyperlink>
      <w:r>
        <w:rPr>
          <w:rFonts w:ascii="arial" w:eastAsia="arial" w:hAnsi="arial" w:cs="arial"/>
          <w:color w:val="000000"/>
          <w:sz w:val="20"/>
          <w:lang w:val="en-US" w:eastAsia="en-US" w:bidi="ar-SA"/>
        </w:rPr>
        <w:t>, where the court held at para. 9:</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In this province, at least, the authorities are clear that the case is the plaintiff's to pursue. The defendants do not have the obligation to move the plaintiff's case forward,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do not conclude anything from the failure of Ms. Spalding in this case to apply for a dismissal for want of prosecution sooner. There is little point in bringing such an application before a time when it might meet with success. The only reason for Ms. Spalding to bring on such an application early would be to spur on the plaintiff in her pursuit of the action. That, however, is not the defendants' responsibility. I am satisfied that Ms. Spalding has indeed suffered under the weight of the plaintiff's allegations of defamation and malice. In this case, it seems to me that waiting a significant period before bringing this application may be seen as a sign of a cautious and conservative approach, not a lack of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conclude that there has been significant and irremediable prejudice caused to the defendants by the delay in prosecuting this action. Even on the plaintiff's evidence, potential witnesses have died or cannot be found. Memories will be sorely tested trying to recall events and particularly conversations that occurred 19 to 21 years before the earliest date that this action could be tried. This is particularly so where some of the individuals involved were in their 60s or 70s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prejudice is particularly marked because of the nature of the allegations in this case. Both the plaintiff and Ms. Spalding assert that they have been prejudiced by having this cloud hanging over them. The plaintiff asserts suffering due to the allegedly defamatory statements contained in The Follow. Ms. Spalding asserts suffering due to the allegations made by the plaintiff in this action. I accept that, and these circumstances made it particularly important for the plaintiff to diligently pursue this action. In my view, her reasons for failing to do so are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Although it is a remedy to be invoked rarely, I have concluded that it will be impossible to have a fair trial at this late date and that it is in the interests of justice that this action be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action is dismissed. Ms. Spalding will have her costs of this application,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L. MUIR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5"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Gee v. Elvira, [2001] B.C.J. No. 1705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B942182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1705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421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Joe Soon Gee, plaintiff, and Talan Elvira and Adolf Matzhold,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6"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4" w:name="Keywords_28"/>
      <w:bookmarkEnd w:id="214"/>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 Damages — Neck injuries — Whiplash — Practice — Judgments and orders — Summary judgments — When available.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5" w:name="Case Summary_27"/>
            <w:bookmarkEnd w:id="2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Gee, for summary judgment in an assessment of damages for injuries suffered in two motor vehicle accidents. Liability was admitted by Elvira, the defendant driver in the first accident, and Matzhold, the defendant driver in the second accident. However, Elvira and Matzhold argued that the claim was not suitable for resolution by a summary trial and sought to have the matter heard by a jury. They claimed that Gee's evidence was not credible. In the first accident, Gee was stopping his vehicle when Elvira's vehicle collided with his left rear bumper at a low speed. Gee claimed to have had a headache and dizziness. He later had pain in his neck and shoulders and was diagnosed with a whiplash injury. He was off work for four months. He complained of ongoing pain for six years. In the second accident, Matzhold's vehicle struck Gee's van and twisted the left rear bumper. Gee did not seek medical attention or treatment. Gee was 60 years old. He lived in Hong Kong and had pre-existing arthritic changes. He had been examined by an orthopaedic surgeon who found a mild soft tissue injury.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6" w:name="Holdings of Court_27"/>
            <w:bookmarkEnd w:id="21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action was suitable for summary determination. The court could make the necessary findings of fact from the affidavits and other evidence. There was no evidence of malingering. This was a modest claim in an uncomplicated case. The cost of taking this case to a jury was not justified. Gee was awarded $16,000 for non-pecuniary damages arising from the first accident only. He was totally disabled for four months and had ongoing symptoms for two years. No injury was sustained in the second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7" w:name="Legislation Cited_15"/>
      <w:bookmarkEnd w:id="2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7"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8" w:name="Counsel_36"/>
      <w:bookmarkEnd w:id="2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8"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G.V. Lauk, Q.C., for the plaintiff. L.C.B. Boulton,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9" w:name="Judgment_34"/>
      <w:bookmarkEnd w:id="219"/>
      <w:r>
        <w:pict>
          <v:line id="_x0000_s1189" style="position:absolute;z-index:251838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0" w:name="GARSON J."/>
            <w:bookmarkEnd w:id="220"/>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the application of the Plaintiff ("Mr. Gee") for judgment pursuant to Rule 18A of the Rules of Court for an assessment of damages for injuries suffered in a motor vehicle accident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case against the Defendant Talan Elvira ("Ms. Elvira") arises from a motor vehicle accident which occurred on June 30, 1992 (the "First Accident"). The Plaintiff's claim against Adolf Matzhold ("Mr. Matzhold") arises from a motor vehicle accident which occurred on August 14, 1993 (the "Second Accident"). The claims for damages arising from both accidents have been combined in this one action. Liability for the collisions has been admitted by both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this application the Defendants argue that the assessment of damages arising from both the First and Second Accidents should be resolved in a jury trial. The trial of these matters was initially scheduled for September 21, 1998, with a jury. The Plaintiff applied to adjourn the trial and it was adjourned at a pre-trial conference on September 8, 1998. A new trial date has not been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now argue that the claim is not suitable for resolution by a summary trial under Rule 18A. The Defendants argue that the Plaintiff's evidence as to the nature, extent and duration of his injuries is not credible and that therefore the court cannot properly assess damages at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Before me Plaintiff's counsel, who is newly appointed counsel for the Plaintiff, advised that he had reviewed the case and determined that the claim for income loss should be withdrawn, which leaves only the claim for non-pecuniary damages and the claim for $61.00 in special damages. I will not deal with the claim for special damages until the end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course of this application, I was asked to rule on the admissibility of a report tendered by the Defendants. The report in question is the opinion of a professional engineer, Mr. West. The report is stated by Mr. West to "quantify the magnitude of the impacts ... and to describe the results and dynamics of the collisions."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reserved judgment on the following issues:</w:t>
      </w:r>
      <w:r>
        <w:rPr>
          <w:rFonts w:ascii="arial" w:eastAsia="arial" w:hAnsi="arial" w:cs="arial"/>
          <w:sz w:val="20"/>
          <w:lang w:val="en-US" w:eastAsia="en-US" w:bidi="ar-SA"/>
        </w:rPr>
        <w:cr/>
      </w:r>
    </w:p>
    <w:p>
      <w:pPr>
        <w:numPr>
          <w:numId w:val="2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this case was suitable for resolution by summary trial;</w:t>
      </w:r>
    </w:p>
    <w:p>
      <w:pPr>
        <w:numPr>
          <w:numId w:val="2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admissibility of the report of Mr. West; and</w:t>
      </w:r>
    </w:p>
    <w:p>
      <w:pPr>
        <w:numPr>
          <w:numId w:val="2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 determined that the case was suitable to be resolved by summary trial, the amount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is 60 years of age. He was born and raised in Hong Kong and became a Canadian resident in 1967.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Prior to the First and Second Accident he was injured in 1985 in an assault and in 1987 in a motor vehicle collision. In the 1987 motor vehicle collision he suffered a concussion, a whiplash injury to his neck, and a contusion to his left shoulder. In 1990 he suffered from arthritic pain in his left knee. Mr. Gee says he was fully recovered from these episodes and was not suffering from pain or discomfort before the First Accident. Dr. Chiu, the Plaintiff's family doctor, confirms the information as to his recovery from these episodes in his report. Dr. Chiu's clinical notes tendered into evidence, in these proceedings are consistent with Mr. Gee's affidavit and with Dr. Chiu's report in respect to Mr. Gee's recovery from these pre-existing injuries. It appears that Mr. Gee sought no medical attention from Dr. Chiu between May 23, 1990, and July 2, 1992, the date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First Accident occurred when Mr. Gee was stopping his vehicle. Ms. Elvira was attempting to change into the lane to the left of Mr. Gee. Ms. Elvira's vehicle collided with the left rear bumper of Mr. Gee's van and scraped the right-hand side of her car along the left corner of Mr. Gee's van. The scrape mark on Ms. Elvira's vehicle extended from the right front wheel-well to the right rear wheel-well. Ms. Elvira calculates her speed at approximately one mile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Following the accident, Mr. Gee states that he felt a throbbing pain in his head and was dizzy for several seconds. He continued on to work but that evening was feeling pain and stiffness in his neck and shoulders. He states that the next day he went to work for 45 minutes but the pain became unbearable. On July 2, 1992, he attended at the office of Dr. Chiu. Dr. Chiu reports that Mr. Gee suffered a contusion to the occiput (back of head), a whiplash injury to his neck at the C3, C4, C5 and C6 levels of his cervical spine, and muscular spasms. Dr. Chiu noted a reduction in Mr. Gee's range of motion in the neck to approximately 35 percent of the normal ranges as well as contusions and tenderness to the shoulders. An x-ray ordered by Dr. Chiu, disclosed minor degenerative changes in the neck which counsel acknowledged would have pre-existed the accident. Mr. Gee was prescribed Tylenol #3 and Valium.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Gee was unable to work for the four months following the accident. In November, 1992, he returned to his work as a florist, part-time, and by January, 1993, he was working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Gee had two physiotherapy treatments in July of 1992, but otherwise has sought medical treatment only from Dr. Chiu.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noted, by January of 1993, Mr. Gee was working full-time. He states in his affidavit that, "my condition had not fully resolved" by the date of his full-time return to work. He states in his affidavit that in July of 1993 he was still suffering from what I would describe as residual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Second Accident occurred on August 14, 1993. Mr. Gee's vehicle was struck by Mr. Matzhold's vehicle. The impact twisted the left rear bumper of Mr. Gee's van. Mr. Gee says that the Second Accident aggravated the injuries from the First Accident from which he had not yet recovered. He did not seek medical attention or treatment following the Second Accident. Dr. Chiu's clinical records for July 28, 1993 (two weeks before the Second Accident),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Has been very busy trading in China in past 5 weeks. Pain in neck and shoulders after long hours of work. Residual tenderness at C4-5 still. Muscle spasm ++. Range of motion 80 to 90% of normal. Treatment - exercise, range of motion, 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Similar complaints are voiced on December 3, 1993, when Mr. Gee next visited Dr. Chiu.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Mr. Gee's December 3, 1993, visit to Dr. Chiu, he did not, according to Dr. Chiu's notes, mention the Second Accident. According to Dr. Chiu's notes, the Second Accident was not reported by Mr. Gee to Dr. Chiu until September 14, 1996. Mr. Gee did not visit Dr. Chiu between December 3, 1993, and September 14,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Gee says he "attended the office of Dr. Chiu on December 3, 1993, and was advised at that time by Dr. Chiu that the second collision had exacerbated my condition and that I should continue with the same exercise and medication regime that I had been prescribed after the first collision." This paragraph in Mr. Gee's affidavit is not consistent with Dr. Chiu's clinical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1994, Mr. Gee moved back to Hong Kong, where he invested in a renovation business. Since then, Mr. Gee has lived in Hong Kong.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Gee states in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continue to suffer from pain in my neck when I am stressed or when I engage in physical activity or when I sit for too long. My other injuries have resolved. My shoulder pain resolved some time in 1995. My right shoulder pain healed before my left shoulder did. I stopped suffering headaches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Chiu's report states that Mr. Gee suffered the following injuries as a result of the motor vehicle accidents: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mild cerebral concussion;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mild contusion to his occiput;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moderately severe whiplash injury to his neck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moderate contusion to his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Chiu notes the pre-existing degenerative changes in his cervical spine area and suggests that the prognosis, "is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noted above, Mr. Gee has abandoned any claim for lost income, past or future. His claim is solely for non-pecuniary damages. His counsel, Mr. Lauk, quantifies Mr. Gee's non-pecuniary damages at between $20,000 and $30,000. Mr. Lauk concedes that Mr. Gee's ongoing complaints are unlikely to be related to the motor vehicle accident which occurred some eight years ago but are more likely associated with his pre-existing arthritic changes. Mr. Lauk say Mr. Gee's claim should be quantified as a mild to moderate soft tissue injury with complete disability lasting for several months and partial disability for some additional two months followed by a period of residual symptoms up to possibly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 respect to the suitability of this case for resolution at a summary trial, Mr. Lauk says the claim is a modest one; there is no suggestion of malingering; there is nothing complicated about the case; there are no obvious or serious inconsistencies in the evidence or anything to suggest the claim is bogus; and that there is no serious issue as to the Plaintiff's credibility. These are the criteria set out by Mr. Justice Harvey in Brayshaw v. Sommerfeld (1996), 24 C.P.C. (4th) 262 (B.C.S.C.) and used to conclude that personal injury damage assessments were capable of a summary trial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position is that the credibility of the Plaintiff is in issue and that this case is not therefore suitable for summary trial. The Defendants say the force of impact was so minimal that the Plaintiff could not have sustained an injury. Mr. Boulton for the Defendants says he expects a jury would not award any damages to Mr. Gee, that there are inconsistencies between Dr. Chiu's report and Dr. Chiu's notes, and that Dr. Chiu's opinion is not reliable. Mr. Boulton also says that there are inconsistencies in the evidence of Mr. Gee and Mr. Gee's evidence is so exaggerated that it cannot be accepted as proof there was any injury at all. Mr. Boulton says that if the court is to assess damages, the court should be exceedingly cautious because there is little credible evidence as to how long Mr. Gee's symptoms lasted. Mr. Boulton's best estimate is that the soft tissue injury lasted three months and would be quantified at $5,000 at most. Mr. Boulton relies on the report of Mr. West, arguing that the minimal force of the impact makes it unlikely that Mr. Gee could have been injured as seriously as he claims, if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For the reasons which I set out below, I am able to make the necessary essential findings of fact in order to assess non-pecuniary damages in this case. I have considered the issue of suitability of this case for a summary trial at the same time as I have considered the evidence to assess damages. This is the approach specified by the Court of Appeal in Foreman v. Foster, 2001 B.C.C.A No. 26, </w:t>
      </w:r>
      <w:hyperlink r:id="rId817" w:history="1">
        <w:r>
          <w:rPr>
            <w:rFonts w:ascii="arial" w:eastAsia="arial" w:hAnsi="arial" w:cs="arial"/>
            <w:i/>
            <w:color w:val="0077CC"/>
            <w:sz w:val="20"/>
            <w:u w:val="single"/>
            <w:shd w:val="clear" w:color="auto" w:fill="FFFFFF"/>
            <w:lang w:val="en-US" w:eastAsia="en-US" w:bidi="ar-SA"/>
          </w:rPr>
          <w:t>84 B.C.L.R. (3d) 184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the request of the Defendants, the Plaintiff was examined by an orthopaedic surgeon, Dr. Fenton, in December of 1992. Dr. Fenton noted Mr. Gee's complaints of intermittent discomfort in the area of the trapezius muscles and in his neck, upon movement. Dr. Fenton palpated for tender areas in the front of the neck, the anterior chest, posterior neck and shoulders as well as in the low back and buttocks. Mr. Gee did not complain of any tenderness in those areas but complained of tenderness only in the trapezius muscles and the supraspinatus on each side. Dr. Fenton concluded that Mr. Gee had been involved in a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which at worst I think he has sustained a minor soft tissue injury to his neck. I accept that he has some subjective symptoms at the present time but he really has no objective findings on examination that would suggest he has had anything more than a minor injury ... He may well go on having intermittent symptoms for a period of time yet but I believe these will settle as he returns to his normal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is not one of those cases in which the Defence medical examiner notes exaggeration of pain and disability. Dr. Fenton did not note any exaggeration of pain or symptom magnification and there is no suggestion of malingering by Dr. Fenton.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were no further medical examinations performed at the request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Gee moved to Hong Kong in 1994, and in July of 1996 married his second wife, from whom he is now separated. Affidavits from the second wife and from Mr. Gee's son were filed to suggest that Mr. Gee was irritable and in pain as a consequence of the motor vehicle accidents. The evidence as to Mr. Gee's irritability, bad temper, and sexual dysfunction allegedly caused by the motor vehicle accident does not satisfy me to the extent required for proof in a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evidence of any aggravation of his injury arising from the second accident is similarly not proven on a balance of probabilities. The Plaintiff did not seek any medical attention after the Second Accident. At his first visit following the Second Accident, in December, 1993, Mr. Gee did not, according to Dr. Chiu's notes, tell Dr. Chiu about the Second Accident. The evidence does not satisfy me that the Defendant Matzhold should be liable to pay for damages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With respect to the damages attributable to the First Accident, I am satisfied, based on all the evidence, that the Plaintiff suffered a mild soft tissue injury. Mr. Gee's injury was essentially resolved by January of 1993 with some minor ongoing residual pains attributable to the accident up to and including 1996 as stated in Mr. Gee's affidavit. Dr. Chiu's note of July 28, 1993, which I quoted above, describe some continuing residual symptoms but also describes that Mr. Gee was actively engaged in his Hong Kong business. Dr. Fenton reports that the Plaintiff suffered a minor soft tissue injury and that in December, 1992, he was still symptomatic. I do not agree with the Defendants that an appropriate award of damages would be zero given that the Defendants' own medical examiner acknowledged that Mr. Gee did suffer an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stated above, I am able to make the necessary findings of fact from the affidavit and other evidence to assess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case meets the criteria for resolution at a summary trial,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has chosen to have his case adjudged by way of summary trial. He bears the onus of proving his case on a balance of probabilities. He must satisfy the court as to the nature, extent and duration of his injuries. The court can only award damages based on the proven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case of Bush v. Lundstrom, </w:t>
      </w:r>
      <w:hyperlink r:id="rId818" w:history="1">
        <w:r>
          <w:rPr>
            <w:rFonts w:ascii="arial" w:eastAsia="arial" w:hAnsi="arial" w:cs="arial"/>
            <w:i/>
            <w:color w:val="0077CC"/>
            <w:sz w:val="20"/>
            <w:u w:val="single"/>
            <w:shd w:val="clear" w:color="auto" w:fill="FFFFFF"/>
            <w:lang w:val="en-US" w:eastAsia="en-US" w:bidi="ar-SA"/>
          </w:rPr>
          <w:t>[2001] B.C.J. No. 197</w:t>
        </w:r>
      </w:hyperlink>
      <w:r>
        <w:rPr>
          <w:rFonts w:ascii="arial" w:eastAsia="arial" w:hAnsi="arial" w:cs="arial"/>
          <w:color w:val="000000"/>
          <w:sz w:val="20"/>
          <w:lang w:val="en-US" w:eastAsia="en-US" w:bidi="ar-SA"/>
        </w:rPr>
        <w:t xml:space="preserve"> (S.C.) is similar to this case. Bush applied pursuant to Rule 18A for judgment assessing damages for personal injuries arising from a motor vehicle accident. Counsel for the Defendant opposed the application for summary trial on similar grounds to that in the case before me. Defence counsel argued against the suitability of the case for summary trial on the grounds that the defendant would be denied the substantive right to have the matter determined by a jury; there were issues as to causation of one of the injuries; that the plaintiff's credibility was challenged based on the inaccuracy of her self-report; and also that the claim for damages was in an amount beyond the range of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Justice Grist found in Bush v. Lundstrom that he could assess damages even where the medical reports and the Plaintiff's self report differed somewhat. In dealing with the credibility issue he stated,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argument that the self-assessment of the Plaintiff raises a credibility issue is, in my view, easily resolved. Self-assessment is highly subjective. A more objective view based on the medical reports suggests a slightly greater degree of recovery, but none of the reports suggest no basis for ongoing complaints. This is just the sort of issue which can be resolved judicially without the necessity of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this case ought also to be "resolved judicially without the necessity of a full trial." My reasons are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eight years since this accident occurred and neither party has set a new trial date.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Defendants wish to have a jury and a jury notice has been delivered, the authorities are clear that this is only one factor that the court can consider, but it is far from determinative. Another factor is the cost of taking this matter forward to a jury trial, both in terms of cost to the parties and the judicial time. A jury trial in this case would be very expensive.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suggestion the Plaintiff is malingering.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claim is a modest one and the claim for lost income has been abandoned.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nothing complicated about the case. Dr. Chiu's report overstates the extent and duration of the injuries in comparison to his clinical notes and Mr. Gee's affidavit. There is however, sufficient reliable and consistent evidence tendered by both parties from which an assessment of damages can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REPORT OF MR. HARVEY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objects to the admissibility of Mr. West's report. Mr. Lauk relies on the cases of Gabriel v. Thompson, </w:t>
      </w:r>
      <w:hyperlink r:id="rId819" w:history="1">
        <w:r>
          <w:rPr>
            <w:rFonts w:ascii="arial" w:eastAsia="arial" w:hAnsi="arial" w:cs="arial"/>
            <w:i/>
            <w:color w:val="0077CC"/>
            <w:sz w:val="20"/>
            <w:u w:val="single"/>
            <w:shd w:val="clear" w:color="auto" w:fill="FFFFFF"/>
            <w:lang w:val="en-US" w:eastAsia="en-US" w:bidi="ar-SA"/>
          </w:rPr>
          <w:t>[1995] B.C.J. No. 2832</w:t>
        </w:r>
      </w:hyperlink>
      <w:r>
        <w:rPr>
          <w:rFonts w:ascii="arial" w:eastAsia="arial" w:hAnsi="arial" w:cs="arial"/>
          <w:color w:val="000000"/>
          <w:sz w:val="20"/>
          <w:lang w:val="en-US" w:eastAsia="en-US" w:bidi="ar-SA"/>
        </w:rPr>
        <w:t xml:space="preserve"> (P.C.), Heppner v. Schmand </w:t>
      </w:r>
      <w:hyperlink r:id="rId820" w:history="1">
        <w:r>
          <w:rPr>
            <w:rFonts w:ascii="arial" w:eastAsia="arial" w:hAnsi="arial" w:cs="arial"/>
            <w:i/>
            <w:color w:val="0077CC"/>
            <w:sz w:val="20"/>
            <w:u w:val="single"/>
            <w:shd w:val="clear" w:color="auto" w:fill="FFFFFF"/>
            <w:lang w:val="en-US" w:eastAsia="en-US" w:bidi="ar-SA"/>
          </w:rPr>
          <w:t>(1996), 24 B.C.L.R. (3d) 309</w:t>
        </w:r>
      </w:hyperlink>
      <w:r>
        <w:rPr>
          <w:rFonts w:ascii="arial" w:eastAsia="arial" w:hAnsi="arial" w:cs="arial"/>
          <w:color w:val="000000"/>
          <w:sz w:val="20"/>
          <w:lang w:val="en-US" w:eastAsia="en-US" w:bidi="ar-SA"/>
        </w:rPr>
        <w:t xml:space="preserve"> (S.C.), Aff'd </w:t>
      </w:r>
      <w:hyperlink r:id="rId821" w:history="1">
        <w:r>
          <w:rPr>
            <w:rFonts w:ascii="arial" w:eastAsia="arial" w:hAnsi="arial" w:cs="arial"/>
            <w:i/>
            <w:color w:val="0077CC"/>
            <w:sz w:val="20"/>
            <w:u w:val="single"/>
            <w:shd w:val="clear" w:color="auto" w:fill="FFFFFF"/>
            <w:lang w:val="en-US" w:eastAsia="en-US" w:bidi="ar-SA"/>
          </w:rPr>
          <w:t>(1998) 59 B.C.L.R. (3d) 336</w:t>
        </w:r>
      </w:hyperlink>
      <w:r>
        <w:rPr>
          <w:rFonts w:ascii="arial" w:eastAsia="arial" w:hAnsi="arial" w:cs="arial"/>
          <w:color w:val="000000"/>
          <w:sz w:val="20"/>
          <w:lang w:val="en-US" w:eastAsia="en-US" w:bidi="ar-SA"/>
        </w:rPr>
        <w:t xml:space="preserve"> (C.A.) and Schlieske v. Thomson, </w:t>
      </w:r>
      <w:hyperlink r:id="rId822" w:history="1">
        <w:r>
          <w:rPr>
            <w:rFonts w:ascii="arial" w:eastAsia="arial" w:hAnsi="arial" w:cs="arial"/>
            <w:i/>
            <w:color w:val="0077CC"/>
            <w:sz w:val="20"/>
            <w:u w:val="single"/>
            <w:shd w:val="clear" w:color="auto" w:fill="FFFFFF"/>
            <w:lang w:val="en-US" w:eastAsia="en-US" w:bidi="ar-SA"/>
          </w:rPr>
          <w:t>[1991] B.C.J. No. 187</w:t>
        </w:r>
      </w:hyperlink>
      <w:r>
        <w:rPr>
          <w:rFonts w:ascii="arial" w:eastAsia="arial" w:hAnsi="arial" w:cs="arial"/>
          <w:color w:val="000000"/>
          <w:sz w:val="20"/>
          <w:lang w:val="en-US" w:eastAsia="en-US" w:bidi="ar-SA"/>
        </w:rPr>
        <w:t xml:space="preserve"> (S.C.), and the cases cited in those decisions. Those cases concern reports tendered by Mr. West and his fellow employees. The reports in those cases were to the effect that the accidents had no potential for injury. For example, in the Heppner case the engineer and others volunteered to subject themselves to low speed collisions for the purpose of proving that such collisions had no adverse effects on the occupants of the vehicles. Those reports have been the subject of considerable adverse judicial comment as noted in the cases which I have cited. Mr. Lauk stated that he inferred that the report prepared by Mr. West in this case was an attempt to respond to the adverse judicial comments made in the earlier cases. Mr. West sets out the stated purpose of his analysis which was to "quantify the magnitude of the impacts that Mr. Gee experienced in both of these accidents and to describe the result in dynamics of the collisions." Mr. West did not examine any of the vehicles involved in the accident. His review of information was limited to the ICBC damage estimates and Polaroid photographs taken by the damage estimators following the collisions. Mr. West then attempted to reproduce force of impact on the rear bumper of Mr. Gee's vehicle in both accidents by obtaining a duplicate bumper and subjecting it to some force in the laboratory. He attempted to reproduce the accident by subjecting the bumper to force in the same location as damage that is visible in the photograph. Mr. West then concluded that, with respect to the First Accident, contact with a van by Ms. Elvira's vehicle would have caused a speed change of 1.1 kilometres per hour. Mr. West then concluded that the disturbances that Mr. Gee experienced in both of these collision events were extremely minor and in respect of the June, 1992, accident, any motion of the vehicle would have been confined to "rocking on its suspension." Mr. West also concluded that Mr. Gee experienced collision forces in these two events "akin to what would be encountered in the routine driving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West's report contains no statement of his qualifications and I cannot therefore determine whether he is qualified to give the opinion evidence contained in his report. In any event, if the purpose of the report is to prove that the accident forces on Mr. Gee's body were insufficient to cause injury, I reject the report on this basis. The Defendants' own medical evidence, the report of Dr. Fenton, does not dispute that Mr. Gee was injured in the motor vehicle accident. Therefore, even if Mr. West's report were admissible, in this case I would attribute no weight to that report in assessing the Plaintiff's damages. I find therefore that it is unnecessary for me to determine whether or not Mr. West's report is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am of the view that the Plaintiff's estimate of damages at $20,000 to $30,000 is excessive. Similarly, I am of the view that the Defendants' estimate of damages at zero or $5,000 is too low. The Plaintiff was totally disabled for four months, partially disabled for two months and had residual symptoms for at least an additional one and one-half to two years. Insofar as Mr. Gee sought no medical attention from Dr. Chiu between December 3, 1993, and September 14, 1996, I conclude that his symptoms were not significantly interfering with his work or daily activities between those dates. I have reviewed the cases cited to me by counsel. The case of Cowan v. Farmer, </w:t>
      </w:r>
      <w:hyperlink r:id="rId823" w:history="1">
        <w:r>
          <w:rPr>
            <w:rFonts w:ascii="arial" w:eastAsia="arial" w:hAnsi="arial" w:cs="arial"/>
            <w:i/>
            <w:color w:val="0077CC"/>
            <w:sz w:val="20"/>
            <w:u w:val="single"/>
            <w:shd w:val="clear" w:color="auto" w:fill="FFFFFF"/>
            <w:lang w:val="en-US" w:eastAsia="en-US" w:bidi="ar-SA"/>
          </w:rPr>
          <w:t>[2001] B.C.J. No. 1437</w:t>
        </w:r>
      </w:hyperlink>
      <w:r>
        <w:rPr>
          <w:rFonts w:ascii="arial" w:eastAsia="arial" w:hAnsi="arial" w:cs="arial"/>
          <w:color w:val="000000"/>
          <w:sz w:val="20"/>
          <w:lang w:val="en-US" w:eastAsia="en-US" w:bidi="ar-SA"/>
        </w:rPr>
        <w:t xml:space="preserve"> (S.C.) provides a helpful review of the assessment of damages in somewhat similar cases. Having considered the authorities and the proven evidence of damages in this case I find that the appropriate amount of non-pecuniary damages is $16,000.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Special damages will be the amount claimed, that is, $61.00.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will have his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0"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4"/>
          <w:headerReference w:type="default" r:id="rId825"/>
          <w:footerReference w:type="even" r:id="rId826"/>
          <w:footerReference w:type="default" r:id="rId827"/>
          <w:headerReference w:type="first" r:id="rId828"/>
          <w:footerReference w:type="first" r:id="rId8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0" w:history="1">
        <w:r>
          <w:rPr>
            <w:rFonts w:ascii="arial" w:eastAsia="arial" w:hAnsi="arial" w:cs="arial"/>
            <w:b/>
            <w:bCs/>
            <w:i/>
            <w:color w:val="0077CC"/>
            <w:kern w:val="32"/>
            <w:sz w:val="28"/>
            <w:szCs w:val="32"/>
            <w:u w:val="single"/>
            <w:shd w:val="clear" w:color="auto" w:fill="FFFFFF"/>
            <w:lang w:val="en-US" w:eastAsia="en-US" w:bidi="ar-SA"/>
          </w:rPr>
          <w:t>Georgialee Lang &amp; Associates v. Wigod, [2003] B.C.J. No. 1792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F993290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1792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1178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 B.C.L.R. (4th) 362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438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Georgialee Lang &amp; Associates, solicitor, and Mark Jeremy Wigod, client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1" w:name="Keywords_29"/>
      <w:bookmarkEnd w:id="221"/>
      <w:r>
        <w:rPr>
          <w:rFonts w:ascii="arial" w:eastAsia="arial" w:hAnsi="arial" w:cs="arial"/>
          <w:b/>
          <w:color w:val="000000"/>
          <w:sz w:val="20"/>
          <w:lang w:val="en-US" w:eastAsia="en-US" w:bidi="ar-SA"/>
        </w:rPr>
        <w:t>Barristers and solicitors — Compensation — Agreements — Validity of — Taxation or assessment of accounts.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2" w:name="Case Summary_28"/>
            <w:bookmarkEnd w:id="2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client, Wigod, to set aside a Certificate of Fees. The client retained the solicitor, Lang, to represent him for part of extended matrimonial litigation. During the course of the litigation, the client disobeyed a court order regarding dissipation of his assets and failed to confide in or follow the solicitor's advice. Due to the reduction in assets and the increasing complexity of the matter, the lawyer met with the client and asked him to execute a Certificate of Fees for approximately $70,000. She agreed to complete some further work for him at no charge and waive any interest in exchange for the Certificate. The client obtained independent legal advice and signed the Certificate a few weeks later. A few months later, the client decided to act for himself at trial and was relatively successful in the litigation. He now applied to set aside the Certificate so that he could proceed with taxation of the solicitor's accounts. He argued that he signed the Certificate as a result of duress or undue influence, and that the solicitor misled him as to the effect of the Certificate. The solicitor sought dismissal of the application and special costs due to the client's allegations of dishonesty.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3" w:name="Holdings of Court_28"/>
            <w:bookmarkEnd w:id="22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of physical or economic duress, and the solicitor rebutted any presumption of undue influence. The client had independent legal advice, he did not protest the Certificate or the amount of fees initially, he took several weeks to consider his position before signing the certificate, and he chose not to take the alternative courses open to him. There was nothing to suggest the solicitor did anything to contribute to any misapprehension by the client or that she took unfair advantage of his ignorance. The allegation of dishonesty arose in an offhand manner during cross-examination and did not play a role in the proceeding, so special costs were not justified.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4" w:name="Legislation Cited_16"/>
      <w:bookmarkEnd w:id="2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2"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Legal Profession Act, </w:t>
      </w:r>
      <w:hyperlink r:id="rId831" w:history="1">
        <w:r>
          <w:rPr>
            <w:rFonts w:ascii="arial" w:eastAsia="arial" w:hAnsi="arial" w:cs="arial"/>
            <w:i/>
            <w:color w:val="0077CC"/>
            <w:sz w:val="20"/>
            <w:u w:val="single"/>
            <w:shd w:val="clear" w:color="auto" w:fill="FFFFFF"/>
            <w:lang w:val="en-US" w:eastAsia="en-US" w:bidi="ar-SA"/>
          </w:rPr>
          <w:t>S.B.C. 1998, c. 9, s. 76</w:t>
        </w:r>
      </w:hyperlink>
      <w:r>
        <w:rPr>
          <w:rFonts w:ascii="arial" w:eastAsia="arial" w:hAnsi="arial" w:cs="arial"/>
          <w:color w:val="000000"/>
          <w:sz w:val="20"/>
          <w:lang w:val="en-US" w:eastAsia="en-US" w:bidi="ar-SA"/>
        </w:rPr>
        <w:t>(3).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5" w:name="Counsel_37"/>
      <w:bookmarkEnd w:id="2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3"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Gordon Turriff, Q.C., for the solicitor. The client appeared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6" w:name="Judgment_35"/>
      <w:bookmarkEnd w:id="226"/>
      <w:r>
        <w:pict>
          <v:line id="_x0000_s1194"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7" w:name="NEILSON J."/>
            <w:bookmarkEnd w:id="227"/>
            <w:r>
              <w:rPr>
                <w:rFonts w:ascii="arial" w:eastAsia="arial" w:hAnsi="arial" w:cs="arial"/>
                <w:b/>
                <w:color w:val="000000"/>
                <w:sz w:val="30"/>
                <w:lang w:val="en-US" w:eastAsia="en-US" w:bidi="ar-SA"/>
              </w:rPr>
              <w:t>NEILSON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solicitor/respondent acted for the client/applicant during part of extended matrimonial litigation between him and his wife. The client now brings this application to set aside a Certificate of Fees in the amount of $69,788.85 entered by consent on July 27, 2001, so that he may proceed with taxation of the solicitor's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client separated from his wife in August, 1999. Acrimonious matrimonial proceedings ensued, focused on custody of the couple's two daughters, and division of matrimonial assets. The client was particularly concerned that the wife, who was seeking sole custody, was deliberately alienating his children from him. The primary family asset was the family business, a souvenir distribution company that had been very successful but had begun to fail after the marriage breakdown.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client has Crohn's disease and, during both the matrimonial action and this proceeding, argued that it was significantly exacerbated by stress related to the dissolution of his marriage, his alienation from his children, his efforts at trying to keep the family business going, and his dealings with the solicitor. Reports from his general practitioner and his gastroenterologist confirmed that stress aggravates Crohn's disease, and that the stresses he described to them following his separation could jeopardize his health. The only specific increase in his symptoms that was mentioned, however, was increased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client initially retained a different lawyer, and a trial was set for five days commencing October 23, 2000. The client paid this lawyer approximately $39,000 before discharging him because he felt it would be less expensive, and perhaps more conducive to settlement, if he represented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September, 2000, the client felt he should have counsel for the trial, and he retained the solicitor's firm. Correspondence between them at that time indicates the solicitor was retained "to prepare and complete a trial of this matter". She advised the client that the five-day trial would be costly, and estimated that legal fees would be in the range of $25,000 - $45,000 to the end of the trial. They agreed that the solicitor would be paid for her services from any settlement or judgment granted in the matrimonial proceedings with respect to the family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solicitor advised the client in a letter dated October 3, 2000 that work would be billed at hourly rates. She told him that more junior members of the firm would be involved in the file, in an effort to keep legal fees at an acceptable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trial date of October 23, 2000 was adjourned shortly afterwards at the wife's request. The trial was rescheduled for five days in January, 2001. A desk order divorce was obtained in November,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During late 2000 and early 2001, experts retained by the parties worked on reports to assist in delineating appropriate terms for access. As well, a number of supplemental document lists were exchanged, further financial information was produced, and notices to admit were delivered and answered. Settlement negotiations took place, but were not productive.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January trial date was also adjourned at the wife's request, on conditions that included a consent order to joint custody of the parties' daughters. Since the issue of custody had apparently been settled, a new trial date was scheduled for only three days, commencing May 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early 2001, the client and his former wife were embroiled in a dispute as to the value of the family business, whether it should be sold, and if so, on what terms. The wife ultimately agreed to the sale of the business on conditions, but the conditions were not acceptable to the client. The client therefore instructed the solicitor to apply for an order permitting the sale, and this was granted on February 21,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February 2001, the client withdrew approximately $63,000 from his RRSP, contrary to an order restraining the disposition of assets pending trial. He declined to tell the solicitor where the money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client was examined for discovery on April 17, 2001. He declined to answer questions from opposing counsel about what he had done with the money from his RRSP.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the time the trial was to be heard on May 8, 2001, the agreement between the client and his wife as to custody of the children had fallen through. The trial was therefore adjourned again as the judge was concerned that it could not be completed in the three days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solicitor says that shortly after the adjournment she met at her office with the client and a close friend of his, whom she understood to be a trusted advisor. Her records indicate this meeting likely took place on May 10, 2001. She says that she asked the client to sign a Certificate of Fees for the legal fees of $69,788.85 that had been incurred to that point. She says she told him that she wanted security for her fees as the scope of the work had been substantially enlarged beyond what was contemplated initially, and the fees were accordingly higher than she had originally estimated. As well, the client's financial circumstances had changed, creating a greater risk that her fees might not be recovered from his share of the family assets. He had sold his business for an amount that just allowed it to meet its debts, and both he and his wife had substantially depleted their RRSP accounts. She says that, in the course of their discussions, she agreed to forego interest on the amount he owed, and to prepare and appear on an application dealing with variation of support at no further charge to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solicitor says that the client's friend was calm and rational, and told the client that her request for security was reasonable, and that he could not expect her to go out on a limb for him. She says that neither the client nor his friend suggested that her charges were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client's account of this meeting, from his affidavits and his cross-examination on those affidavits, was as follows. He agreed he and his friend, Mr. Evans, met with the solicitor after the adjournment, but said he could not recall discussing fees at that time. He ultimately agreed it was possible such a discussion took place, though he believed it was at a later meeting, when Mr. Evans was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client agreed that the solicitor did not ask him to pay her fees, but did ask him to secure them by providing a Certificate of Fees. He said she did not explain why she wanted security, but he understood it was to make sure she got her money. She agreed to do the work necessary for the application to vary his support obligations at no further charge. She gave him a draft of the Certificate of Fees, and advised him to get independent legal advice before he signed it. She provided the name of a lawyer in her building whom he could consult for that purpose. The client agreed that he did not complain to the solicitor about her services or her fees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May 11, 2001 the client consulted Mr. Te Hennepe, a lawyer of his own choice, for independent legal advice. He agreed that he had confidence that Mr. Te Hennepe could provide the advice he needed as to whether he should sign the Certificate. He said that he gave Mr. Te Hennepe an account of his dealings with the solicitor, and the Certificate she wanted. Mr. Te Hennepe did not ask him for any further information. He gave him advice, and they then executed the Certificate of Independent Legal Advice. The client says that Mr. Te Hennepe told him, "She's got you." He agreed that Mr. Te Hennepe did not say the solicitor had no right to ask for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client did not return the Certificate to the solicitor immediately. On May 24, 2001, she wrote to him advising that, in the absence of security for her account, continuation of the solicitor/client relationship would be difficult. She also advised that if security was not provided, she would take the accounts before a Registrar to obtain a judgment for the fees, eliminate the trial date from her calendar, and advise opposing counsel she was no longer 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June 26, 2001, the client wrote to the solicitor advising that he would provide the Certificate if she agreed to do the application to vary support by August 1, 2001 at no further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June 29, 2001 the solicitor wrote the client accepting those terms, upon his payment of $300 to cover disbursements on the application. He provided $300, and delivered the Certificate of Fees and Certificate of Independent Legal Advice to the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Certificate of Fees was filed on July 27,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solicitor prepared and appeared on the client's application to vary spousal and child support at no further charge. It was heard on August 3, 2001. Master Bolton adjourned the application generally, until the client had purged his alleged contempt in connection with his disposition of his RRSPs, contrary to the restraining order. The client agreed that the solicitor had warned him that this may be the possible outcome of the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solicitor's billing records show that over $12,000 in fees was incurred from May 10, 2001 to the conclusion of the application. Some of the time recorded, however, relates to obtaining security for her fees, rather than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Later in August, 2001, the client filed a Notice of Intention to Act in Person. Sometime after that, he retained new counsel who represented him at trial. The trial took place in November 2001 and January 2002. Reasons were delivered on October 25, 2002: Wigod v. Wigod, </w:t>
      </w:r>
      <w:hyperlink r:id="rId832" w:history="1">
        <w:r>
          <w:rPr>
            <w:rFonts w:ascii="arial" w:eastAsia="arial" w:hAnsi="arial" w:cs="arial"/>
            <w:i/>
            <w:color w:val="0077CC"/>
            <w:sz w:val="20"/>
            <w:u w:val="single"/>
            <w:shd w:val="clear" w:color="auto" w:fill="FFFFFF"/>
            <w:lang w:val="en-US" w:eastAsia="en-US" w:bidi="ar-SA"/>
          </w:rPr>
          <w:t>[2002] B.C.J. No. 2423</w:t>
        </w:r>
      </w:hyperlink>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2002 BCSC 1488</w:t>
        </w:r>
      </w:hyperlink>
      <w:r>
        <w:rPr>
          <w:rFonts w:ascii="arial" w:eastAsia="arial" w:hAnsi="arial" w:cs="arial"/>
          <w:color w:val="000000"/>
          <w:sz w:val="20"/>
          <w:lang w:val="en-US" w:eastAsia="en-US" w:bidi="ar-SA"/>
        </w:rPr>
        <w:t>. While it is not necessary for the purposes of this application to examine the outcome of the matrimonial action, I note in passing that the client was substantially successful on both the issues dealing with the children, and in the division of family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proceeding, the client has made a number of complaints about the solicitor's attitude toward him and her services. He alleges that she was negligent in her representation of him. He also claims that she advised him to breach his obligation to pay spousal maintenance. The solicitor expressly denies these allegations. I note that in a letter of October 4, 2000 to the client her associate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Lang advises that as a trial date in your case has been scheduled for January 22, 2001 to January 26, 2001, we should conserve your financial resources, and include the variation application as part of the trial. Based on that strategy, you must follow the order of the court and continue your spousal support payments to Ms. Wigod.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are unable to pay spousal support to Ms. Wigod at the present time, we are unable to advise you to discontinue the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Certificate of Fees is deemed to be a judgment of this court, pursuant to s. 76(3) of the Legal Profession Act,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xml:space="preserve">. It is in essence a consent order, and may be set aside only in circumstances that would justify the same treatment to the agreement between the client and the solicitor that underlies it, Shackleton v. Shackleton </w:t>
      </w:r>
      <w:hyperlink r:id="rId833" w:history="1">
        <w:r>
          <w:rPr>
            <w:rFonts w:ascii="arial" w:eastAsia="arial" w:hAnsi="arial" w:cs="arial"/>
            <w:i/>
            <w:color w:val="0077CC"/>
            <w:sz w:val="20"/>
            <w:u w:val="single"/>
            <w:shd w:val="clear" w:color="auto" w:fill="FFFFFF"/>
            <w:lang w:val="en-US" w:eastAsia="en-US" w:bidi="ar-SA"/>
          </w:rPr>
          <w:t>(1999), 1 R.F.L. (5th) 459</w:t>
        </w:r>
      </w:hyperlink>
      <w:r>
        <w:rPr>
          <w:rFonts w:ascii="arial" w:eastAsia="arial" w:hAnsi="arial" w:cs="arial"/>
          <w:color w:val="000000"/>
          <w:sz w:val="20"/>
          <w:lang w:val="en-US" w:eastAsia="en-US" w:bidi="ar-SA"/>
        </w:rPr>
        <w:t xml:space="preserve"> (B.C.C.A.) at 464.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context of contractual principles, the client's position is that he consented to the Certificate of Fees in conditions that constituted duress, or undue influence, or that he signed it under the mistaken belief that he could challenge it later. He argues that his relationship with the solicitor was characterized by an imbalance of power, superimposed on the significant stress he experienced from the breakdown of his marriage, alienation from his children, the demise of his business, and the prospect of personal financial ruin. He was physically ill from Crohn's disease, which was exacerbated by the stress, as well as emotionally weakened by the stress and by the solicitor's abuse of her power over him. He says he had no choice but to sign the Certificate of Fees if he wished to have ongoing legal representation. He believed that if he did not sign it, the solicitor would no longer represent him, and would refuse to release his file to a new lawyer. The result would have been disastrous personally and financially. He wishes to set aside the Certificate of Fees so that he may raise his dissatisfaction with the solicitor's services in a taxation.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solicitor denies the allegations, and says that she did not coerce or unduly influence the client, nor did she take unfair advantage of him, in obtaining the Certificate of Fees. There were changes in circumstances that justified her concern to secure her fees, and she ensured that the client obtained independent legal advice to protect his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Ordinarily, the person seeking to set aside an agreement bears the burden of proof. The solicitor has fairly raised the point, however, that this case is somewhat analogous to those that deal with the reasonableness or fairness of fee agreements between lawyers and clients. In such cases, the burden of proof rests with the lawyer. I accept that is a valid analogy, and proceed on the basis that the solicitor bears the 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Dealing first with the allegation of duress, traditionally, duress in the formation of a contract involves physical compulsion of the person, a threat to life or limb, or a threat of imprisonment, Saxon v. Saxon </w:t>
      </w:r>
      <w:hyperlink r:id="rId834" w:history="1">
        <w:r>
          <w:rPr>
            <w:rFonts w:ascii="arial" w:eastAsia="arial" w:hAnsi="arial" w:cs="arial"/>
            <w:i/>
            <w:color w:val="0077CC"/>
            <w:sz w:val="20"/>
            <w:u w:val="single"/>
            <w:shd w:val="clear" w:color="auto" w:fill="FFFFFF"/>
            <w:lang w:val="en-US" w:eastAsia="en-US" w:bidi="ar-SA"/>
          </w:rPr>
          <w:t>(1976), 24 R.F.L. 47</w:t>
        </w:r>
      </w:hyperlink>
      <w:r>
        <w:rPr>
          <w:rFonts w:ascii="arial" w:eastAsia="arial" w:hAnsi="arial" w:cs="arial"/>
          <w:color w:val="000000"/>
          <w:sz w:val="20"/>
          <w:lang w:val="en-US" w:eastAsia="en-US" w:bidi="ar-SA"/>
        </w:rPr>
        <w:t xml:space="preserve"> (B.C.S.C.) at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nothing in the material before me to justify a finding of duress of that nature. While the client says his dealings with the solicitor aggravated his Crohn's disease, the medical evidence does not support such a causal connection. I conclude that the evidence as a whole falls far short of establishing that any actions by the solicitor constituted a physical compulsion or threat.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 contract may also be set aside, however, on grounds of economic duress. To succeed on this ground, it is necessary to examine the four factors constituting illegitimate coercion established in Pao On v. Lau Yiu, [1979] 3 All E.R. 65 (P.C.), and adopted in Gordon v. Roebuck et al </w:t>
      </w:r>
      <w:hyperlink r:id="rId835" w:history="1">
        <w:r>
          <w:rPr>
            <w:rFonts w:ascii="arial" w:eastAsia="arial" w:hAnsi="arial" w:cs="arial"/>
            <w:i/>
            <w:color w:val="0077CC"/>
            <w:sz w:val="20"/>
            <w:u w:val="single"/>
            <w:shd w:val="clear" w:color="auto" w:fill="FFFFFF"/>
            <w:lang w:val="en-US" w:eastAsia="en-US" w:bidi="ar-SA"/>
          </w:rPr>
          <w:t>(1992), 92 D.L.R. (4th) 670</w:t>
        </w:r>
      </w:hyperlink>
      <w:r>
        <w:rPr>
          <w:rFonts w:ascii="arial" w:eastAsia="arial" w:hAnsi="arial" w:cs="arial"/>
          <w:color w:val="000000"/>
          <w:sz w:val="20"/>
          <w:lang w:val="en-US" w:eastAsia="en-US" w:bidi="ar-SA"/>
        </w:rPr>
        <w:t xml:space="preserve"> (Ont. C.A.) at 672:</w:t>
      </w:r>
      <w:r>
        <w:rPr>
          <w:rFonts w:ascii="arial" w:eastAsia="arial" w:hAnsi="arial" w:cs="arial"/>
          <w:sz w:val="20"/>
          <w:lang w:val="en-US" w:eastAsia="en-US" w:bidi="ar-SA"/>
        </w:rPr>
        <w:cr/>
      </w:r>
    </w:p>
    <w:p>
      <w:pPr>
        <w:numPr>
          <w:numId w:val="2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he protest?</w:t>
      </w:r>
    </w:p>
    <w:p>
      <w:pPr>
        <w:numPr>
          <w:numId w:val="2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an alternative course open to him?</w:t>
      </w:r>
    </w:p>
    <w:p>
      <w:pPr>
        <w:numPr>
          <w:numId w:val="2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he independently advised?</w:t>
      </w:r>
    </w:p>
    <w:p>
      <w:pPr>
        <w:numPr>
          <w:numId w:val="2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entering the contract did he takes steps to avoid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Examining these factors in the context of this case, first, I am satisfied that the client did not protest when asked to consent to the Certificate of Fees. He raised no objection to the solicitor's services, the amount of the fees, or to signing the Certificate, despite having independent legal advice and taking several weeks to consider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the second factor, I find that there were alternative courses open to the client, and that he was aware of them. He could have discharged the solicitor, and proceeded to tax her accounts. The trial date was not imminent, and there was adequate time for him to pursue this course, and engage new counsel. The solicitor raised this option herself in her letter to him of May 24, 2001, and I find it likely that this option would have been raised and discussed by Mr. Te Hennepe in the course of providing independent legal advice. Were that not the case, I would have expected the client to say so in his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Moreover, I found the client to be an articulate and intelligent man, capable of protecting his own interests. He took time to decide whether to provide the Certificate of Fees and, before doing so, successfully negotiated terms by which the solicitor provided a significant amount of further legal work at no charge, and relinquished her claim to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respect to the third factor, the client clearly received independent advice from a lawyer of his choice. He did so at the instance of the solicitor. He makes no claim that this advice was incomplete or inadequate. The Certificate of Independent Legal Advice states he was fully advised and informed about the matter, understood the advice, and "may fairly be said to have acted independently". The client confirmed these statements. I also accept that the client was accompanied by a trusted friend at the initial meeting with the solicitor about the Certificate, and thus had another advisor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Finally, the client did take steps to avoid the agreement. He brought this application on initially in February, 2002, within a month of judgment being reserved in the matrimonial action. The judge hearing it adjourned the application, however, because the material filed in support of it included privileged information relevant to the issues raised in the outstanding matrimonial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accept that the period after his separation, combined with the matrimonial litigation, was extremely stressful for the client. However, having considered the four constituent factors of economic distress, I conclude that the solicitor has established that there was no illegitimate coercion of the client's will by her in obtaining the Certificate of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It was not clear to me that the client was advancing undue influence as a claim distinct from duress. I will nevertheless deal with his arguments in that context as well. The foundation of undue influence, like duress, is coercion. Given the solicitor/client relationship, it falls to the solicitor to rebut a presumption of undue influence, Geffen v. Goodman Estate, </w:t>
      </w:r>
      <w:r>
        <w:rPr>
          <w:rFonts w:ascii="arial" w:eastAsia="arial" w:hAnsi="arial" w:cs="arial"/>
          <w:i/>
          <w:color w:val="000000"/>
          <w:sz w:val="20"/>
          <w:lang w:val="en-US" w:eastAsia="en-US" w:bidi="ar-SA"/>
        </w:rPr>
        <w:t>[1991] 2 S.C.R. 353</w:t>
      </w:r>
      <w:r>
        <w:rPr>
          <w:rFonts w:ascii="arial" w:eastAsia="arial" w:hAnsi="arial" w:cs="arial"/>
          <w:color w:val="000000"/>
          <w:sz w:val="20"/>
          <w:lang w:val="en-US" w:eastAsia="en-US" w:bidi="ar-SA"/>
        </w:rPr>
        <w:t>. The presumption may be rebutted by establishing that the weaker party had honest and competent independent legal advice: Inche Noriah v. Shaik Allie bin Omar, [1929] A.C. 127 (P.C.).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For the same reasons as those expressed in dealing with duress, I find that the client clearly had such advice here, and that the solicitor has rebutted the presumption of undue influence. I reject any claim of undue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client also advanced a claim that I will categorize as one of equitable fraud, as that concept has been defined in Windjammer Homes Inc. v. Generation Enterprises </w:t>
      </w:r>
      <w:hyperlink r:id="rId836" w:history="1">
        <w:r>
          <w:rPr>
            <w:rFonts w:ascii="arial" w:eastAsia="arial" w:hAnsi="arial" w:cs="arial"/>
            <w:i/>
            <w:color w:val="0077CC"/>
            <w:sz w:val="20"/>
            <w:u w:val="single"/>
            <w:shd w:val="clear" w:color="auto" w:fill="FFFFFF"/>
            <w:lang w:val="en-US" w:eastAsia="en-US" w:bidi="ar-SA"/>
          </w:rPr>
          <w:t>(1989), 43 B.L.R. 315</w:t>
        </w:r>
      </w:hyperlink>
      <w:r>
        <w:rPr>
          <w:rFonts w:ascii="arial" w:eastAsia="arial" w:hAnsi="arial" w:cs="arial"/>
          <w:color w:val="000000"/>
          <w:sz w:val="20"/>
          <w:lang w:val="en-US" w:eastAsia="en-US" w:bidi="ar-SA"/>
        </w:rPr>
        <w:t xml:space="preserve"> (B.C.S.C.), and Crozier v. Imperial Ventures Ltd. (1991), 2 C.P.C. (3d) 250 (B.C.S.C.). Essentially, he argued that he did not understand the Certificate of Fees was irrefutable, and the solicitor took advantage of his ignorance in getting him to sign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do not accept that for the following reasons. First, the client agrees he understood the Certificate of Fees was to permit the solicitor to obtain payment of her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Second, I find it most unlikely that he was not advised of the finality of the Certificate of Fees in the course of the legal advice he received from Mr. Te Hennepe. If that were the case, I again would have expected the client to clearly state that in his affidavits, and possibly provide an affidavit from Mr. Te Hennepe confirming this. Instead, the only information about their meeting as to this aspect of the advice received by the client is that Mr. Te Hennepe told him, "She's got you", which indicates to me an element of finality.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Third, there is nothing to suggest that the solicitor contributed to any misapprehension on the part of the client, or that she took unfair advantage of his ignorance. It is common ground that it was she who told the client to obtain independent legal advice, an action that I find to be entirely inconsistent with an intent to exploit his ignorance.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Finally, the client's own position on this aspect of his presentation was ambivalent. While he initially argued that he did not know the Certificate of Fees was irrefutable, he later said that he did realize the Certificate was intended to tie him down and obligate him to pay the $69,000, and that people had told him it was irrefutable. He said he was not happy with this, but felt he was in a weakened state, so he decided to sign it and take it up in front of a judge later when he felt stronger. He said that his experience with the legal system during his matrimonial proceeding had taught him that, while things may appear firm, anything can be taken before a judge and reopened if you have a reasonable argument. These comments brought to mind the trial judge's observation at para. 20 of his Reasons for Judgment in the matrimonial action that,"... for Mr. Wigod, obeying the rules is a matter of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conclude that the solicitor has established that the Certificate of Fees was not obtained through duress, undue influence, or by her taking unfair advantage of the client's ignorance or mistake. The client's application to set aside the Certificate of Fees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solicitor seeks special costs. She says the client has, without justification, alleged equitable fraud, incompetence, and dishonesty on her part. These allegations are reprehensible, and are deserving of the court's censure through an order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find that neither the allegations of equitable fraud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justify an order for special costs. A claim of equitable fraud falls short of deceit, and is distinct from an allegation of fraud: First City Capital Ltd. v. British Columbia Building Corp., </w:t>
      </w:r>
      <w:hyperlink r:id="rId837" w:history="1">
        <w:r>
          <w:rPr>
            <w:rFonts w:ascii="arial" w:eastAsia="arial" w:hAnsi="arial" w:cs="arial"/>
            <w:i/>
            <w:color w:val="0077CC"/>
            <w:sz w:val="20"/>
            <w:u w:val="single"/>
            <w:shd w:val="clear" w:color="auto" w:fill="FFFFFF"/>
            <w:lang w:val="en-US" w:eastAsia="en-US" w:bidi="ar-SA"/>
          </w:rPr>
          <w:t>[1989] B.C.J. No. 130</w:t>
        </w:r>
      </w:hyperlink>
      <w:r>
        <w:rPr>
          <w:rFonts w:ascii="arial" w:eastAsia="arial" w:hAnsi="arial" w:cs="arial"/>
          <w:color w:val="000000"/>
          <w:sz w:val="20"/>
          <w:lang w:val="en-US" w:eastAsia="en-US" w:bidi="ar-SA"/>
        </w:rPr>
        <w:t xml:space="preserve"> (S.C.).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similarly do not necessarily attract such an order. The client frankly acknowledged that they are more appropriate matters for consideration by a Registrar, if he is successful in setting aside the Certificate of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allegation of dishonesty arises from the client's statement that the solicitor advised him to break the law by not honouring his obligation of spousal support. That allegation was not set out in any of his material. It only arose during his cross-examination on his affidavits. The solicitor responded to it with a brief affidavit, denying the allegation, and attaching correspondence which I find clearly refutes it. The issue had no relevance to the application, and the client did not rely on it in his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Patriquin v. Laurentian Trust of Canada Inc. </w:t>
      </w:r>
      <w:hyperlink r:id="rId838" w:history="1">
        <w:r>
          <w:rPr>
            <w:rFonts w:ascii="arial" w:eastAsia="arial" w:hAnsi="arial" w:cs="arial"/>
            <w:i/>
            <w:color w:val="0077CC"/>
            <w:sz w:val="20"/>
            <w:u w:val="single"/>
            <w:shd w:val="clear" w:color="auto" w:fill="FFFFFF"/>
            <w:lang w:val="en-US" w:eastAsia="en-US" w:bidi="ar-SA"/>
          </w:rPr>
          <w:t>(2002), 96 B.C.L.R. (3d) 318</w:t>
        </w:r>
      </w:hyperlink>
      <w:r>
        <w:rPr>
          <w:rFonts w:ascii="arial" w:eastAsia="arial" w:hAnsi="arial" w:cs="arial"/>
          <w:color w:val="000000"/>
          <w:sz w:val="20"/>
          <w:lang w:val="en-US" w:eastAsia="en-US" w:bidi="ar-SA"/>
        </w:rPr>
        <w:t xml:space="preserve"> (C.A.) the Court set aside an award of special costs in favour of a lawyer, stating at para. 29 that not all unfounded allegations concerning a lawyer's reputation will attract an award of special costs. Otherwise, legitimate claims against lawyers would be discouraged, and lawyers would become a protected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Here, I appreciate the solicitor's concern about an allegation that might damage her reputation, and I accept her evidence that it was unfounded. Nevertheless, I find it arose in an offhand manner, it was not pursued by the client, and it played no role in the proceeding. I accordingly decline to make an award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solicitor will have her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5"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Great West Development Marine Corp. v. Canadian Surety Co., [2000] B.C.J. No. 939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Holmes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A992853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939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806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 C.C.L.I. (3d) 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146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339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Great West Development Marine Corp., petitioner, and The Canadian Surety Company,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6"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8" w:name="Keywords_30"/>
      <w:bookmarkEnd w:id="228"/>
      <w:r>
        <w:rPr>
          <w:rFonts w:ascii="arial" w:eastAsia="arial" w:hAnsi="arial" w:cs="arial"/>
          <w:b/>
          <w:color w:val="000000"/>
          <w:sz w:val="20"/>
          <w:lang w:val="en-US" w:eastAsia="en-US" w:bidi="ar-SA"/>
        </w:rPr>
        <w:t>Insurance — Liability insurance — Business, comprehensive policy — Extent of coverage, defence costs — Duty to defend — Business, comprehensive policy, exclusions — Discharge of pollutants on land.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9" w:name="Case Summary_29"/>
            <w:bookmarkEnd w:id="2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 petition by Great West Development Marine for an order that the Canadian Surety Company indemnify it for legal costs, and assume its defence in the action brought against it by Sarajino Swamy. Swamy claimed damages as a result of Great West's action of depositing soil on her property, which she thought would be top soil but allegedly contained construction debris such as plastic, concrete, pipe, tar, wire and metal. She alleged in her claim that the soil was contaminated fill. Canadian Surety argued that it was not obligated to defend against the claim because the claim fell within the Pollution Exclusion of the policy.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0" w:name="Holdings of Court_29"/>
            <w:bookmarkEnd w:id="230"/>
            <w:r>
              <w:rPr>
                <w:rFonts w:ascii="arial" w:eastAsia="arial" w:hAnsi="arial" w:cs="arial"/>
                <w:color w:val="000000"/>
                <w:sz w:val="20"/>
                <w:lang w:val="en-US" w:eastAsia="en-US" w:bidi="ar-SA"/>
              </w:rPr>
              <w:t>HELD: Petition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Canadian Surety's obligation to defend was separate from its obligation to indemnify, although there would have been no duty to defend if there had been no liability to indemnify under the policy. The gist of the underlying action was that Swamy received a mixture of debris when she was expecting topsoil. It could not be said that the material received was a pollutant within the meaning of the policy. Canadian Surety had not met the onus of showing that the Pollution Exclusion applied to deny Great West's entitlement to indemnity.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1" w:name="Legislation Cited_17"/>
      <w:bookmarkEnd w:id="2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7"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Soil Conservation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Waste Management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2" w:name="Counsel_38"/>
      <w:bookmarkEnd w:id="2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8"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Christopher M. Rusnak and Nicholas D.C. Holland, for the petitioner. Sharleen L. Dumont,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3" w:name="Judgment_36"/>
      <w:bookmarkEnd w:id="233"/>
      <w:r>
        <w:pict>
          <v:line id="_x0000_s1199" style="position:absolute;z-index:251840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4" w:name="HOLMES J."/>
            <w:bookmarkEnd w:id="234"/>
            <w:r>
              <w:rPr>
                <w:rFonts w:ascii="arial" w:eastAsia="arial" w:hAnsi="arial" w:cs="arial"/>
                <w:b/>
                <w:color w:val="000000"/>
                <w:sz w:val="30"/>
                <w:lang w:val="en-US" w:eastAsia="en-US" w:bidi="ar-SA"/>
              </w:rPr>
              <w:t>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petitioner Great West Development Marine Corporation ["Great West"] seeks a declaration that the respondent The Canadian Surety Company ["Canadian Surety"] indemnify it for legal costs incurred, and that it assume continuation of its defence in action A982834, Vancouver Registry of the Supreme Court of British Columbia, </w:t>
      </w:r>
      <w:hyperlink r:id="rId846" w:history="1">
        <w:r>
          <w:rPr>
            <w:rFonts w:ascii="arial" w:eastAsia="arial" w:hAnsi="arial" w:cs="arial"/>
            <w:i/>
            <w:color w:val="0077CC"/>
            <w:sz w:val="20"/>
            <w:u w:val="single"/>
            <w:shd w:val="clear" w:color="auto" w:fill="FFFFFF"/>
            <w:lang w:val="en-US" w:eastAsia="en-US" w:bidi="ar-SA"/>
          </w:rPr>
          <w:t>[1999] B.C.J. No. 2011</w:t>
        </w:r>
      </w:hyperlink>
      <w:r>
        <w:rPr>
          <w:rFonts w:ascii="arial" w:eastAsia="arial" w:hAnsi="arial" w:cs="arial"/>
          <w:color w:val="000000"/>
          <w:sz w:val="20"/>
          <w:lang w:val="en-US" w:eastAsia="en-US" w:bidi="ar-SA"/>
        </w:rPr>
        <w:t>, at the suit of Sarojino Swamy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Canadian Surety insured Great West pursuant to a Specific Wrap-Up Liability Insurance Policy ["policy"] issued with respect to the construction of a condominium project on a site owned by Great West on S.E. Marine Drive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underlying action concerns alleged damages arising from the delivery and deposit of debris excavated from Great West's construction site on the Swamy farmland.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petitioner in the underlying action seeks damages from Great West and others for damage to her farming property, to her and her family's health, to the health of farm livestock, and for the loss of use of her property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trespass, nuisance, breach of statutory duties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Canadian Surety does not dispute that as the petitioner in the underlying action has alleged bodily injury and property damage Great West would be entitled to coverage under the policy Insuring Agreements - Coverages A - Bodily Injury and B - Property Damage (but not C - Personal Injury). The position of Canadian Surety however is that coverage is excluded under the Pollution Exclusion, or alternatively, the Work Performed Exclusion, provisions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petitioner Swamy owns a farm property in Surrey, B.C. which she used for agricultural purposes including growing vegetables and blueberries.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Great West's construction project commenced in 1998 with demolition and excavation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general contractor for the project was Joseph Lepur's Construction Inc. Tham Demolition, its owner Sita Tham and its employee Ronald Bates provided the demolition and excavation services. Beesla Trucking hauled the excavation debris from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period May to July 1998, Tham and Bates had discussions with Ms. Swamy regarding supply of soil for her farmland. From late July to early August 1998, approximately 500 truck loads of fill were hauled from the construction site and dumped on the Swamy farm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Swamy alleges the excavated fill deposited on her farmland was not what she had expected. She was expecting good topsoil whereas the fill delivered to her farmland was composed of a gravel/sandy silt and clay material, containing numerous stones and boulders. It also contained a large amount of construction debris such as plastics, concrete, broken pipe, tar, scrap metal, asbestos insulation, wire, creosoted wood, and other unknown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underlying action the petitioner's claim against the Tham Demolition defendants and Beesla Trucking is for misrepresentation and a conspiracy amongst them to misrepresent, and mislead her to believe she would receive "good topsoil" while actually supplying poor soil containing construction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petitioner's claim against Great West is that it knew: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 abundance of contaminated fill was being excavated and hauled from the Marine Drive site, and neglected to take adequate steps to ensure proper disposal of such fill, which conduct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nuisance, contravention of the Waste Management Act, </w:t>
      </w:r>
      <w:hyperlink r:id="rId847" w:history="1">
        <w:r>
          <w:rPr>
            <w:rFonts w:ascii="arial" w:eastAsia="arial" w:hAnsi="arial" w:cs="arial"/>
            <w:i/>
            <w:color w:val="0077CC"/>
            <w:sz w:val="20"/>
            <w:u w:val="single"/>
            <w:shd w:val="clear" w:color="auto" w:fill="FFFFFF"/>
            <w:lang w:val="en-US" w:eastAsia="en-US" w:bidi="ar-SA"/>
          </w:rPr>
          <w:t>R.S.B.C. 1996, Chap.482</w:t>
        </w:r>
      </w:hyperlink>
      <w:r>
        <w:rPr>
          <w:rFonts w:ascii="arial" w:eastAsia="arial" w:hAnsi="arial" w:cs="arial"/>
          <w:color w:val="000000"/>
          <w:sz w:val="20"/>
          <w:lang w:val="en-US" w:eastAsia="en-US" w:bidi="ar-SA"/>
        </w:rPr>
        <w:t xml:space="preserve"> and Soil Conservation Act, Chap.434 and amendments thereto, and has caused the Plaintiff's damages 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23 of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also alleged the fill materials: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constitute waste that is hazardous to health and which will cause the leaching of toxic chemicals into surrounding indigenous soils and ground water contaminating the Plaintiff's Farm, killing agricultural crops and rendering the Plaintiff's Farm unfit for agriculture and other uses.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19 of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no allegation in the pleadings in the underlying action that Great West made any representations or participated in any conspiracy, misrepresentation, 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common ground between the parties that an insurer's obligation to defend is separate from its duty to indemnify. The pleadings must be examined to determine whether they disclose facts or contain allegations which would bring the incident in issue within the terms of the indemnity provisions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Supreme Court of Canada described an insurer's duty to defend in Nichols v. American Home Assurance Co. </w:t>
      </w:r>
      <w:hyperlink r:id="rId848" w:history="1">
        <w:r>
          <w:rPr>
            <w:rFonts w:ascii="arial" w:eastAsia="arial" w:hAnsi="arial" w:cs="arial"/>
            <w:i/>
            <w:color w:val="0077CC"/>
            <w:sz w:val="20"/>
            <w:u w:val="single"/>
            <w:shd w:val="clear" w:color="auto" w:fill="FFFFFF"/>
            <w:lang w:val="en-US" w:eastAsia="en-US" w:bidi="ar-SA"/>
          </w:rPr>
          <w:t>(1990), 68 D.L.R. (4th) 321</w:t>
        </w:r>
      </w:hyperlink>
      <w:r>
        <w:rPr>
          <w:rFonts w:ascii="arial" w:eastAsia="arial" w:hAnsi="arial" w:cs="arial"/>
          <w:color w:val="000000"/>
          <w:sz w:val="20"/>
          <w:lang w:val="en-US" w:eastAsia="en-US" w:bidi="ar-SA"/>
        </w:rPr>
        <w:t xml:space="preserve"> at p. 325 and p. 327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duty to defend arises where the claim </w:t>
      </w:r>
      <w:r>
        <w:rPr>
          <w:rFonts w:ascii="arial" w:eastAsia="arial" w:hAnsi="arial" w:cs="arial"/>
          <w:b/>
          <w:color w:val="000000"/>
          <w:sz w:val="20"/>
          <w:lang w:val="en-US" w:eastAsia="en-US" w:bidi="ar-SA"/>
        </w:rPr>
        <w:t>alleges</w:t>
      </w:r>
      <w:r>
        <w:rPr>
          <w:rFonts w:ascii="arial" w:eastAsia="arial" w:hAnsi="arial" w:cs="arial"/>
          <w:color w:val="000000"/>
          <w:sz w:val="20"/>
          <w:lang w:val="en-US" w:eastAsia="en-US" w:bidi="ar-SA"/>
        </w:rPr>
        <w:t xml:space="preserve"> acts or omissions falling within the policy coverage, while the duty to indemnify arises only where such allegations are </w:t>
      </w:r>
      <w:r>
        <w:rPr>
          <w:rFonts w:ascii="arial" w:eastAsia="arial" w:hAnsi="arial" w:cs="arial"/>
          <w:b/>
          <w:color w:val="000000"/>
          <w:sz w:val="20"/>
          <w:lang w:val="en-US" w:eastAsia="en-US" w:bidi="ar-SA"/>
        </w:rPr>
        <w:t>proven</w:t>
      </w:r>
      <w:r>
        <w:rPr>
          <w:rFonts w:ascii="arial" w:eastAsia="arial" w:hAnsi="arial" w:cs="arial"/>
          <w:color w:val="000000"/>
          <w:sz w:val="20"/>
          <w:lang w:val="en-US" w:eastAsia="en-US" w:bidi="ar-SA"/>
        </w:rPr>
        <w:t xml:space="preserve">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not necessary to prove that the obligation to indemnify will in fact arise in order to trigger the duty to defend. The mere possibility that a claim within the policy may succeed suffices.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Longarini (Litigation Guardian of) v. Zulinani </w:t>
      </w:r>
      <w:hyperlink r:id="rId849" w:history="1">
        <w:r>
          <w:rPr>
            <w:rFonts w:ascii="arial" w:eastAsia="arial" w:hAnsi="arial" w:cs="arial"/>
            <w:i/>
            <w:color w:val="0077CC"/>
            <w:sz w:val="20"/>
            <w:u w:val="single"/>
            <w:shd w:val="clear" w:color="auto" w:fill="FFFFFF"/>
            <w:lang w:val="en-US" w:eastAsia="en-US" w:bidi="ar-SA"/>
          </w:rPr>
          <w:t>(1994), 113 D.L.R. (4th) 633</w:t>
        </w:r>
      </w:hyperlink>
      <w:r>
        <w:rPr>
          <w:rFonts w:ascii="arial" w:eastAsia="arial" w:hAnsi="arial" w:cs="arial"/>
          <w:color w:val="000000"/>
          <w:sz w:val="20"/>
          <w:lang w:val="en-US" w:eastAsia="en-US" w:bidi="ar-SA"/>
        </w:rPr>
        <w:t xml:space="preserve"> at p. 636-7 (Ont.CA)].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duty to defend an action against an insured does not arise however where there is clearly no liability to indemnify under the policy. [Opron Maritimes Construction Ltd. v. Canadian Indemnity Co. </w:t>
      </w:r>
      <w:hyperlink r:id="rId850" w:history="1">
        <w:r>
          <w:rPr>
            <w:rFonts w:ascii="arial" w:eastAsia="arial" w:hAnsi="arial" w:cs="arial"/>
            <w:i/>
            <w:color w:val="0077CC"/>
            <w:sz w:val="20"/>
            <w:u w:val="single"/>
            <w:shd w:val="clear" w:color="auto" w:fill="FFFFFF"/>
            <w:lang w:val="en-US" w:eastAsia="en-US" w:bidi="ar-SA"/>
          </w:rPr>
          <w:t>(1986), 19 C.C.L.I. 168</w:t>
        </w:r>
      </w:hyperlink>
      <w:r>
        <w:rPr>
          <w:rFonts w:ascii="arial" w:eastAsia="arial" w:hAnsi="arial" w:cs="arial"/>
          <w:color w:val="000000"/>
          <w:sz w:val="20"/>
          <w:lang w:val="en-US" w:eastAsia="en-US" w:bidi="ar-SA"/>
        </w:rPr>
        <w:t xml:space="preserve">, leave to appeal to Supreme Court of Canada refused </w:t>
      </w:r>
      <w:hyperlink r:id="rId851" w:history="1">
        <w:r>
          <w:rPr>
            <w:rFonts w:ascii="arial" w:eastAsia="arial" w:hAnsi="arial" w:cs="arial"/>
            <w:i/>
            <w:color w:val="0077CC"/>
            <w:sz w:val="20"/>
            <w:u w:val="single"/>
            <w:shd w:val="clear" w:color="auto" w:fill="FFFFFF"/>
            <w:lang w:val="en-US" w:eastAsia="en-US" w:bidi="ar-SA"/>
          </w:rPr>
          <w:t>(1987), 21 C.C.L.I xxxv</w:t>
        </w:r>
      </w:hyperlink>
      <w:r>
        <w:rPr>
          <w:rFonts w:ascii="arial" w:eastAsia="arial" w:hAnsi="arial" w:cs="arial"/>
          <w:color w:val="000000"/>
          <w:sz w:val="20"/>
          <w:lang w:val="en-US" w:eastAsia="en-US" w:bidi="ar-SA"/>
        </w:rPr>
        <w:t xml:space="preserve"> (N.B.C.A.)].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POLLUTION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pollution exclusion on which Canadian Surety relies here is known as the "absolute pollution exclusion". The wording of the exclusion is that of a standard developed by insurers in the United States around 1985 to counter the eroded effect they perceived the courts were creating in the interpretation given to previous attempts to exclude pollution claims coverage. [Scott D. Marrs, "Pollution Exclusion Clauses: Validity and Applicability" (1991), 26 Tort &amp; Ins. L.J. 662. Its relevant part reads:</w:t>
      </w:r>
      <w:r>
        <w:rPr>
          <w:rFonts w:ascii="arial" w:eastAsia="arial" w:hAnsi="arial" w:cs="arial"/>
          <w:sz w:val="20"/>
          <w:lang w:val="en-US" w:eastAsia="en-US" w:bidi="ar-SA"/>
        </w:rPr>
        <w:cr/>
      </w:r>
    </w:p>
    <w:p>
      <w:pPr>
        <w:numPr>
          <w:numId w:val="2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Exclusions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policy does not apply to any liability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 Coverages A and B for: ...</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or Property Damage arising out of the actual, alleged or threatened discharge, dispersal, release or escape of pollutants:</w:t>
      </w:r>
    </w:p>
    <w:p>
      <w:pPr>
        <w:numPr>
          <w:numId w:val="3"/>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at or from premises owned, rented or occupied by the Insured; ...</w:t>
      </w:r>
    </w:p>
    <w:p>
      <w:pPr>
        <w:numPr>
          <w:numId w:val="3"/>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are at any time transported, handled, stored, treated, disposed of, or processed as waste by or for an Insured or any person or organization for which the Insured may be legally responsible; or</w:t>
      </w:r>
    </w:p>
    <w:p>
      <w:pPr>
        <w:numPr>
          <w:numId w:val="3"/>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at or from any site or location on which an Insured or any contractors or subcontractors working directly or indirectly on behalf of an Insured are performing operations:</w:t>
      </w:r>
    </w:p>
    <w:p>
      <w:pPr>
        <w:numPr>
          <w:numId w:val="4"/>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pollutants are brought on or to the site or location in connection with such operations;</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As used in this insurance policy the term "Pollutants" means any solid, liquid, gaseous or thermal irritant or contaminant, including but not limited to smoke, vapor, soot, fumes, acids, alkalis, chemicals and waste. Waste includes materials to be recycled, reconditioned or reclaimed.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Counsel provided the following definitions: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"Contaminate" means to "render impure by contact or mixture; to corrupt, defile, pollute, sully, taint, infect".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[Shorter Oxford English Dictionary, Third Edition (Oxford: Clarendon Press, 1944)].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"Pollution" means the "contamination of air, soil, or water by the discharge of harmful substances".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[Webster's II, New Riverside University Dictionary, (U.S.A.: The Riverside Publishing Co.,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advised by counsel there are no Canadian authorities addressing the definition of a pollutant for purposes of the Pollution Exclusion. The origin of the clause however is from American insurance policies, and the clause has been considered many times by courts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the petitioner cites: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 Hub Recycling, Inc. 106 Bank R. 372 (DNJ 1989);</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Westchester Fire Ins. Co. v. City of Pittsburg Kan.768 F.Supp 1463 (d) Kan.1991;</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American States Ins. Co. v. Koloms, 666 N.E. 2d 699 (Ill.App. 1 Dist. 1996);</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American States Ins. Co. v. Kiger, 662 N.E. 2d 945 (Ind.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which support the view that the courts have given the definition of pollutant a very restrictive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the respondent argues that the allegation against Great West in paragraph. 23 of the Amended Statement of Claim is that of "contaminated soil" and therefore an allegation that the soil deposited on the Swamy farmland was polluted. Counsel notes that the further reference to breach of the Waste Management Act and the Soil Conservation Act is confirmatory of the view that the petitioner's allegations relate to pollution.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the reference in the pleadings to "contaminated soil" may, within context of the whole of the circumstances known to underlay the action, be intended by the plaintiff more as a reference to the quality of the fill deposited upon her farmland than as an accurate generic description of the excavated material removed from the construction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gist of the petitioner's law suit is that she expected topsoil but received a mix of gravel, clay, stones and construction debris, and that whatever its proper description, it was not topsoil.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What must be considered under the terms of the policy is the nature and proper description of the excavated material leaving the construction site, without reference to any particular intended use to be made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ingredients in the mix of excavated material in question might well contaminate topsoil but they are not necessarily contaminants in the abstract. The mix constituting the excavated material, for example, may well not qualify as an environmental pollutant.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unclear to me on the pleadings that the fill from the construction site could reasonably be considered a pollutant in the general sense of being harmful, or having in any significant quantity components or ingredients that might be thought inherently harmful, dangerous or of likely deleterious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Canadian Surety must bear the onus of establishing that the exclusion applies. The circumstances here makes apposite the comment of Drost J. in Privest Properties Ltd. v. Foundation Co. of Canada Ltd. </w:t>
      </w:r>
      <w:hyperlink r:id="rId852" w:history="1">
        <w:r>
          <w:rPr>
            <w:rFonts w:ascii="arial" w:eastAsia="arial" w:hAnsi="arial" w:cs="arial"/>
            <w:i/>
            <w:color w:val="0077CC"/>
            <w:sz w:val="20"/>
            <w:u w:val="single"/>
            <w:shd w:val="clear" w:color="auto" w:fill="FFFFFF"/>
            <w:lang w:val="en-US" w:eastAsia="en-US" w:bidi="ar-SA"/>
          </w:rPr>
          <w:t>(1991), 57 B.C.L.R. (2d) 88</w:t>
        </w:r>
      </w:hyperlink>
      <w:r>
        <w:rPr>
          <w:rFonts w:ascii="arial" w:eastAsia="arial" w:hAnsi="arial" w:cs="arial"/>
          <w:color w:val="000000"/>
          <w:sz w:val="20"/>
          <w:lang w:val="en-US" w:eastAsia="en-US" w:bidi="ar-SA"/>
        </w:rPr>
        <w:t xml:space="preserve"> (B.C.S.C.) at p. 144, regarding the need for answers to questions: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number of questions arise: Does the phrase "other irritants, contaminants or pollutants" include asbestos fibres? If so, was there a discharge, dispersal or release of such fibres? If so, was it into the atmosphere? When did it occur? Was it continuous or was it sudden? Was it accidental? and so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None of those questions can be answered at this time; evidence is required. Accordingly, none of the insurers have satisfied the onus of establishing that their pollution exclusion clauses exclude coverage of the claims, advanced against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Canadian Surety has not met the onus to show the applicability of the Pollution Exclusion of the policy, or that it has been clearly demonstrated that Great West is not entitled to indemnity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COVERAGE C:</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PERSONAL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Pollution Exclusion does not apply to Coverage C, however the position of Canadian Surety is that the claim falls without that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policy provides coverage for "Personal Injury" caused during the policy period sustained by any person or organization and arising out of, inter alia:</w:t>
      </w:r>
      <w:r>
        <w:rPr>
          <w:rFonts w:ascii="arial" w:eastAsia="arial" w:hAnsi="arial" w:cs="arial"/>
          <w:sz w:val="20"/>
          <w:lang w:val="en-US" w:eastAsia="en-US" w:bidi="ar-SA"/>
        </w:rPr>
        <w:cr/>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wrongful entry or eviction, or other invasion of the right of private occupancy.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in argument effectively canvassed two competing lines of authority. The petitioner cites and relies upon a line of authority including:</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Town of Goshen v. Grange Mutual Insurance Company, N.H., 424 A. 2d 822;</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Titan Holdings Syndicate Inc. v. City of Keene, N.H., 898 F. 2d 265 (1st Cir. 1990);</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Pipefitters Welfare Educational Fund v. Westchester Fire Insurance Company, 976 F. 2d 1037 (7th Cir.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find nuisance constitutes personal injury arising out of an "... invasion of the right of private occupancy".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Counsel for the respondent cited considerably more authority in support of the view that many American courts have expressly rejected following Town of Goshen, Titan Holdings, and Pipefitters Welfare, supra, and held that the analysis employed in those cases was superficial.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Coverage C has been noted as "built from the ground up" and applicable only to enumerated offences. It is in contrast to Coverages A and B which are stated in broad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essence several American decisions have held that the term "other invasion of the right of private occupancy" is part of the more complete definition of personal injury, following upon the words "wrongful entry or eviction". Invoking the ejusdem generis principle the term would require an interpretation encompassing actions of the same general type, invoking the concept of an act aimed at dispossessing someone of their right to real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there is much to commend the position of the respondent Canadian Surety that the issue of coverage here is directly addressed under Sections A and B and that policy language under Section C should not be "bent out of shape" to provide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issue would have a clear significance if coverage was clearly excluded under the Pollution Exclusion clause, as in terms of Canadian law, unlike American law, where damage is caused by two concurrent causes, one within coverage and the other expressly excluded, coverage is not extended. [Lizotte v. Traders General Insurance Company </w:t>
      </w:r>
      <w:hyperlink r:id="rId853" w:history="1">
        <w:r>
          <w:rPr>
            <w:rFonts w:ascii="arial" w:eastAsia="arial" w:hAnsi="arial" w:cs="arial"/>
            <w:i/>
            <w:color w:val="0077CC"/>
            <w:sz w:val="20"/>
            <w:u w:val="single"/>
            <w:shd w:val="clear" w:color="auto" w:fill="FFFFFF"/>
            <w:lang w:val="en-US" w:eastAsia="en-US" w:bidi="ar-SA"/>
          </w:rPr>
          <w:t>(1986), 20 C.C.L.I. 320</w:t>
        </w:r>
      </w:hyperlink>
      <w:r>
        <w:rPr>
          <w:rFonts w:ascii="arial" w:eastAsia="arial" w:hAnsi="arial" w:cs="arial"/>
          <w:color w:val="000000"/>
          <w:sz w:val="20"/>
          <w:lang w:val="en-US" w:eastAsia="en-US" w:bidi="ar-SA"/>
        </w:rPr>
        <w:t xml:space="preserve"> (B.C.C.A.); Charterhouse Properties Ltd. v. Laurentian Pacific Insurance Co. </w:t>
      </w:r>
      <w:hyperlink r:id="rId854" w:history="1">
        <w:r>
          <w:rPr>
            <w:rFonts w:ascii="arial" w:eastAsia="arial" w:hAnsi="arial" w:cs="arial"/>
            <w:i/>
            <w:color w:val="0077CC"/>
            <w:sz w:val="20"/>
            <w:u w:val="single"/>
            <w:shd w:val="clear" w:color="auto" w:fill="FFFFFF"/>
            <w:lang w:val="en-US" w:eastAsia="en-US" w:bidi="ar-SA"/>
          </w:rPr>
          <w:t>(1993), 75 B.C.L.R. (2d) 299</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have however found coverage is not excluded under the Pollution Exclusion clause and it is therefore unnecessary on this application to decide the issue of Section C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 PERFORMED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Canadian Surety argues as an alternative that coverage is excluded for all or a part of the claim in the underlying action by the provision of the Work Performed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That exclusion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policy does not apply to any liability: ...</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Coverage B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Injury to, or destruction of, or loss of use of: ...</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particular part of any property, not on premises owned by or rented to the Insured:</w:t>
      </w:r>
    </w:p>
    <w:p>
      <w:pPr>
        <w:numPr>
          <w:numId w:val="11"/>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which operations are being performed by or on behalf of the Insured at the time of the injury thereto or destruction thereof, arising out of such operations; or ...</w:t>
      </w:r>
    </w:p>
    <w:p>
      <w:pPr>
        <w:numPr>
          <w:numId w:val="1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restoration, repair or replacement of which has been made or is necessary by reason of faulty workmanship thereon by or on behalf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do not accept that the subject excavation waste being removed from the construction site can be considered part of the work product of Great West. In my view the excavated material was but a waste component resulting from the creation of the work product which was the condominium project or component parts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property, "... upon which operations are being preformed ...", would presumably be the excavated material from the construction site. The "operations being performed" would occur at the Swamy farmland. I do not see from the evidence any suggestion the excavated material, even if it could be considered a work product, was being worked upon at the Swamy farmland.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do not consider the Work Performed Exclusion has been shown to have any application to the issue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petitioner is entitled to the declarations sought concerning Canadian Surety's obligation to provide and pay for Great West's defence in the underlying action. Great West is entitled to its costs of defence to date on a solicitor and own client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actual extent of claims, if any, that may fall outside of policy coverage or may come within the Pollution Exclusion clause must await findings of fact upon trial of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Any determination therefore as to apportionment of defence costs that may arise can be undertaken following trial. [Axa Pacific Insurance Co. v. Guildford Marquis Towers Ltd., </w:t>
      </w:r>
      <w:hyperlink r:id="rId855" w:history="1">
        <w:r>
          <w:rPr>
            <w:rFonts w:ascii="arial" w:eastAsia="arial" w:hAnsi="arial" w:cs="arial"/>
            <w:i/>
            <w:color w:val="0077CC"/>
            <w:sz w:val="20"/>
            <w:u w:val="single"/>
            <w:shd w:val="clear" w:color="auto" w:fill="FFFFFF"/>
            <w:lang w:val="en-US" w:eastAsia="en-US" w:bidi="ar-SA"/>
          </w:rPr>
          <w:t>[2000] B.C.J. No. 208</w:t>
        </w:r>
      </w:hyperlink>
      <w:r>
        <w:rPr>
          <w:rFonts w:ascii="arial" w:eastAsia="arial" w:hAnsi="arial" w:cs="arial"/>
          <w:color w:val="000000"/>
          <w:sz w:val="20"/>
          <w:lang w:val="en-US" w:eastAsia="en-US" w:bidi="ar-SA"/>
        </w:rPr>
        <w:t xml:space="preserve">, (2 February 2000) Vancouver Registry C993197 (B.C.S.C.); Continental Insurance Co. v. Dia Met Minerals Ltd. </w:t>
      </w:r>
      <w:hyperlink r:id="rId856" w:history="1">
        <w:r>
          <w:rPr>
            <w:rFonts w:ascii="arial" w:eastAsia="arial" w:hAnsi="arial" w:cs="arial"/>
            <w:i/>
            <w:color w:val="0077CC"/>
            <w:sz w:val="20"/>
            <w:u w:val="single"/>
            <w:shd w:val="clear" w:color="auto" w:fill="FFFFFF"/>
            <w:lang w:val="en-US" w:eastAsia="en-US" w:bidi="ar-SA"/>
          </w:rPr>
          <w:t>(1996), 20 B.C.L.R. (3d) 331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0"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Haynes v. Buott, [2000] B.C.J. No. 630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Clancy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5,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23, 2000.</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97/1633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630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512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44 C.P.C. (4th) 132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95 A.C.W.S. (3d) 1027</w:t>
      </w:r>
    </w:p>
    <w:p>
      <w:pPr>
        <w:spacing w:before="120" w:line="260" w:lineRule="atLeast"/>
        <w:rPr>
          <w:lang w:val="en-US" w:eastAsia="en-US" w:bidi="ar-SA"/>
        </w:rPr>
      </w:pPr>
      <w:r>
        <w:rPr>
          <w:rFonts w:ascii="arial" w:eastAsia="arial" w:hAnsi="arial" w:cs="arial"/>
          <w:color w:val="000000"/>
          <w:sz w:val="20"/>
          <w:lang w:val="en-US" w:eastAsia="en-US" w:bidi="ar-SA"/>
        </w:rPr>
        <w:t>Between Robert Harry Haynes, plaintiff, and Fredrick William Buott,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1" style="position:absolute;z-index:25170022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5" w:name="Keywords_31"/>
      <w:bookmarkEnd w:id="235"/>
      <w:r>
        <w:rPr>
          <w:rFonts w:ascii="arial" w:eastAsia="arial" w:hAnsi="arial" w:cs="arial"/>
          <w:b/>
          <w:color w:val="000000"/>
          <w:sz w:val="20"/>
          <w:lang w:val="en-US" w:eastAsia="en-US" w:bidi="ar-SA"/>
        </w:rPr>
        <w:t>Practice — Costs — Entitlement — Party and party costs — Entitlement to party and party costs — Where success or fault divided — Special orders — Increase in scale of costs, application for — Offers to settle.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36" w:name="Case Summary_30"/>
            <w:bookmarkEnd w:id="23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Determination of costs in an action by Haynes against Buott for damages for injuries suffered in a motor vehicle accident. Before trial, Buott's insurer paid Haynes's company $42,932 for wages and benefits of replacement workers Haynes hired during his recuperation period. The insurer then paid an additional $15,000, later characterizing it as an advance on Haynes's tort claim to assist him with an income tax problem. The jury found Haynes 40 per cent liable for his own injury, assessing the other 60 per cent of liability against Buott. Based on this finding, Haynes recovered $37,500 in damages. Buott claimed that, as this amount was lower than the sums advanced, he was entitled to double his costs of the proceeding. </w:t>
            </w:r>
            <w:r>
              <w:rPr>
                <w:lang w:val="en-US" w:eastAsia="en-US" w:bidi="ar-SA"/>
              </w:rPr>
              <w:cr/>
            </w:r>
          </w:p>
          <w:p>
            <w:pPr>
              <w:spacing w:before="120" w:line="260" w:lineRule="atLeast"/>
              <w:ind w:left="240"/>
              <w:jc w:val="both"/>
              <w:rPr>
                <w:lang w:val="en-US" w:eastAsia="en-US" w:bidi="ar-SA"/>
              </w:rPr>
            </w:pPr>
            <w:bookmarkStart w:id="237" w:name="Holdings of Court_30"/>
            <w:bookmarkEnd w:id="237"/>
            <w:r>
              <w:rPr>
                <w:rFonts w:ascii="arial" w:eastAsia="arial" w:hAnsi="arial" w:cs="arial"/>
                <w:color w:val="000000"/>
                <w:sz w:val="20"/>
                <w:lang w:val="en-US" w:eastAsia="en-US" w:bidi="ar-SA"/>
              </w:rPr>
              <w:t>HELD: Costs awarded to Buott on Scale 3.</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Section 25(5) of the Insurance (Motor Vehicle) Act did not authorize deduction of advances from the total jury award. However, the advances were to be treated in the same way as offers to settle. As Buott's insurer advanced Haynes more than he recovered, Buott was entitled to costs. The trial was unnecessary. The Supreme Court Rules permitted double costs only respecting actual offers to settle, and the applicable Rule, Rule 37(24)(b) was not proclaimed until after the trial of this action. </w:t>
            </w:r>
            <w:r>
              <w:rPr>
                <w:lang w:val="en-US" w:eastAsia="en-US" w:bidi="ar-SA"/>
              </w:rPr>
              <w:cr/>
            </w:r>
          </w:p>
          <w:p>
            <w:pPr>
              <w:rPr>
                <w:lang w:val="en-US" w:eastAsia="en-US" w:bidi="ar-SA"/>
              </w:rPr>
            </w:pPr>
          </w:p>
        </w:tc>
      </w:tr>
    </w:tbl>
    <w:p>
      <w:pPr>
        <w:jc w:val="both"/>
        <w:rPr>
          <w:lang w:val="en-US" w:eastAsia="en-US" w:bidi="ar-SA"/>
        </w:rPr>
      </w:pPr>
      <w:bookmarkStart w:id="238" w:name="Legislation Cited_18"/>
      <w:bookmarkEnd w:id="23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02" style="position:absolute;z-index:2517514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37(24)(b).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Insurance (Motor Vehicle) Act, </w:t>
      </w:r>
      <w:hyperlink r:id="rId864" w:history="1">
        <w:r>
          <w:rPr>
            <w:rFonts w:ascii="arial" w:eastAsia="arial" w:hAnsi="arial" w:cs="arial"/>
            <w:i/>
            <w:color w:val="0077CC"/>
            <w:sz w:val="20"/>
            <w:u w:val="single"/>
            <w:shd w:val="clear" w:color="auto" w:fill="FFFFFF"/>
            <w:lang w:val="en-US" w:eastAsia="en-US" w:bidi="ar-SA"/>
          </w:rPr>
          <w:t>R.S.B.C. 1996, c. 231, s. 25</w:t>
        </w:r>
      </w:hyperlink>
      <w:r>
        <w:rPr>
          <w:rFonts w:ascii="arial" w:eastAsia="arial" w:hAnsi="arial" w:cs="arial"/>
          <w:color w:val="000000"/>
          <w:sz w:val="20"/>
          <w:lang w:val="en-US" w:eastAsia="en-US" w:bidi="ar-SA"/>
        </w:rPr>
        <w:t>(5).</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Insurance (Motor Vehicle) Act Regulation, </w:t>
      </w:r>
      <w:hyperlink r:id="rId865"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239" w:name="Counsel_39"/>
      <w:bookmarkEnd w:id="23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3" style="position:absolute;z-index:2518016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W.R. Southward, for the plaintiff. David R. Brooks, for the defendant.</w:t>
      </w:r>
      <w:r>
        <w:rPr>
          <w:lang w:val="en-US" w:eastAsia="en-US" w:bidi="ar-SA"/>
        </w:rPr>
        <w:cr/>
      </w:r>
    </w:p>
    <w:p>
      <w:pPr>
        <w:spacing w:after="240"/>
        <w:rPr>
          <w:lang w:val="en-US" w:eastAsia="en-US" w:bidi="ar-SA"/>
        </w:rPr>
      </w:pPr>
      <w:bookmarkStart w:id="240" w:name="Judgment_37"/>
      <w:bookmarkEnd w:id="240"/>
      <w:r>
        <w:pict>
          <v:line id="_x0000_s1204" style="position:absolute;z-index:25184153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1" w:name="CLANCY J."/>
            <w:bookmarkEnd w:id="241"/>
            <w:r>
              <w:rPr>
                <w:rFonts w:ascii="arial" w:eastAsia="arial" w:hAnsi="arial" w:cs="arial"/>
                <w:b/>
                <w:color w:val="000000"/>
                <w:sz w:val="30"/>
                <w:lang w:val="en-US" w:eastAsia="en-US" w:bidi="ar-SA"/>
              </w:rPr>
              <w:t>CLANCY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costs matter that follows an action brought by Mr. Haynes for damages for injuries suffered by him arising out of a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Haynes' wife and Central Island Auto Parts (1988) Ltd. were also plaintiffs when the writ issued. Their actions were later discontinued when counsel for Mr. Haynes recognized that the law provides that where losses are suffered by a plaintiff who carries on business through a closely held company, the action is properly brought in the name of the personal plaintiff: D'Amato v. Badger </w:t>
      </w:r>
      <w:hyperlink r:id="rId866" w:history="1">
        <w:r>
          <w:rPr>
            <w:rFonts w:ascii="arial" w:eastAsia="arial" w:hAnsi="arial" w:cs="arial"/>
            <w:i/>
            <w:color w:val="0077CC"/>
            <w:sz w:val="20"/>
            <w:u w:val="single"/>
            <w:shd w:val="clear" w:color="auto" w:fill="FFFFFF"/>
            <w:lang w:val="en-US" w:eastAsia="en-US" w:bidi="ar-SA"/>
          </w:rPr>
          <w:t>(1994), 95 B.C.L.R. (2d) 46</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trial commenced September 20, 1999 and concluded October 5, 1999. Before the trial, in the period February 16, 1996 to April 22, 1997, the insurer of Mr. Buott paid to Central Island Auto Parts $42,932.00. That sum was paid to provide funds for the payment of the wages and benefits of replacement workers for Mr. Haynes while he was unable to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February 27, 1997 an additional sum of $15,000 was paid by the insurer to Mr. Haynes. There was no written agreement between the parties but an affidavit filed by the insurance adjuster states that this sum was given as an advance on the tort claim of Mr. Haynes "to assist him with an income tax problem". In the absence of any evidence to the contrary I accept that the advance was intended by the parties to be an advance on the tort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conclusion of the trial I granted judgment in accordance with the verdict of the jury which divided liability, finding the defendant Mr. Buott 60% responsible for the accident and Mr. Haynes 40% responsible. Taking into account that division of liability, the net award of the jury was in the amount of $37,500, made up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09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78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$10,200</w:t>
            </w:r>
          </w:p>
        </w:tc>
        <w:tc>
          <w:tcPr>
            <w:tcW w:w="3789"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58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Special Damages</w:t>
            </w:r>
          </w:p>
        </w:tc>
        <w:tc>
          <w:tcPr>
            <w:tcW w:w="225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600</w:t>
            </w:r>
          </w:p>
        </w:tc>
        <w:tc>
          <w:tcPr>
            <w:tcW w:w="3789"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09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78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Loss of Income</w:t>
            </w:r>
          </w:p>
        </w:tc>
        <w:tc>
          <w:tcPr>
            <w:tcW w:w="204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19,800</w:t>
            </w:r>
          </w:p>
        </w:tc>
        <w:tc>
          <w:tcPr>
            <w:tcW w:w="3789"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42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Future Loss of Income</w:t>
            </w:r>
          </w:p>
        </w:tc>
        <w:tc>
          <w:tcPr>
            <w:tcW w:w="317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94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Loss (Related to value of</w:t>
            </w:r>
          </w:p>
        </w:tc>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1,800</w:t>
            </w:r>
          </w:p>
        </w:tc>
        <w:tc>
          <w:tcPr>
            <w:tcW w:w="3789"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shares of Central Island</w:t>
            </w:r>
          </w:p>
        </w:tc>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789"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Auto Parts (1988) Ltd., a</w:t>
            </w:r>
          </w:p>
        </w:tc>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789"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corporation owned by Mr. Haynes</w:t>
            </w:r>
          </w:p>
        </w:tc>
        <w:tc>
          <w:tcPr>
            <w:tcW w:w="922"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789"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and his wife.)</w:t>
            </w:r>
          </w:p>
        </w:tc>
        <w:tc>
          <w:tcPr>
            <w:tcW w:w="922"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789"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Cost of Future Care</w:t>
            </w:r>
          </w:p>
        </w:tc>
        <w:tc>
          <w:tcPr>
            <w:tcW w:w="2253"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5,100</w:t>
            </w:r>
          </w:p>
        </w:tc>
        <w:tc>
          <w:tcPr>
            <w:tcW w:w="3789"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w:t>
            </w:r>
          </w:p>
        </w:tc>
        <w:tc>
          <w:tcPr>
            <w:tcW w:w="3789"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2253"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$37,500</w:t>
            </w:r>
          </w:p>
        </w:tc>
        <w:tc>
          <w:tcPr>
            <w:tcW w:w="3789"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 to be decided is the entitlement of both parties to the costs of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Briefly put, the defendant's position is that Mr. Haynes recovered by way of judgment less than he received in compensation from the insurer. Counsel submits that the authorities provide that the plaintiff's claim should be dismissed with costs to the defendant. In the particular circumstances of this action the defendant seeks double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points out, quite correctly, that there was no agreement that the funds paid were paid as an advance against any future judgment nor was there an agreement that they would be deducted from a subsequent judgment. Further, there was no agreement to treat the payments as "no fault" payments under Part VII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No release was demanded nor given and there was no formal offer to settle.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submission of the plaintiff what the authorities which govern advance payments require is a matching of the amounts paid with the heading under which the jury award was made. His counsel submits that the amounts paid to Central Island Auto Parts should be designated as payments on the award for a capital loss. I do not agree. The wages paid for replacement workers are more properly categorized as Mr. Haynes' past or pre-trial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says further that if the advances for wages were to pay pre-trial income loss then the payment of $42,932.00 must be matched to the award of $19,800 for that loss. Any amount paid in excess of the amount of the award should be treated as an ex gratia payment made by the insurer, as provided for in s. 60 of the Insurance (Motor Vehicle) Act Regulation, </w:t>
      </w:r>
      <w:hyperlink r:id="rId865"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which authorizes ex gratia payments where "the corporation considers that payment of a doubtful or disputed claim is in the interest of the corporation and the better administration of the Act, the Regulations or the plan." Similarly, the $15,000 advance on the tort claim must be matched to the non-pecuniary loss award of $10,200. Again, the plaintiff says the excess should be treated as an ex gratia payment.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If there is a deduction or offset from the jury awards in the manner suggested, Mr. Haynes would still be entitled to judgment for the awards for special damages, capital loss and cost of future care. Counsel contends that it would follow that Mr. Haynes is entitled to his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principal authority relied on by the plaintiff is Jang v. Jang </w:t>
      </w:r>
      <w:hyperlink r:id="rId867" w:history="1">
        <w:r>
          <w:rPr>
            <w:rFonts w:ascii="arial" w:eastAsia="arial" w:hAnsi="arial" w:cs="arial"/>
            <w:i/>
            <w:color w:val="0077CC"/>
            <w:sz w:val="20"/>
            <w:u w:val="single"/>
            <w:shd w:val="clear" w:color="auto" w:fill="FFFFFF"/>
            <w:lang w:val="en-US" w:eastAsia="en-US" w:bidi="ar-SA"/>
          </w:rPr>
          <w:t>(1991), 54 B.C.L.R. (2d) 121</w:t>
        </w:r>
      </w:hyperlink>
      <w:r>
        <w:rPr>
          <w:rFonts w:ascii="arial" w:eastAsia="arial" w:hAnsi="arial" w:cs="arial"/>
          <w:color w:val="000000"/>
          <w:sz w:val="20"/>
          <w:lang w:val="en-US" w:eastAsia="en-US" w:bidi="ar-SA"/>
        </w:rPr>
        <w:t xml:space="preserve"> (C.A.). There the court held that no-fault benefits payable under Part VII were not to be deducted from the whole claim. A matching of the benefit payment to the particular heading of loss was required. That finding was specifically related to the legislative scheme in place for payment of no fault benefits. It has no application to these proceedings. Mr. Haynes is not entitled to costs on the basis that he is entitled to have the advances offset against the jury awards made for each claim put forward.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Additional authorities referred to by counsel for Mr. Haynes are of no assistance. They dealt with different circumstances. In Doris v. Millard, </w:t>
      </w:r>
      <w:hyperlink r:id="rId868" w:history="1">
        <w:r>
          <w:rPr>
            <w:rFonts w:ascii="arial" w:eastAsia="arial" w:hAnsi="arial" w:cs="arial"/>
            <w:i/>
            <w:color w:val="0077CC"/>
            <w:sz w:val="20"/>
            <w:u w:val="single"/>
            <w:shd w:val="clear" w:color="auto" w:fill="FFFFFF"/>
            <w:lang w:val="en-US" w:eastAsia="en-US" w:bidi="ar-SA"/>
          </w:rPr>
          <w:t>[1998] B.C.J. No. 1768</w:t>
        </w:r>
      </w:hyperlink>
      <w:r>
        <w:rPr>
          <w:rFonts w:ascii="arial" w:eastAsia="arial" w:hAnsi="arial" w:cs="arial"/>
          <w:color w:val="000000"/>
          <w:sz w:val="20"/>
          <w:lang w:val="en-US" w:eastAsia="en-US" w:bidi="ar-SA"/>
        </w:rPr>
        <w:t xml:space="preserve"> (S.C.), (24 July 1998) Prince George Registry No. 2647893 (B.C.S.C.), and in Nordhagen v. Jokisch, </w:t>
      </w:r>
      <w:hyperlink r:id="rId869" w:history="1">
        <w:r>
          <w:rPr>
            <w:rFonts w:ascii="arial" w:eastAsia="arial" w:hAnsi="arial" w:cs="arial"/>
            <w:i/>
            <w:color w:val="0077CC"/>
            <w:sz w:val="20"/>
            <w:u w:val="single"/>
            <w:shd w:val="clear" w:color="auto" w:fill="FFFFFF"/>
            <w:lang w:val="en-US" w:eastAsia="en-US" w:bidi="ar-SA"/>
          </w:rPr>
          <w:t>[1991] B.C.J. No. 572</w:t>
        </w:r>
      </w:hyperlink>
      <w:r>
        <w:rPr>
          <w:rFonts w:ascii="arial" w:eastAsia="arial" w:hAnsi="arial" w:cs="arial"/>
          <w:color w:val="000000"/>
          <w:sz w:val="20"/>
          <w:lang w:val="en-US" w:eastAsia="en-US" w:bidi="ar-SA"/>
        </w:rPr>
        <w:t xml:space="preserve"> (S.C.), (11 March 1991) Vancouver Registry Nos. B862129 and B850837 (B.C.S.C.), the court dealt with partial recovery of the plaintiff's claim when there was a division of liability. That is not the issue before the court. In Strelaeff v. Perepolkin, </w:t>
      </w:r>
      <w:hyperlink r:id="rId870" w:history="1">
        <w:r>
          <w:rPr>
            <w:rFonts w:ascii="arial" w:eastAsia="arial" w:hAnsi="arial" w:cs="arial"/>
            <w:i/>
            <w:color w:val="0077CC"/>
            <w:sz w:val="20"/>
            <w:u w:val="single"/>
            <w:shd w:val="clear" w:color="auto" w:fill="FFFFFF"/>
            <w:lang w:val="en-US" w:eastAsia="en-US" w:bidi="ar-SA"/>
          </w:rPr>
          <w:t>[1999] B.C.J. No. 1692</w:t>
        </w:r>
      </w:hyperlink>
      <w:r>
        <w:rPr>
          <w:rFonts w:ascii="arial" w:eastAsia="arial" w:hAnsi="arial" w:cs="arial"/>
          <w:color w:val="000000"/>
          <w:sz w:val="20"/>
          <w:lang w:val="en-US" w:eastAsia="en-US" w:bidi="ar-SA"/>
        </w:rPr>
        <w:t xml:space="preserve"> (S.C.), (21 June 1999) Nelson Registry No. 6784 (B.C.S.C.), the court was dealing with no-fault benefits and an offer to settle. In Bhangu v. Alaouze </w:t>
      </w:r>
      <w:hyperlink r:id="rId871" w:history="1">
        <w:r>
          <w:rPr>
            <w:rFonts w:ascii="arial" w:eastAsia="arial" w:hAnsi="arial" w:cs="arial"/>
            <w:i/>
            <w:color w:val="0077CC"/>
            <w:sz w:val="20"/>
            <w:u w:val="single"/>
            <w:shd w:val="clear" w:color="auto" w:fill="FFFFFF"/>
            <w:lang w:val="en-US" w:eastAsia="en-US" w:bidi="ar-SA"/>
          </w:rPr>
          <w:t>(1997), 29 B.C.L.R. (3d) 71</w:t>
        </w:r>
      </w:hyperlink>
      <w:r>
        <w:rPr>
          <w:rFonts w:ascii="arial" w:eastAsia="arial" w:hAnsi="arial" w:cs="arial"/>
          <w:color w:val="000000"/>
          <w:sz w:val="20"/>
          <w:lang w:val="en-US" w:eastAsia="en-US" w:bidi="ar-SA"/>
        </w:rPr>
        <w:t xml:space="preserve"> (S.C.), Part VII benefits were again involved.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Haynes' entitlement to costs depends on a different line of authority.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do not agree with counsel for the defendant that s. 25(5) of the Insurance (Motor Vehicle) Act authorizes the deduction of the advances from the gross or total award of the jury. Authorities such as Baluk v. Swiderski et al. </w:t>
      </w:r>
      <w:hyperlink r:id="rId872" w:history="1">
        <w:r>
          <w:rPr>
            <w:rFonts w:ascii="arial" w:eastAsia="arial" w:hAnsi="arial" w:cs="arial"/>
            <w:i/>
            <w:color w:val="0077CC"/>
            <w:sz w:val="20"/>
            <w:u w:val="single"/>
            <w:shd w:val="clear" w:color="auto" w:fill="FFFFFF"/>
            <w:lang w:val="en-US" w:eastAsia="en-US" w:bidi="ar-SA"/>
          </w:rPr>
          <w:t>(1996), 83 B.C.A.C. 1</w:t>
        </w:r>
      </w:hyperlink>
      <w:r>
        <w:rPr>
          <w:rFonts w:ascii="arial" w:eastAsia="arial" w:hAnsi="arial" w:cs="arial"/>
          <w:color w:val="000000"/>
          <w:sz w:val="20"/>
          <w:lang w:val="en-US" w:eastAsia="en-US" w:bidi="ar-SA"/>
        </w:rPr>
        <w:t>, are authority for the proposition that such a deduction should be made, but those authorities refer only to no-fault benefits. Section 25(5) excludes payments made pursuant to a contract of third party liability insurance.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Other authorities such as Baxter v. Brown </w:t>
      </w:r>
      <w:hyperlink r:id="rId873" w:history="1">
        <w:r>
          <w:rPr>
            <w:rFonts w:ascii="arial" w:eastAsia="arial" w:hAnsi="arial" w:cs="arial"/>
            <w:i/>
            <w:color w:val="0077CC"/>
            <w:sz w:val="20"/>
            <w:u w:val="single"/>
            <w:shd w:val="clear" w:color="auto" w:fill="FFFFFF"/>
            <w:lang w:val="en-US" w:eastAsia="en-US" w:bidi="ar-SA"/>
          </w:rPr>
          <w:t>(1997), 28 B.C.L.R. (3d) 351</w:t>
        </w:r>
      </w:hyperlink>
      <w:r>
        <w:rPr>
          <w:rFonts w:ascii="arial" w:eastAsia="arial" w:hAnsi="arial" w:cs="arial"/>
          <w:color w:val="000000"/>
          <w:sz w:val="20"/>
          <w:lang w:val="en-US" w:eastAsia="en-US" w:bidi="ar-SA"/>
        </w:rPr>
        <w:t xml:space="preserve"> (C.A.) and McElroy v. Embleton </w:t>
      </w:r>
      <w:hyperlink r:id="rId874" w:history="1">
        <w:r>
          <w:rPr>
            <w:rFonts w:ascii="arial" w:eastAsia="arial" w:hAnsi="arial" w:cs="arial"/>
            <w:i/>
            <w:color w:val="0077CC"/>
            <w:sz w:val="20"/>
            <w:u w:val="single"/>
            <w:shd w:val="clear" w:color="auto" w:fill="FFFFFF"/>
            <w:lang w:val="en-US" w:eastAsia="en-US" w:bidi="ar-SA"/>
          </w:rPr>
          <w:t>(1996), 19 B.C.L.R. (3d) 1</w:t>
        </w:r>
      </w:hyperlink>
      <w:r>
        <w:rPr>
          <w:rFonts w:ascii="arial" w:eastAsia="arial" w:hAnsi="arial" w:cs="arial"/>
          <w:color w:val="000000"/>
          <w:sz w:val="20"/>
          <w:lang w:val="en-US" w:eastAsia="en-US" w:bidi="ar-SA"/>
        </w:rPr>
        <w:t xml:space="preserve"> (C.A.) are similarly of little assistance to the defendant on the issue of whether advances must be deducted from an award. In both cases there was an agreement in place between the parties as to how advances should be treated.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However, in Carey v. McLean, </w:t>
      </w:r>
      <w:hyperlink r:id="rId875" w:history="1">
        <w:r>
          <w:rPr>
            <w:rFonts w:ascii="arial" w:eastAsia="arial" w:hAnsi="arial" w:cs="arial"/>
            <w:i/>
            <w:color w:val="0077CC"/>
            <w:sz w:val="20"/>
            <w:u w:val="single"/>
            <w:shd w:val="clear" w:color="auto" w:fill="FFFFFF"/>
            <w:lang w:val="en-US" w:eastAsia="en-US" w:bidi="ar-SA"/>
          </w:rPr>
          <w:t>[1999] B.C.J. No. 763</w:t>
        </w:r>
      </w:hyperlink>
      <w:r>
        <w:rPr>
          <w:rFonts w:ascii="arial" w:eastAsia="arial" w:hAnsi="arial" w:cs="arial"/>
          <w:color w:val="000000"/>
          <w:sz w:val="20"/>
          <w:lang w:val="en-US" w:eastAsia="en-US" w:bidi="ar-SA"/>
        </w:rPr>
        <w:t>, (7 April 1999) Vancouver Registry CA022968 (B.C.C.A.), the court dealt with similar circumstances to those before me. There the trial judge granted an adjournment of the trial on condition that the defendant make an advance payment to the plaintiff. The advance was greater than the amount recovered. Donald J.A., speaking for the court, found that the trial was unnecessary and held that the plaintiff's action ought to have been dismissed because he had recovered nothing in damages. He held at para. 13: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judgment the advance ought to have been treated in the same way as an offer to settle, resembling as it does in all important respects the characteristics of the former procedure of a payment into court. The receipt of monies on account of damages before trial places an obligation on the plaintiff to realistically assess the value of his claim knowing that proceeding to trial carries a risk in costs. I can see no reason why the rationale for offers to settle - encouragement of settlement and avoidance of unnecessary trials -should not apply to the present circumstances. The plaintiff put the defendant to the expense of defending a trial for no advantage. His decision to proceed should carry appropriate consequences in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Mr. Haynes places emphasis on the statement of Donald J.A. in para. 14 that, "[w]hat matters is how much the plaintiff received before trial relative to the damage assessment." I do not take Donald J.A. to have intended to say that the amounts recovered were to be matched to individual damage assessments. I find that the reasoning of the court in Carey v. McLean is applicable to the circumstances before me. Mr. Haynes had in hand some $58,000 before he elected to proceed with his action. He is not entitled to his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next question for resolution is whether Mr. Buott is entitled to his costs. While I have held that Baxter v. Brown and McElroy v. Embleton are not persuasive authority on the question of whether Mr. Haynes should recover his costs, they do have application on the subject of whether the defendant should have his costs. Carey is also of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Baxter v. Brown, supra, the action was dismissed and the defendant was awarded costs where the plaintiff had in hand more than was recovered at trial. McEachern C.J.B.C. held that there was no reason why the defendant should not recover its costs. In McElroy v. Embleton, supra, the defendant did not recover her costs because the issue of how to deal with advance payments had not heretofore been resolved by the court. In Carey v. McLean, supra, the court awarded costs to the defendant following the date of the advance payment.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agree that the court has a broad discretion on the subject of costs. Rule 57(9) of the Supreme Court Rules provides that costs will follow the event unless the court otherwise orders. The discretion provided by that rule is not an overriding discretion as suggested by counsel. I do not read Cominco Ltd. v. Westinghouse Canada Limited et al. </w:t>
      </w:r>
      <w:hyperlink r:id="rId876" w:history="1">
        <w:r>
          <w:rPr>
            <w:rFonts w:ascii="arial" w:eastAsia="arial" w:hAnsi="arial" w:cs="arial"/>
            <w:i/>
            <w:color w:val="0077CC"/>
            <w:sz w:val="20"/>
            <w:u w:val="single"/>
            <w:shd w:val="clear" w:color="auto" w:fill="FFFFFF"/>
            <w:lang w:val="en-US" w:eastAsia="en-US" w:bidi="ar-SA"/>
          </w:rPr>
          <w:t>(1981), 33 B.C.L.R. 202</w:t>
        </w:r>
      </w:hyperlink>
      <w:r>
        <w:rPr>
          <w:rFonts w:ascii="arial" w:eastAsia="arial" w:hAnsi="arial" w:cs="arial"/>
          <w:color w:val="000000"/>
          <w:sz w:val="20"/>
          <w:lang w:val="en-US" w:eastAsia="en-US" w:bidi="ar-SA"/>
        </w:rPr>
        <w:t>, as authority for that proposition. The court must exercise its discretion judicially.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Peters v. Davidson et al. </w:t>
      </w:r>
      <w:hyperlink r:id="rId877" w:history="1">
        <w:r>
          <w:rPr>
            <w:rFonts w:ascii="arial" w:eastAsia="arial" w:hAnsi="arial" w:cs="arial"/>
            <w:i/>
            <w:color w:val="0077CC"/>
            <w:sz w:val="20"/>
            <w:u w:val="single"/>
            <w:shd w:val="clear" w:color="auto" w:fill="FFFFFF"/>
            <w:lang w:val="en-US" w:eastAsia="en-US" w:bidi="ar-SA"/>
          </w:rPr>
          <w:t>(1981), 125 D.L.R. (3d) 753</w:t>
        </w:r>
      </w:hyperlink>
      <w:r>
        <w:rPr>
          <w:rFonts w:ascii="arial" w:eastAsia="arial" w:hAnsi="arial" w:cs="arial"/>
          <w:color w:val="000000"/>
          <w:sz w:val="20"/>
          <w:lang w:val="en-US" w:eastAsia="en-US" w:bidi="ar-SA"/>
        </w:rPr>
        <w:t xml:space="preserve"> (B.C.S.C.), affirmed </w:t>
      </w:r>
      <w:hyperlink r:id="rId878" w:history="1">
        <w:r>
          <w:rPr>
            <w:rFonts w:ascii="arial" w:eastAsia="arial" w:hAnsi="arial" w:cs="arial"/>
            <w:i/>
            <w:color w:val="0077CC"/>
            <w:sz w:val="20"/>
            <w:u w:val="single"/>
            <w:shd w:val="clear" w:color="auto" w:fill="FFFFFF"/>
            <w:lang w:val="en-US" w:eastAsia="en-US" w:bidi="ar-SA"/>
          </w:rPr>
          <w:t>(1982), 41 B.C.L.R. 330</w:t>
        </w:r>
      </w:hyperlink>
      <w:r>
        <w:rPr>
          <w:rFonts w:ascii="arial" w:eastAsia="arial" w:hAnsi="arial" w:cs="arial"/>
          <w:color w:val="000000"/>
          <w:sz w:val="20"/>
          <w:lang w:val="en-US" w:eastAsia="en-US" w:bidi="ar-SA"/>
        </w:rPr>
        <w:t xml:space="preserve"> (C.A.), Taylor J. (as he then was) considered the discretion afforded the court to award or refuse costs to a litigant. He referred to Landry et al v. Bridgestone Tire Co. Ltd. et al </w:t>
      </w:r>
      <w:hyperlink r:id="rId879" w:history="1">
        <w:r>
          <w:rPr>
            <w:rFonts w:ascii="arial" w:eastAsia="arial" w:hAnsi="arial" w:cs="arial"/>
            <w:i/>
            <w:color w:val="0077CC"/>
            <w:sz w:val="20"/>
            <w:u w:val="single"/>
            <w:shd w:val="clear" w:color="auto" w:fill="FFFFFF"/>
            <w:lang w:val="en-US" w:eastAsia="en-US" w:bidi="ar-SA"/>
          </w:rPr>
          <w:t>(1975), 66 D.L.R. (3d) 408</w:t>
        </w:r>
      </w:hyperlink>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[1976] 3 W.W.R. 160</w:t>
        </w:r>
      </w:hyperlink>
      <w:r>
        <w:rPr>
          <w:rFonts w:ascii="arial" w:eastAsia="arial" w:hAnsi="arial" w:cs="arial"/>
          <w:color w:val="000000"/>
          <w:sz w:val="20"/>
          <w:lang w:val="en-US" w:eastAsia="en-US" w:bidi="ar-SA"/>
        </w:rPr>
        <w:t xml:space="preserve"> (B.C.S.C.), and held that the court had: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an absolute and unfettered discretion to award or not award costs", albeit a discretion which is, of course, to be exercised judicially and ought not to be exercised against the successful party except for "some reason in connection with the case". (Peters p. 575)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Taylor J. then considered whether his discretion should be exercised so as to avoid the application of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That section reads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3.(1) Unless the court otherwise directs, the liability for costs of the parties to every action is in the same proportion as their respective liability to make good the damage or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Taylor J. characterized the defendant as a successful litigant in that he had shown the plaintiff to be to blame for his own loss in some degree. That same characterization is applicable to Mr. Buott. He too was successful in that sense. Taylor J. then went on to say: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 must ask whether there are reasons "in connection with the case" on which it would be proper to deny the defendant the benefit of the apportionment of costs provided for by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particular circumstances before him, Taylor J. found there were good grounds to deny the defendant the benefits of the section. The circumstances before him differed from those before me. In Peters the defendants denied liability and made no payment to the plaintiff. As Taylor J. said, the plaintiff had no choice but to go to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Haynes did receive an advance payment in an amount which exceeded the amount the jury found was due to him. He received that amount before he prosecuted his action. The trial was unnecessary. In those circumstances I can see no reason "in connection with the case" to exercise my discretion against the successful defendant. The decision of the jury to apportion liability has no bearing on the question of costs. Whether Mr. Haynes recovered his damages in full or in part, the action was unnecessary. He had recovered an amount greater than the amount awarded, before he proceeded with his action. Exercising my discretion judicially in accordance with the authorities I find that the defendant is entitled to his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One final issue on costs remains. The defendant seeks double costs pursuant to Rule 37(24)(b) of the Supreme Court Rules. That rule applies only to offers to settle and it was not proclaimed until after the trial of this action. An order for double costs to the defendant is inappropriate.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are also concerned about the proper form of the order. In McElroy v. Embleton, supra, after finding that the plaintiff was not entitled to costs under the terms of the agreement between the parties as to how advances should be treated, Southin J.A. held that the proper order was for the action to be dismissed. Donald J.A., in Carey v. McLean, reached the same conclusion. The same order is appropriate in these circumstances. The action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result the action of Mr. Haynes is dismissed. He will not recover his costs. Mr. Buott is entitled to costs on Scale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issues raised on this application have not previously been specifically addressed. Each party will bear his own costs of the application.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CLANCY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Insurance Corp. of British Columbia v. Garnier, [2007] B.C.J. No. 389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S100453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389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2007 BCSC 265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280 D.L.R. (4th) 373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70 B.C.L.R. (4th) 109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46 C.C.L.I. (4th) 67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[2007] I.L.R. I-4582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155 A.C.W.S. (3d) 1199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2007 CarswellBC 413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Appellant, and Francis Garnier and John Kilkenny,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6"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2" w:name="Keywords_32"/>
      <w:bookmarkEnd w:id="242"/>
      <w:r>
        <w:rPr>
          <w:rFonts w:ascii="arial" w:eastAsia="arial" w:hAnsi="arial" w:cs="arial"/>
          <w:b/>
          <w:color w:val="000000"/>
          <w:sz w:val="20"/>
          <w:lang w:val="en-US" w:eastAsia="en-US" w:bidi="ar-SA"/>
        </w:rPr>
        <w:t>Insurance law — Automobile insurance — Compulsory government schemes — Claims against parties unknown — The appeal by the insurance company of a small claims judgment awarded the respondent $3,221 in damages for the cost of repairing his vehicle following an assault with a baseball bat by an unknown truck driver stopped at a red light was dismissed — The assailant had not become "a pedestrian" during the brief time it took to leave his truck, commit the assault, and then return to the truck.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3" w:name="Case Summary_31"/>
            <w:bookmarkEnd w:id="2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 insurance company appealed a small claims judgment awarding the respondent Garnier $3,221 in damages for the cost of repairing his vehicle following an assault by an unknown driver, where a truck driver had attacked his vehicle with a baseball bat at a red light -- The appellant claimed the judge had erred in finding the claim fell within s.24 of the Insurance (Motor Vehicle) Act in that there was no "accident", nor was there a "driver" -- HELD: The appeal was dismissed -- The trial judge carefully and correctly analyzed all the arguments and concluded the facts satisfied both the purpose and causation tests -- The assailant's exit from his truck for the purpose of perpetrating the assault did not break the chain of causation -- The nexus between the damage to Mr. Garnier's vehicle and the assailant's use and operation of his vehicle was present -- The assailant had not become "a pedestrian" during the brief time it took to leave his truck, commit the assault, and then return to the truck.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4" w:name="Legislation Cited_19"/>
      <w:bookmarkEnd w:id="2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7"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Crime Victim Assistance Act, </w:t>
      </w:r>
      <w:r>
        <w:rPr>
          <w:rFonts w:ascii="arial" w:eastAsia="arial" w:hAnsi="arial" w:cs="arial"/>
          <w:i/>
          <w:color w:val="000000"/>
          <w:sz w:val="20"/>
          <w:lang w:val="en-US" w:eastAsia="en-US" w:bidi="ar-SA"/>
        </w:rPr>
        <w:t>S.B.C. 2001, c. 38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888" w:history="1">
        <w:r>
          <w:rPr>
            <w:rFonts w:ascii="arial" w:eastAsia="arial" w:hAnsi="arial" w:cs="arial"/>
            <w:i/>
            <w:color w:val="0077CC"/>
            <w:sz w:val="20"/>
            <w:u w:val="single"/>
            <w:shd w:val="clear" w:color="auto" w:fill="FFFFFF"/>
            <w:lang w:val="en-US" w:eastAsia="en-US" w:bidi="ar-SA"/>
          </w:rPr>
          <w:t>R.S.B.C. 1996, c. 231, s. 24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5" w:name="Counsel_40"/>
      <w:bookmarkEnd w:id="24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8"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J. Derek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Representing himself: Francis Garnier.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6" w:name="Judgment_38"/>
      <w:bookmarkEnd w:id="246"/>
      <w:r>
        <w:pict>
          <v:line id="_x0000_s1209" style="position:absolute;z-index:2518425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7" w:name="ALLAN J."/>
            <w:bookmarkEnd w:id="247"/>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appellant Insurance Corporation of British Columbia ("ICBC") appeals from a Small Claims judgment pronounced by the Honourable Judge P. Chen of July 26, 2006, awarding Mr. Garnier the sum of $3,221.06 as damages for the cost of repairing his vehicle, following an assault by an unknown driver on October 22, 2003. Judge Chen concluded that ICBC was properly named as the nominal defendant pursuant to s. 24 of the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ICBC submits that the learned trial judge erred in finding that Mr. Garnier's claim came within the terms of s. 24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ICBC abandoned a second ground of appeal asserting that the Provincial Court lacked jurisdiction to grant the relief claimed by Mr. Garnier.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Judge Chen found the following facts. On October 22, 2003 at approximately 6 or 7 p.m., Mr. Garnier was driving home after work westbound in the right, slow lane of Lougheed Highway. A large truck behind him flashed its high beams, blinding him. Mr. Garnier had trouble seeing the road and slowed down. The truck moved to the left lane, passed him, returned to the slow lane in front of him and slowed down. Mr. Garnier moved to the left lane. When his vehicle was beside the truck, he heard a loud bang on his passenger side. As they approached a red light, the truck moved into the left lane in front of him. While both vehicles were stopped at the red light, the truck driver left his vehicle holding a baseball bat "and proceeded to batter Mr. Garnier's vehicle, striking the hood and the door and breaking the windshield and driver's side window." The truck driver returned to his truck and drove away. Two witnesses called 911, and Mr. Garnier was able to write down the licence number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learned trial judge found that Mr. Garnier had been the victim of an assault by the truck driver and that property damage resulted from that assault. He found no evidence that the defendant Mr. Kilkenny was the perpetrator of the assault or responsible for the damage to Mr. Garnier's vehicle. A review of the transcript indicates that Mr. Kilkenny did not testify and Judge Chen concluded that there was insufficient evidence to identify him as the assailant. Further, Judge Chen noted that counsel for Mr. Garnier had not led any evidence linking the licence plate, which her client had written down, to Mr. Kilkenny's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issue before Judge Chen was whether ICBC was responsible for the property damage as a nominal defendant pursuant to s. 24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He was satisfied that Mr. Garnier had a cause of action against his assailant, who was not ascertainable by Mr. Garnier.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trial and on appeal, ICBC argued that Mr. Garnier's claim did not fall within automobile liability "coverage" for a number of reasons:</w:t>
      </w:r>
      <w:r>
        <w:rPr>
          <w:rFonts w:ascii="arial" w:eastAsia="arial" w:hAnsi="arial" w:cs="arial"/>
          <w:sz w:val="20"/>
          <w:lang w:val="en-US" w:eastAsia="en-US" w:bidi="ar-SA"/>
        </w:rPr>
        <w:cr/>
      </w:r>
    </w:p>
    <w:p>
      <w:pPr>
        <w:numPr>
          <w:numId w:val="2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incident was not an "accident". Compensation under s. 24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requires a claimant to prove that someone is liable to them for the </w:t>
      </w:r>
      <w:r>
        <w:rPr>
          <w:rFonts w:ascii="arial" w:eastAsia="arial" w:hAnsi="arial" w:cs="arial"/>
          <w:i/>
          <w:color w:val="000000"/>
          <w:sz w:val="20"/>
          <w:lang w:val="en-US" w:eastAsia="en-US" w:bidi="ar-SA"/>
        </w:rPr>
        <w:t>negligent</w:t>
      </w:r>
      <w:r>
        <w:rPr>
          <w:rFonts w:ascii="arial" w:eastAsia="arial" w:hAnsi="arial" w:cs="arial"/>
          <w:color w:val="000000"/>
          <w:sz w:val="20"/>
          <w:lang w:val="en-US" w:eastAsia="en-US" w:bidi="ar-SA"/>
        </w:rPr>
        <w:t>, rather than intentional, use or operation of a vehicle; intentional torts or criminal acts of mischief and assault do not come within the ambit of automobile liability coverage;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did not satisfy either the "purpose" test or the "causation" test as described in </w:t>
      </w:r>
      <w:r>
        <w:rPr>
          <w:rFonts w:ascii="arial" w:eastAsia="arial" w:hAnsi="arial" w:cs="arial"/>
          <w:b/>
          <w:i/>
          <w:color w:val="000000"/>
          <w:sz w:val="20"/>
          <w:lang w:val="en-US" w:eastAsia="en-US" w:bidi="ar-SA"/>
        </w:rPr>
        <w:t>Amos v. Insurance Corporation of British Columbia</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[1995] 3 S.C.R. 405</w:t>
        </w:r>
      </w:hyperlink>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10 B.C.L.R. (3d) 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Amos</w:t>
      </w: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Amos</w:t>
      </w:r>
      <w:r>
        <w:rPr>
          <w:rFonts w:ascii="arial" w:eastAsia="arial" w:hAnsi="arial" w:cs="arial"/>
          <w:color w:val="000000"/>
          <w:sz w:val="20"/>
          <w:lang w:val="en-US" w:eastAsia="en-US" w:bidi="ar-SA"/>
        </w:rPr>
        <w:t xml:space="preserve"> applies only to cases involving no-fault benefits;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policy precludes recovery under automobile liability coverage;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assailant was not a "driver". An assault occurring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the use or operation of a vehicle is an intervening event and breaks any chain of causation arising out of the use and operation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learned trial judge concluded that the leading case in our jurisdiction interpreting </w:t>
      </w:r>
      <w:r>
        <w:rPr>
          <w:rFonts w:ascii="arial" w:eastAsia="arial" w:hAnsi="arial" w:cs="arial"/>
          <w:b/>
          <w:i/>
          <w:color w:val="000000"/>
          <w:sz w:val="20"/>
          <w:lang w:val="en-US" w:eastAsia="en-US" w:bidi="ar-SA"/>
        </w:rPr>
        <w:t>Amos</w:t>
      </w:r>
      <w:r>
        <w:rPr>
          <w:rFonts w:ascii="arial" w:eastAsia="arial" w:hAnsi="arial" w:cs="arial"/>
          <w:color w:val="000000"/>
          <w:sz w:val="20"/>
          <w:lang w:val="en-US" w:eastAsia="en-US" w:bidi="ar-SA"/>
        </w:rPr>
        <w:t xml:space="preserve"> with respect to s. 24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was </w:t>
      </w:r>
      <w:r>
        <w:rPr>
          <w:rFonts w:ascii="arial" w:eastAsia="arial" w:hAnsi="arial" w:cs="arial"/>
          <w:b/>
          <w:i/>
          <w:color w:val="000000"/>
          <w:sz w:val="20"/>
          <w:lang w:val="en-US" w:eastAsia="en-US" w:bidi="ar-SA"/>
        </w:rPr>
        <w:t xml:space="preserve"> Chan v. Insurance Corporation of British Columbia</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(1996), 16 B.C.L.R. (3d) 96</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xml:space="preserve">"). He considered both the purpose and causation tests described in </w:t>
      </w:r>
      <w:r>
        <w:rPr>
          <w:rFonts w:ascii="arial" w:eastAsia="arial" w:hAnsi="arial" w:cs="arial"/>
          <w:b/>
          <w:i/>
          <w:color w:val="000000"/>
          <w:sz w:val="20"/>
          <w:lang w:val="en-US" w:eastAsia="en-US" w:bidi="ar-SA"/>
        </w:rPr>
        <w:t>Amos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xml:space="preserve"> and applied that reasoning to the facts before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result, Judge Chen allowed Mr. Garnier's claim against ICBC for the property damage to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Garnier attended the appeal, but he was not represented by counsel. His only submission was that the vehicles had collided, albeit slightly. Clearly the cost of legal representation would have vastly exceeded the amount of his claim. In these circumstances, the lengthy, somewhat technical, legal arguments such as those advanced by ICBC's counsel, accompanied by 46 authorities, present a challenge to an appellate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relevant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Section 24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Remedy for damage in hit and run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 If bodily injury to or the death of a person or damage to property arises out of the use or operation of a motor vehicle on a highway in British Columbia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motor vehicle are not ascertainable, or</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person who has a cause of action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(a), against the owner or the driver,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(b), against the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bodily injury, death or property damage may bring an action against the corporation as nominal defendant, either alone or as a defendant with others alleged to be responsible for the injury, death or property damage, but in an action in which the names of both the owner and the driver of the motor vehicle are not known or ascertainable, recovery for property damage is limited to the amount by which the damages exceed the prescribed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James, on behalf of ICBC, notes that the following subsections of s. 24 make it clear that the cause of action must be against "the owner or driver of the motor vehicle".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an action referred to in subsection (1) has been commenced, it is alleged that the injury, death or property damage was caused or contributed to by another motor vehicle, but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motor vehicle are not ascertainable,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 may be added as a nominal defendant on the application of any party and must be added as a nominal defendant on its own application.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against the corporation as nominal defendant, the corporation may deny generally the allegations in respect of the unidentified motor vehicle and its owner and driver, and need not set out the facts on which it relies.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under this section, a judgment has been obtained against the corporation as nominal defendant or the corporation has settled a claim, the corporation may apply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court where the judgment has been obtained,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claim has been settled, to the court that would have had jurisdiction to entertain an action for the recovery of damages to the amount of the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an order certifying that a person was, at the time of the accident, the owner or driver of the motor vehicle that caused the bodily injury, death or property damage in respect of which the judgment was obtained or settlement made.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hearing an application under subsection (9) is satisfied on the evidence that the person named in the application was at the time of the accident the owner, driver or both of the motor vehicle involved in that accident, it may make the order applied for, unless it is satisfied that the person would not have been liable for damages if he or she had appeared and defended the action or, in the case of a claim settled before action, in an action that might have been brought to enforce the claim, or it may direct the trial of an issue.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making of an order under subsection (10) or on judgment of the trial of an issue directed under that subsection, the person certified, whether or not the driver of the motor vehicle is named in an unexpired driver's certificate and whether or not the motor vehicle is designated in an unexpired owner's certificate, is liable to pay the corporation as a debt due and owing all amounts paid by it pursuant to any judgment or settlement under this section, and section 20(12), (13) and (15)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right to recover against an unknown tortfeasor does not exist at common law. Section 24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a statutory right of action, enabling a plaintiff to sue ICBC as a nominal defendant in certain circumstances where the identity of the driver at fault is unknown. The onus is on the plaintiff to prove that his case falls within the ambit of that section. Usually, the issue is whether the claimant took "all reasonable efforts" to ascertain the identity of the other driver. However, in this case, ICBC asserts that Mr. Garnier's claim for damages caused by a bat wielding assailant does not come within 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ICBC's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Intentionality v.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James asserts that there must be "an accident" that caused the property damage and, in this case, the actions of the unknown assailant constituted both a criminal assault and an intentional tort. ICBC cites </w:t>
      </w:r>
      <w:r>
        <w:rPr>
          <w:rFonts w:ascii="arial" w:eastAsia="arial" w:hAnsi="arial" w:cs="arial"/>
          <w:b/>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for the proposition that insurance covers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not intentional injuries. However, that case dealt with an insured who, when sued for sexual battery, sought to force his insurer to defend the action. His insurance plan explicitly stated that he was not insured for claims against him arising from injuries caused by his intentional acts. The Court was concerned that intentional wrongdoers not be indemnified from the civil consequences of their acts. The circumstances involving intentional acts committed by an insured are wholly distinguishable from situations where the insured is the victim of an intentional act. This point is made clear in Craig Brown</w:t>
      </w:r>
      <w:r>
        <w:rPr>
          <w:rFonts w:ascii="arial" w:eastAsia="arial" w:hAnsi="arial" w:cs="arial"/>
          <w:i/>
          <w:color w:val="000000"/>
          <w:sz w:val="20"/>
          <w:lang w:val="en-US" w:eastAsia="en-US" w:bidi="ar-SA"/>
        </w:rPr>
        <w:t>, Insurance Law in Canada,</w:t>
      </w:r>
      <w:r>
        <w:rPr>
          <w:rFonts w:ascii="arial" w:eastAsia="arial" w:hAnsi="arial" w:cs="arial"/>
          <w:color w:val="000000"/>
          <w:sz w:val="20"/>
          <w:lang w:val="en-US" w:eastAsia="en-US" w:bidi="ar-SA"/>
        </w:rPr>
        <w:t xml:space="preserve"> loose-leaf (Scarborough: Thomson Canada, 2002), as is evident in the following passages: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contracts are presumed to provide cover neither for loss that is certain to occur, such as normal wear and tear, nor for loss that is deliberately caused by a person </w:t>
      </w:r>
      <w:r>
        <w:rPr>
          <w:rFonts w:ascii="arial" w:eastAsia="arial" w:hAnsi="arial" w:cs="arial"/>
          <w:color w:val="000000"/>
          <w:sz w:val="20"/>
          <w:u w:val="single"/>
          <w:lang w:val="en-US" w:eastAsia="en-US" w:bidi="ar-SA"/>
        </w:rPr>
        <w:t>who will benefit from the insurance.</w:t>
      </w:r>
      <w:r>
        <w:rPr>
          <w:rFonts w:ascii="arial" w:eastAsia="arial" w:hAnsi="arial" w:cs="arial"/>
          <w:color w:val="000000"/>
          <w:sz w:val="20"/>
          <w:lang w:val="en-US" w:eastAsia="en-US" w:bidi="ar-SA"/>
        </w:rPr>
        <w:t xml:space="preserve"> Accordingly, a murderer cannot recover under insurance on the life of his/her victim, and an arsonist who burns down his/her own house cannot collect fire insurance. (at 1 - 4)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event is not an accident if it is bound to happen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ordinary course of events. And loss is not accidental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if it is deliberately caused by the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Loss is not fortuitous if it is certain to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 </w:t>
      </w:r>
      <w:r>
        <w:rPr>
          <w:rFonts w:ascii="arial" w:eastAsia="arial" w:hAnsi="arial" w:cs="arial"/>
          <w:color w:val="000000"/>
          <w:sz w:val="20"/>
          <w:u w:val="single"/>
          <w:lang w:val="en-US" w:eastAsia="en-US" w:bidi="ar-SA"/>
        </w:rPr>
        <w:t>if it is deliberately engineered by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insured</w:t>
      </w:r>
      <w:r>
        <w:rPr>
          <w:rFonts w:ascii="arial" w:eastAsia="arial" w:hAnsi="arial" w:cs="arial"/>
          <w:color w:val="000000"/>
          <w:sz w:val="20"/>
          <w:lang w:val="en-US" w:eastAsia="en-US" w:bidi="ar-SA"/>
        </w:rPr>
        <w:t>. (at 8 - 25)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person deliberately performs an act and brings about the consequence intended, it is, </w:t>
      </w:r>
      <w:r>
        <w:rPr>
          <w:rFonts w:ascii="arial" w:eastAsia="arial" w:hAnsi="arial" w:cs="arial"/>
          <w:color w:val="000000"/>
          <w:sz w:val="20"/>
          <w:u w:val="single"/>
          <w:lang w:val="en-US" w:eastAsia="en-US" w:bidi="ar-SA"/>
        </w:rPr>
        <w:t>from the actor's standpoint</w:t>
      </w:r>
      <w:r>
        <w:rPr>
          <w:rFonts w:ascii="arial" w:eastAsia="arial" w:hAnsi="arial" w:cs="arial"/>
          <w:color w:val="000000"/>
          <w:sz w:val="20"/>
          <w:lang w:val="en-US" w:eastAsia="en-US" w:bidi="ar-SA"/>
        </w:rPr>
        <w:t xml:space="preserve">, no accident. Thus when an arsonist puts a match to a house with the object of burning it down, </w:t>
      </w:r>
      <w:r>
        <w:rPr>
          <w:rFonts w:ascii="arial" w:eastAsia="arial" w:hAnsi="arial" w:cs="arial"/>
          <w:color w:val="000000"/>
          <w:sz w:val="20"/>
          <w:u w:val="single"/>
          <w:lang w:val="en-US" w:eastAsia="en-US" w:bidi="ar-SA"/>
        </w:rPr>
        <w:t>as far as the arsonist is concerned</w:t>
      </w:r>
      <w:r>
        <w:rPr>
          <w:rFonts w:ascii="arial" w:eastAsia="arial" w:hAnsi="arial" w:cs="arial"/>
          <w:color w:val="000000"/>
          <w:sz w:val="20"/>
          <w:lang w:val="en-US" w:eastAsia="en-US" w:bidi="ar-SA"/>
        </w:rPr>
        <w:t>, the loss of the house by fire is not accidental. (at 8 - 27)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Amos</w:t>
      </w:r>
      <w:r>
        <w:rPr>
          <w:rFonts w:ascii="arial" w:eastAsia="arial" w:hAnsi="arial" w:cs="arial"/>
          <w:color w:val="000000"/>
          <w:sz w:val="20"/>
          <w:lang w:val="en-US" w:eastAsia="en-US" w:bidi="ar-SA"/>
        </w:rPr>
        <w:t>, the plaintiff had been driving his car when he was surrounded by a gang who attempted to gain access to and hijack his vehicle. The plaintiff was shot by the hijackers in the course of the attack but managed to escape. Both the trial court and the court of appeal denied his claim. However, he successfully appealed to the Supreme Court of Canada. At paragraphs 25 and 26, Mr. Justice Major made it clear that the intentional use of a vehicle to commit an assault would fall within automobile coverage: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important whether the shooting was accidental or deliberate while entry to the vehicle was being attempted. It is important that the shooting was not random but a shooting that arose out of the appellant's ownership, use and operation of his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appellant had not been shot, but had lost control of his car while trying to get away from his assailants, the injuries suffered as a result of the subsequent car crash would surely be covered by the respondent. Similarly, </w:t>
      </w:r>
      <w:r>
        <w:rPr>
          <w:rFonts w:ascii="arial" w:eastAsia="arial" w:hAnsi="arial" w:cs="arial"/>
          <w:color w:val="000000"/>
          <w:sz w:val="20"/>
          <w:u w:val="single"/>
          <w:lang w:val="en-US" w:eastAsia="en-US" w:bidi="ar-SA"/>
        </w:rPr>
        <w:t>if the appellant had suffered injuries as a result of being intentionally hit by those same assailants using a car instead of a gun, the respondent would not deny coverage.</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learned trial judge correctly acknowledged the distinction between the insured as tortfeasor and the insured as victim when he noted that the cases referred to by ICBC on this issue had no application where the intentional wrong was perpetrated by an unknown assailant on Mr. Garnier, the innocent party. From Mr. Garnier's perspective, he was involved in an "accident" within the meaning of the </w:t>
      </w:r>
      <w:r>
        <w:rPr>
          <w:rFonts w:ascii="arial" w:eastAsia="arial" w:hAnsi="arial" w:cs="arial"/>
          <w:b/>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Mr. James cited numerous cases in support of his argument that Mr. Garnier's claim should be denied for public policy reasons. It is not necessary to analyze that body of jurisprudence. The learned trial judge properly dismissed that submission on the basis that the cases presented were those in which </w:t>
      </w:r>
      <w:r>
        <w:rPr>
          <w:rFonts w:ascii="arial" w:eastAsia="arial" w:hAnsi="arial" w:cs="arial"/>
          <w:i/>
          <w:color w:val="000000"/>
          <w:sz w:val="20"/>
          <w:lang w:val="en-US" w:eastAsia="en-US" w:bidi="ar-SA"/>
        </w:rPr>
        <w:t>the insured</w:t>
      </w:r>
      <w:r>
        <w:rPr>
          <w:rFonts w:ascii="arial" w:eastAsia="arial" w:hAnsi="arial" w:cs="arial"/>
          <w:color w:val="000000"/>
          <w:sz w:val="20"/>
          <w:lang w:val="en-US" w:eastAsia="en-US" w:bidi="ar-SA"/>
        </w:rPr>
        <w:t xml:space="preserve"> had committed the intentional tort or criminal act and was then seeking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Whether </w:t>
      </w:r>
      <w:r>
        <w:rPr>
          <w:rFonts w:ascii="arial" w:eastAsia="arial" w:hAnsi="arial" w:cs="arial"/>
          <w:b/>
          <w:i/>
          <w:color w:val="000000"/>
          <w:sz w:val="20"/>
          <w:lang w:val="en-US" w:eastAsia="en-US" w:bidi="ar-SA"/>
        </w:rPr>
        <w:t>Amos</w:t>
      </w:r>
      <w:r>
        <w:rPr>
          <w:rFonts w:ascii="arial" w:eastAsia="arial" w:hAnsi="arial" w:cs="arial"/>
          <w:b/>
          <w:color w:val="000000"/>
          <w:sz w:val="20"/>
          <w:lang w:val="en-US" w:eastAsia="en-US" w:bidi="ar-SA"/>
        </w:rPr>
        <w:t xml:space="preserve"> is restricted to claims for no-fault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Amos</w:t>
      </w:r>
      <w:r>
        <w:rPr>
          <w:rFonts w:ascii="arial" w:eastAsia="arial" w:hAnsi="arial" w:cs="arial"/>
          <w:color w:val="000000"/>
          <w:sz w:val="20"/>
          <w:lang w:val="en-US" w:eastAsia="en-US" w:bidi="ar-SA"/>
        </w:rPr>
        <w:t>, the plaintiff sought no-fault accident benefits under Part 7 "in respect of death or injury caused by an accident that arises out of the ownership, use or operation of a vehicle." Contrary to the appellant's argument in this case, the Court made it clear at paragraph 16 that the no-fault character of the benefits in question was not relevant to the issue which was whether the injury had arisen from the "ownership, use or operation" of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Analysis of the </w:t>
      </w:r>
      <w:r>
        <w:rPr>
          <w:rFonts w:ascii="arial" w:eastAsia="arial" w:hAnsi="arial" w:cs="arial"/>
          <w:b/>
          <w:i/>
          <w:color w:val="000000"/>
          <w:sz w:val="20"/>
          <w:lang w:val="en-US" w:eastAsia="en-US" w:bidi="ar-SA"/>
        </w:rPr>
        <w:t>Amos</w:t>
      </w:r>
      <w:r>
        <w:rPr>
          <w:rFonts w:ascii="arial" w:eastAsia="arial" w:hAnsi="arial" w:cs="arial"/>
          <w:b/>
          <w:color w:val="000000"/>
          <w:sz w:val="20"/>
          <w:lang w:val="en-US" w:eastAsia="en-US" w:bidi="ar-SA"/>
        </w:rPr>
        <w:t xml:space="preserve"> and </w:t>
      </w:r>
      <w:r>
        <w:rPr>
          <w:rFonts w:ascii="arial" w:eastAsia="arial" w:hAnsi="arial" w:cs="arial"/>
          <w:b/>
          <w:i/>
          <w:color w:val="000000"/>
          <w:sz w:val="20"/>
          <w:lang w:val="en-US" w:eastAsia="en-US" w:bidi="ar-SA"/>
        </w:rPr>
        <w:t>Chan</w:t>
      </w:r>
      <w:r>
        <w:rPr>
          <w:rFonts w:ascii="arial" w:eastAsia="arial" w:hAnsi="arial" w:cs="arial"/>
          <w:b/>
          <w:color w:val="000000"/>
          <w:sz w:val="20"/>
          <w:lang w:val="en-US" w:eastAsia="en-US" w:bidi="ar-SA"/>
        </w:rPr>
        <w:t xml:space="preserv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Amos</w:t>
      </w:r>
      <w:r>
        <w:rPr>
          <w:rFonts w:ascii="arial" w:eastAsia="arial" w:hAnsi="arial" w:cs="arial"/>
          <w:color w:val="000000"/>
          <w:sz w:val="20"/>
          <w:lang w:val="en-US" w:eastAsia="en-US" w:bidi="ar-SA"/>
        </w:rPr>
        <w:t>, the Court applied both a "purpose test" and a "causation test" to determine whether the claimant appellant had established the necessary connection between the accident and the ownership, use or operation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purpose test involved an inquiry into whether the accident resulted from the ordinary and well-known activities to which vehicles are put. The causation test required an analysis of whether the resulting damage was causally related to that ownership, use or operation. With respect to causation, the Court noted at paragraph 21 that the statutory phrase "arising out of" in relation to the damage caused by the use or operation of a vehicle was broader than the term "caused by". Additionally, that section is not restricted to injuries caused by the negligent use of a vehicle. In </w:t>
      </w:r>
      <w:r>
        <w:rPr>
          <w:rFonts w:ascii="arial" w:eastAsia="arial" w:hAnsi="arial" w:cs="arial"/>
          <w:b/>
          <w:i/>
          <w:color w:val="000000"/>
          <w:sz w:val="20"/>
          <w:lang w:val="en-US" w:eastAsia="en-US" w:bidi="ar-SA"/>
        </w:rPr>
        <w:t>Amos</w:t>
      </w:r>
      <w:r>
        <w:rPr>
          <w:rFonts w:ascii="arial" w:eastAsia="arial" w:hAnsi="arial" w:cs="arial"/>
          <w:color w:val="000000"/>
          <w:sz w:val="20"/>
          <w:lang w:val="en-US" w:eastAsia="en-US" w:bidi="ar-SA"/>
        </w:rPr>
        <w:t>, the Court concluded that the shooting was the direct result of his assailants' failed attempt to gain entry to the appellant's van and hence the shooting arose out of the appellant's ownership, use and operation of his vehicle. No independent intervening act had broken the chain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Mr. James refers to numerous cases where the damage was found not to have "arisen out of the use or operation" of a vehicle: </w:t>
      </w:r>
      <w:r>
        <w:rPr>
          <w:rFonts w:ascii="arial" w:eastAsia="arial" w:hAnsi="arial" w:cs="arial"/>
          <w:b/>
          <w:i/>
          <w:color w:val="000000"/>
          <w:sz w:val="20"/>
          <w:lang w:val="en-US" w:eastAsia="en-US" w:bidi="ar-SA"/>
        </w:rPr>
        <w:t>Paulus v. Robinson</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(1991), 60 B.C.L.R. (2d) 116</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Jove v. Paialunga Estate</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(1997), 42 B.C.L.R. (3d) 309</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Jenkins v. Zurich Insurance Canada</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[1997] N.B.J. No. 457</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Duval v. Alberta Motor Assn. Insurance Co.</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2000 ABQB 87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Kumar</w:t>
      </w:r>
      <w:r>
        <w:rPr>
          <w:rFonts w:ascii="arial" w:eastAsia="arial" w:hAnsi="arial" w:cs="arial"/>
          <w:b/>
          <w:color w:val="000000"/>
          <w:sz w:val="20"/>
          <w:lang w:val="en-US" w:eastAsia="en-US" w:bidi="ar-SA"/>
        </w:rPr>
        <w:t xml:space="preserve"> v</w:t>
      </w:r>
      <w:r>
        <w:rPr>
          <w:rFonts w:ascii="arial" w:eastAsia="arial" w:hAnsi="arial" w:cs="arial"/>
          <w:b/>
          <w:i/>
          <w:color w:val="000000"/>
          <w:sz w:val="20"/>
          <w:lang w:val="en-US" w:eastAsia="en-US" w:bidi="ar-SA"/>
        </w:rPr>
        <w:t>. Coachman Insurance Co</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[2004] O.J. No. 2494</w:t>
        </w:r>
      </w:hyperlink>
      <w:r>
        <w:rPr>
          <w:rFonts w:ascii="arial" w:eastAsia="arial" w:hAnsi="arial" w:cs="arial"/>
          <w:color w:val="000000"/>
          <w:sz w:val="20"/>
          <w:lang w:val="en-US" w:eastAsia="en-US" w:bidi="ar-SA"/>
        </w:rPr>
        <w:t xml:space="preserve"> (Sup. Ct.); </w:t>
      </w:r>
      <w:r>
        <w:rPr>
          <w:rFonts w:ascii="arial" w:eastAsia="arial" w:hAnsi="arial" w:cs="arial"/>
          <w:b/>
          <w:i/>
          <w:color w:val="000000"/>
          <w:sz w:val="20"/>
          <w:lang w:val="en-US" w:eastAsia="en-US" w:bidi="ar-SA"/>
        </w:rPr>
        <w:t>Tench v. Erskine</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2006 NSSC 115</w:t>
        </w:r>
      </w:hyperlink>
      <w:r>
        <w:rPr>
          <w:rFonts w:ascii="arial" w:eastAsia="arial" w:hAnsi="arial" w:cs="arial"/>
          <w:color w:val="000000"/>
          <w:sz w:val="20"/>
          <w:lang w:val="en-US" w:eastAsia="en-US" w:bidi="ar-SA"/>
        </w:rPr>
        <w:t xml:space="preserve">, or where the chain of causation was broken: </w:t>
      </w:r>
      <w:r>
        <w:rPr>
          <w:rFonts w:ascii="arial" w:eastAsia="arial" w:hAnsi="arial" w:cs="arial"/>
          <w:b/>
          <w:i/>
          <w:color w:val="000000"/>
          <w:sz w:val="20"/>
          <w:lang w:val="en-US" w:eastAsia="en-US" w:bidi="ar-SA"/>
        </w:rPr>
        <w:t>Law, Union &amp; Rock Insurance Co. Ltd., v. Moore's Taxi Ltd.</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[1960] S.C.R. 80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Johnstone v. Lee and Insurance Corporation of British Columbia</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(1979), 17 B.C.L.R. 324</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Storrie v. Newman</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(1982), 139 D.L.R. (3d) 482</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Rogers v. Holsen</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(1982), 141 D.L.R. (3d) 366</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MacGregor v. Dennis</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[1994] B.C.J. No. 1335</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Collier v. Insurance Corporation of British Columbia</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(1995), 100 B.C.L.R. (2d) 201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Many of those cases predate </w:t>
      </w:r>
      <w:r>
        <w:rPr>
          <w:rFonts w:ascii="arial" w:eastAsia="arial" w:hAnsi="arial" w:cs="arial"/>
          <w:b/>
          <w:i/>
          <w:color w:val="000000"/>
          <w:sz w:val="20"/>
          <w:lang w:val="en-US" w:eastAsia="en-US" w:bidi="ar-SA"/>
        </w:rPr>
        <w:t>Amos.</w:t>
      </w:r>
      <w:r>
        <w:rPr>
          <w:rFonts w:ascii="arial" w:eastAsia="arial" w:hAnsi="arial" w:cs="arial"/>
          <w:color w:val="000000"/>
          <w:sz w:val="20"/>
          <w:lang w:val="en-US" w:eastAsia="en-US" w:bidi="ar-SA"/>
        </w:rPr>
        <w:t xml:space="preserve"> Most are distinguishable on their facts. For example, in some, the assailants are claimants; in others the injuries were incurred as a result of events that were less directly related to the use of a vehicle. </w:t>
      </w:r>
      <w:r>
        <w:rPr>
          <w:rFonts w:ascii="arial" w:eastAsia="arial" w:hAnsi="arial" w:cs="arial"/>
          <w:b/>
          <w:i/>
          <w:color w:val="000000"/>
          <w:sz w:val="20"/>
          <w:lang w:val="en-US" w:eastAsia="en-US" w:bidi="ar-SA"/>
        </w:rPr>
        <w:t>Kumar</w:t>
      </w:r>
      <w:r>
        <w:rPr>
          <w:rFonts w:ascii="arial" w:eastAsia="arial" w:hAnsi="arial" w:cs="arial"/>
          <w:color w:val="000000"/>
          <w:sz w:val="20"/>
          <w:lang w:val="en-US" w:eastAsia="en-US" w:bidi="ar-SA"/>
        </w:rPr>
        <w:t xml:space="preserve"> was governed by more restrictive legislation that required the damage to be "the direct result" of the use and operation of a vehicle, rather than that which "arises out of" the use or operation. Of particular significance is Mr. Justice Major's statement at paragraph 28 of </w:t>
      </w:r>
      <w:r>
        <w:rPr>
          <w:rFonts w:ascii="arial" w:eastAsia="arial" w:hAnsi="arial" w:cs="arial"/>
          <w:b/>
          <w:i/>
          <w:color w:val="000000"/>
          <w:sz w:val="20"/>
          <w:lang w:val="en-US" w:eastAsia="en-US" w:bidi="ar-SA"/>
        </w:rPr>
        <w:t>Amos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Invariably, each case must be decided on its own facts, applying the two-part test outlined above. It is not possible to predict every circumstance where an injury can be said to arise out of the ownership, use or operation of a vehicle. A true random shooting not related to the use or operation of a vehicle under the present wording of s. 79(1) is not covered but where a nexus or connection between the injuries and the damage exists, the injured plaintiff is entitled to coverage. The words in s. 79(1) chosen by the legislature are broad and should be interpreted to give meaning to the legislative intention that extends coverage where some connection is found between ownership, use or operation of a vehicle and the injuries are sustained as a result of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xml:space="preserve">, the plaintiff, a front seat passenger, was injured when she was struck by a brick thrown from an oncoming vehicle. That vehicle fled the scene and was never identified. The plaintiff sued ICBC as nominal defendant under s. 23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(now s. 24). The Court of Appeal upheld the decision of the trial judge who had found that her injuries had arisen out of the use or operation of the unidentified vehicle. The Court noted that the use of a motor vehicle need not be the proximate cause of injury. It was sufficient if the use or operation of the motor vehicle contributed to or added to the injury in some manner, or if some connection was found between the use and operation of the motor vehicle and the injury. In that case, the operation of the unidentified vehicle had placed the assailant in a position to target the oncoming vehicle with a brick, to make his or her escape easy and to avoid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There, the appellant made arguments similar to those made in this case. He submitted that the trial judge had erred in finding that the facts met the "purpose" test because using a motor vehicle to commit an assault is not an ordinary and well known activity or "use" to which vehicles are put. He argued that the facts did not meet the "causation" test because the throwing of the brick was an intervening intentional act which broke the chain of causation between the use of the vehicle and the injuries suffered. The Court of Appeal rejected those arguments. Between the trial judgment and the appeal, the Supreme Court of Canada had delivered its reasons in </w:t>
      </w:r>
      <w:r>
        <w:rPr>
          <w:rFonts w:ascii="arial" w:eastAsia="arial" w:hAnsi="arial" w:cs="arial"/>
          <w:b/>
          <w:i/>
          <w:color w:val="000000"/>
          <w:sz w:val="20"/>
          <w:lang w:val="en-US" w:eastAsia="en-US" w:bidi="ar-SA"/>
        </w:rPr>
        <w:t>Amos</w:t>
      </w:r>
      <w:r>
        <w:rPr>
          <w:rFonts w:ascii="arial" w:eastAsia="arial" w:hAnsi="arial" w:cs="arial"/>
          <w:color w:val="000000"/>
          <w:sz w:val="20"/>
          <w:lang w:val="en-US" w:eastAsia="en-US" w:bidi="ar-SA"/>
        </w:rPr>
        <w:t xml:space="preserve">. Despite the linguistic differences between the no-fault legislation and the s. 23 legislation, Finch J.A. for the Court, held that the meaning of the words "arising out of the use or operation" was of general application. Accordingly, to come within the ambit of s. 23, the plaintiff need only show that the use or operation of the unidentified vehicle contributed in some way to her injuries or that there was some connection between its use and operation and the injury. He noted further at paragraph 22 that s. 23 did not require proof that the injury had arisen out of the </w:t>
      </w:r>
      <w:r>
        <w:rPr>
          <w:rFonts w:ascii="arial" w:eastAsia="arial" w:hAnsi="arial" w:cs="arial"/>
          <w:i/>
          <w:color w:val="000000"/>
          <w:sz w:val="20"/>
          <w:lang w:val="en-US" w:eastAsia="en-US" w:bidi="ar-SA"/>
        </w:rPr>
        <w:t>negligent</w:t>
      </w:r>
      <w:r>
        <w:rPr>
          <w:rFonts w:ascii="arial" w:eastAsia="arial" w:hAnsi="arial" w:cs="arial"/>
          <w:color w:val="000000"/>
          <w:sz w:val="20"/>
          <w:lang w:val="en-US" w:eastAsia="en-US" w:bidi="ar-SA"/>
        </w:rPr>
        <w:t xml:space="preserve"> use or operation of a motor vehicle. Section 23 encompassed intentional acts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At paragraph 43, Mr. Justice Finch noted that s. 23 was remedial legislation, enacted "to afford redress to motorists and their passengers who might otherwise suffer losses for which no remedy would exist." As remedial legislation, it was to be given a fair, large, and liberal interpretation. In contrast, the Ontario legislature amended its definition of "accident" in 1996 more restrictively to mean an incident in which the use or operation of an automobile </w:t>
      </w:r>
      <w:r>
        <w:rPr>
          <w:rFonts w:ascii="arial" w:eastAsia="arial" w:hAnsi="arial" w:cs="arial"/>
          <w:i/>
          <w:color w:val="000000"/>
          <w:sz w:val="20"/>
          <w:lang w:val="en-US" w:eastAsia="en-US" w:bidi="ar-SA"/>
        </w:rPr>
        <w:t>directly</w:t>
      </w:r>
      <w:r>
        <w:rPr>
          <w:rFonts w:ascii="arial" w:eastAsia="arial" w:hAnsi="arial" w:cs="arial"/>
          <w:color w:val="000000"/>
          <w:sz w:val="20"/>
          <w:lang w:val="en-US" w:eastAsia="en-US" w:bidi="ar-SA"/>
        </w:rPr>
        <w:t xml:space="preserve"> causes the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also agree with Judge Chen that with regard to the causation analysis, the facts in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xml:space="preserve"> are sufficiently similar to the facts in the present matter: in these circumstances, an assault from an object thrown from a vehicle is essentially the same as an assault from an object taken from a vehicle. As Judge Chen observed at paragraph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the unknown assailant threw the bat at the Claimant's vehicle causing it damage, or exited his vehicle to swing the bat at the Claimant's vehicle, is immaterial to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Crime Victim Assistance Act</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Finally, Mr. James suggested that Mr. Garnier should have pursued his claim for damages under the </w:t>
      </w:r>
      <w:r>
        <w:rPr>
          <w:rFonts w:ascii="arial" w:eastAsia="arial" w:hAnsi="arial" w:cs="arial"/>
          <w:b/>
          <w:i/>
          <w:color w:val="000000"/>
          <w:sz w:val="20"/>
          <w:lang w:val="en-US" w:eastAsia="en-US" w:bidi="ar-SA"/>
        </w:rPr>
        <w:t>Crime Victim Assistance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2001, c. 38</w:t>
      </w:r>
      <w:r>
        <w:rPr>
          <w:rFonts w:ascii="arial" w:eastAsia="arial" w:hAnsi="arial" w:cs="arial"/>
          <w:color w:val="000000"/>
          <w:sz w:val="20"/>
          <w:lang w:val="en-US" w:eastAsia="en-US" w:bidi="ar-SA"/>
        </w:rPr>
        <w:t>. In fact that Act applies only to personal injuries and not to claims for property damage. "Injury" is defined in that Act as "bodily harm, including any psychological harm, or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find that the learned trial judge carefully and correctly analyzed all of ICBC's arguments in light of </w:t>
      </w:r>
      <w:r>
        <w:rPr>
          <w:rFonts w:ascii="arial" w:eastAsia="arial" w:hAnsi="arial" w:cs="arial"/>
          <w:b/>
          <w:i/>
          <w:color w:val="000000"/>
          <w:sz w:val="20"/>
          <w:lang w:val="en-US" w:eastAsia="en-US" w:bidi="ar-SA"/>
        </w:rPr>
        <w:t>Amos</w:t>
      </w:r>
      <w:r>
        <w:rPr>
          <w:rFonts w:ascii="arial" w:eastAsia="arial" w:hAnsi="arial" w:cs="arial"/>
          <w:color w:val="000000"/>
          <w:sz w:val="20"/>
          <w:lang w:val="en-US" w:eastAsia="en-US" w:bidi="ar-SA"/>
        </w:rPr>
        <w:t xml:space="preserve">and </w:t>
      </w:r>
      <w:r>
        <w:rPr>
          <w:rFonts w:ascii="arial" w:eastAsia="arial" w:hAnsi="arial" w:cs="arial"/>
          <w:b/>
          <w:i/>
          <w:color w:val="000000"/>
          <w:sz w:val="20"/>
          <w:lang w:val="en-US" w:eastAsia="en-US" w:bidi="ar-SA"/>
        </w:rPr>
        <w:t>Chan</w:t>
      </w:r>
      <w:r>
        <w:rPr>
          <w:rFonts w:ascii="arial" w:eastAsia="arial" w:hAnsi="arial" w:cs="arial"/>
          <w:color w:val="000000"/>
          <w:sz w:val="20"/>
          <w:lang w:val="en-US" w:eastAsia="en-US" w:bidi="ar-SA"/>
        </w:rPr>
        <w:t xml:space="preserve"> and concluded that the facts satisfy both the "purpose" test and the "causation" test. The assailant's road rage developed while he was using and operating his truck, and it appears motivated by his displeasure with the manner in which Mr. Garnier was driving his vehicle. The assailant used his truck to block Mr. Garnier's means of escape from the onslaught with the baseball bat, and further used and operated his truck while speeding away. The trial judge also found that the loud bang heard and felt by Mr. Garnier on his passenger side before they stopped at the light was caused by the assailant. The assailant's exit from his truck for the purpose of perpetrating the assault did not break the chain of causation. The nexus between the damage to Mr. Garnier's vehicle and the assailant's use and operation of his vehicle was present. Judge Chen found, correctly in my view, that the assailant had not become "a pedestrian" during the brief time it took to leave his truck, commit the assault, and then return to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ICBC's appeal is dismissed. Mr. Garnier is entitled to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0"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Iser (Committee of) v. Canada (Attorney General), [2016] B.C.J. No. 1874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27-29 and July 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July 15 and August 3, 2016 by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S140297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1874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1627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Christopher Henry Iser, By His Committee Jessica Nicole Iser, Plaintiff, and The Attorney General of Canada, Vince Leblanc, Scott Verwold, and John Does #1-8,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1"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8" w:name="Keywords_33"/>
      <w:bookmarkEnd w:id="248"/>
      <w:r>
        <w:rPr>
          <w:rFonts w:ascii="arial" w:eastAsia="arial" w:hAnsi="arial" w:cs="arial"/>
          <w:b/>
          <w:color w:val="000000"/>
          <w:sz w:val="20"/>
          <w:lang w:val="en-US" w:eastAsia="en-US" w:bidi="ar-SA"/>
        </w:rPr>
        <w:t xml:space="preserve">Civil litigation — Civil procedure — Discovery — Examination for discovery — Persons who may be examined — Production and inspection of documents — Privileged document — Confidential or private communications — Crown privilege or public interest — Application by Iser, plaintiff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against Crown, for production of redacted disclosure and responses to outstanding discovery requests allowed — Iser was inmate seriously injured on first day at Matsqui Institution in gang-related assault — Iser entitled to information about Matsqui's practices for dealing with gang members and associates as well as list of inmates present at time of assault and investigative steps taken by Matsqui — Right to examine Security Officer to be determined after disclosure completed — Crown entitled to disclosure of documents filed by Iser in unrelated family law proceedings, as relevant to issue of his capacity given injuries sustained in assault — British Columbia Supreme Court Civil Rules, Rules 7-1, 7-2, 7-5.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9" w:name="Case Summary_32"/>
            <w:bookmarkEnd w:id="2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Christopher Iser for answers to outstanding discovery requests, for an order requiring the Crown to produce England for interview by Iser's counsel, for information about the Crown's claims of confidential informer and public interest privilege, and for an order unsealing an affidavit from England. The Crown sought answers to outstanding requests made at Jessica Iser's examination for discovery. The underlying action was a damages claim by Christopher Iser arising from an August 2012 assault that took place while he was in federal custody at Matsqui Institution. He was arrested along with fellow gang members in October 2010, convicted of four firearms offences in March 2012 and sentenced to five-and-one-half years' imprisonment in April 2012. He was originally housed at a Regional Reception and Assessment Centre and was transferred to Matsqui on August 13, 2012. Within a day of his transfer, Iser was severely beaten by other inmates while he was in the day yard. He suffered serious injuries that left him wheelchair-bound with severely impaired speech. In his civil claim, Iser alleged that the Crown knew the Matsqui housed a significant number of inmates known to be associates or members of a gang who posed a threat to Iser's safety. Iser's mother and sister, Jacqueline and Jessica, were appointed Christopher's co-committees. The Crown had redacted significant portions of numerous documents in the discovery process on the basis of CI and PI privilege. In a March 2016 decision, a master determined that CI privilege did not apply to the case, but his decision was overturned on appeal by a judge. Iser appealed from the ruling that the Crown's redactions were valid.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0" w:name="Holdings of Court_31"/>
            <w:bookmarkEnd w:id="250"/>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Iser was entitled to disclosure of information about a shooting of his friend, Tam, which took place outside Matsqui. Iser convinced the court this information was relevant as Tam's was a gang-related shooting which demonstrated the Crown's knowledge of the risk Iser faced as a gang member in Matsqui. The Crown was obliged to obtain and disclose information about Iser's comments about his gang affiliation, Matsqui's practices with respect to tracking gang lists and gang assaults and separating rival gang members and associates, a list of members of Matsqui's inmate committee, and information comparing Matsqui's practices to those of neighbouring institutions. Iser was required to produce filed copies of documents he had filed in unrelated family law proceedings, as relevant to the issue of his incapacity. Information about the inmates present in the yard at the time of Iser's assault was ordered disclosed by England, a Security Information Officer at Matsqui. Privilege did not apply to this information given that video showing the faces of all the inmates present had already been disclosed. England was also ordered to provide information about the nature of the investigation into the shooting undertaken by Matsqui, including the names of the investigators and any conclusions reached. This information was not shown to be subject to CI privilege. After the further disclosure was provided, it was for the judge to decide whether England should be ordered to attend for examination for discovery.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1" w:name="Legislation Cited_20"/>
      <w:bookmarkEnd w:id="2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2"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7-1, Rule 7-2(18)(b), Rule 7-5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2" w:name="Counsel_41"/>
      <w:bookmarkEnd w:id="2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3"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Barbara Webster-Evans, Tonia Grace, Amy Carter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The Attorney General of Canada, Vince Leblanc and Scott Verwold: Thomas E. Bean, Sheri-Lynn Vigneau, Charmaine De Los Reyes.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3" w:name="Judgment_39"/>
      <w:bookmarkEnd w:id="253"/>
      <w:r>
        <w:pict>
          <v:line id="_x0000_s1214"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BACKGROUND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Applications for Responses to Requests for Information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Made Either in Writing or During Examinations for Discovery</w:t>
      </w:r>
      <w:r>
        <w:rPr>
          <w:rFonts w:ascii="arial" w:eastAsia="arial" w:hAnsi="arial" w:cs="arial"/>
          <w:sz w:val="20"/>
          <w:lang w:val="en-US" w:eastAsia="en-US" w:bidi="ar-SA"/>
        </w:rPr>
        <w:cr/>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Outstanding Requests for Information from the Examination for Discovery of Mr. Verwold dated September 16, 2015</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Outstanding Requests for Information from the Examination for Discovery of Ms. Houston dated June 14, 2016</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Outstanding Requests for Information from the Examination for Discovery of Ms. Iser on May 25, 2016</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Application to Have the Defendants Produce Ms. England and Mr. Noon-Ward for Interviews 3) CI and PI Privilege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Relevant Legal Principles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 Privilege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Purpose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Privilege also Applies in the Civil Context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Privilege, in the Civil Context, is Absolute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Privilege is Broad in Scope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Waiver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PI Privilege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PI Privilege can be Engaged to Protect the Safety of Individuals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 Privilege, if Established, is not Absolute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Questions of Process or Procedure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 The Tension between Disclosure and Privilege</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Open Court Rule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Observations</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CI and PI Privilege Principles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Requests #13, #14, #15 and #41 from the Discovery of Ms. Houston dated June 14, 2016.</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Additional Documents</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Cross-examination of Ms. England and the Partial Unsealing of her Affidavit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4" w:name="P.G. VOITH J."/>
            <w:bookmarkEnd w:id="254"/>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parties have advanced the following applications and cross-applications:</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answers to the outstanding requests for information made at the examinations for discovery of Mr. Verwold on each of September 16, 2015 and May 18, 2016, and of Ms. Houston on June 14, 2016;</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to have the defendant, the Attorney General of Canada ("HMQ"), produce each of Ms. England and Mr. Noon-Ward for interviews by counsel for the plaintiff. Ms. England and Mr. Noon-Ward are employees of the defendant, HMQ;</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seek answers to the outstanding requests made at the examination for discovery of Ms. Jessica Iser on May 25, 2016, and to various additional requests for information that have been made in writing;</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information or documents that the defendants assert are covered by confidential informer ("CI") privilege or public interest ("PI") privilege, or both; and</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to have an affidavit, that was sealed by Justice Sharma on an earlier application, unsealed and seek to have the defendant, HMQ, produce Ms. England for cross-examination on aspects of that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had advanced various additional applications that were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Mr. Iser, through his committees, has brought an action against the defendants for damages arising from an assault which occurred on August 14, 2012 while he was in federal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February 13, 2013, Mr. Iser's mother and sister, Mrs. Jacqueline Iser and Ms. Jessica Iser respectively, were appointed the plaintiff's co-committees.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January 15, 2014, the plaintiff filed a notice of civil claim. That pleading was amended on June 16, 2016. The amended notice of civil claim alleges that Mr. Iser was, at all material times, a federal inmate housed at Matsqui Institution ("Matsqui"), and that the defendants were responsible for the placement, monitoring, safety, and care of inmates, including Mr. Iser, at that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Iser and his co-accused had been arrested by members of the Gang Task Force on October 27, 2010. The plaintiff was convicted of four firearms-related offences on March 9, 2012, and he was sentenced to five and-a-half years' imprisonment on April 26, 2012. Mr. Iser was originally housed at a Regional Reception and Assessment Center and he was transferred to Matsqui on August 13, 2012. Within a day of being transferred to Matsqui, he was severely beaten by other inmates while he was in the day yard and he suffered various serious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central to the theory of the plaintiff's case that Mr. Iser was a gang member and that Matsqui was, at the time, an institution populated and controlled by members or associates of rival gangs.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Thus, the amended notice of civil claim alleges,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at the time the plaintiff was placed in Matsqui, it was known to the defendants, or it ought to have been known to them, that Matsqui already housed a significant number of inmates who were known to be, or suspected of being, associates or affiliates or members of gangs who posed a threat to the safety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amended notice of civil claim alleges, and it appeared to be common ground, that Mr. Iser suffered a severe brain injury when he was assaulted, that he is now in a wheelchair, and that his speech is severely impaired. It is anticipated that the claim being advanced on behalf of Mr. Iser will be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Several further facts are relevant:</w:t>
      </w:r>
      <w:r>
        <w:rPr>
          <w:rFonts w:ascii="arial" w:eastAsia="arial" w:hAnsi="arial" w:cs="arial"/>
          <w:sz w:val="20"/>
          <w:lang w:val="en-US" w:eastAsia="en-US" w:bidi="ar-SA"/>
        </w:rPr>
        <w:cr/>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appointed to case manage this matter relatively recently. Accordingly, my familiarity with the details that underlie the action is limited.</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during their document production, redacted significant portions of numerous documents. They have done so on the basis of CI privilege and/or PI privilege. Those claims of privilege were challenged by the plaintiff before Master Baker. In a decision dated March 17, 2016, Master Baker determined that CI privilege did not apply to the case before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appealed that ruling. The defendants sought and obtained a stay of Master Baker's order from Justice Punnett. His oral reasons were delivered on April 7, 2016 (the "Stay Reasons"). The full citation for the unreported decision is: </w:t>
      </w:r>
      <w:r>
        <w:rPr>
          <w:rFonts w:ascii="arial" w:eastAsia="arial" w:hAnsi="arial" w:cs="arial"/>
          <w:i/>
          <w:color w:val="000000"/>
          <w:sz w:val="20"/>
          <w:lang w:val="en-US" w:eastAsia="en-US" w:bidi="ar-SA"/>
        </w:rPr>
        <w:t>Iser v. Canada (Attorney General)</w:t>
      </w:r>
      <w:r>
        <w:rPr>
          <w:rFonts w:ascii="arial" w:eastAsia="arial" w:hAnsi="arial" w:cs="arial"/>
          <w:color w:val="000000"/>
          <w:sz w:val="20"/>
          <w:lang w:val="en-US" w:eastAsia="en-US" w:bidi="ar-SA"/>
        </w:rPr>
        <w:t xml:space="preserve"> (7 April 2016), Vancouver S140297 (B.C.S.C.). The appeal was heard by Justice Sharma who concluded, in reasons for judgment that are indexed at </w:t>
      </w:r>
      <w:hyperlink r:id="rId911" w:history="1">
        <w:r>
          <w:rPr>
            <w:rFonts w:ascii="arial" w:eastAsia="arial" w:hAnsi="arial" w:cs="arial"/>
            <w:i/>
            <w:color w:val="0077CC"/>
            <w:sz w:val="20"/>
            <w:u w:val="single"/>
            <w:shd w:val="clear" w:color="auto" w:fill="FFFFFF"/>
            <w:lang w:val="en-US" w:eastAsia="en-US" w:bidi="ar-SA"/>
          </w:rPr>
          <w:t>2016 BCSC 985</w:t>
        </w:r>
      </w:hyperlink>
      <w:r>
        <w:rPr>
          <w:rFonts w:ascii="arial" w:eastAsia="arial" w:hAnsi="arial" w:cs="arial"/>
          <w:color w:val="000000"/>
          <w:sz w:val="20"/>
          <w:lang w:val="en-US" w:eastAsia="en-US" w:bidi="ar-SA"/>
        </w:rPr>
        <w:t xml:space="preserve"> (the "Privilege Reasons"), that the Master had erred.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concluded that all of the redactions in all of the documents before her were valid on the basis of either CI or PI privilege. Though it is not apparent from the Privilege Reasons, I was told that there were approximately 120 documents before her that contained hundreds, if not thousands, of redactions. The affidavit of Ms. Wong, dated June 17, 2016, states that some of the defendants' Part 3 documents on HMQ's list of documents are over 100 pages long. The Privilege Reasons have since been appealed.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of this matter is now scheduled to commence on June 19, 2017 and it has been set for 40 days.</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Applications for Responses to Requests for Information Made Either in Writing or During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relevant legal framework is straightforward. In </w:t>
      </w:r>
      <w:r>
        <w:rPr>
          <w:rFonts w:ascii="arial" w:eastAsia="arial" w:hAnsi="arial" w:cs="arial"/>
          <w:i/>
          <w:color w:val="000000"/>
          <w:sz w:val="20"/>
          <w:lang w:val="en-US" w:eastAsia="en-US" w:bidi="ar-SA"/>
        </w:rPr>
        <w:t>Kendall v. Sun Life Assurance Company of Canada</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2010 BCSC 1556</w:t>
        </w:r>
      </w:hyperlink>
      <w:r>
        <w:rPr>
          <w:rFonts w:ascii="arial" w:eastAsia="arial" w:hAnsi="arial" w:cs="arial"/>
          <w:color w:val="000000"/>
          <w:sz w:val="20"/>
          <w:lang w:val="en-US" w:eastAsia="en-US" w:bidi="ar-SA"/>
        </w:rPr>
        <w:t>, Griffin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Rule 7-2(18)(a) of the </w:t>
      </w:r>
      <w:r>
        <w:rPr>
          <w:rFonts w:ascii="arial" w:eastAsia="arial" w:hAnsi="arial" w:cs="arial"/>
          <w:i/>
          <w:color w:val="000000"/>
          <w:sz w:val="20"/>
          <w:lang w:val="en-US" w:eastAsia="en-US" w:bidi="ar-SA"/>
        </w:rPr>
        <w:t>Supreme Court Civil Rule</w:t>
      </w:r>
      <w:r>
        <w:rPr>
          <w:rFonts w:ascii="arial" w:eastAsia="arial" w:hAnsi="arial" w:cs="arial"/>
          <w:color w:val="000000"/>
          <w:sz w:val="20"/>
          <w:lang w:val="en-US" w:eastAsia="en-US" w:bidi="ar-SA"/>
        </w:rPr>
        <w:t xml:space="preserve">s,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sets out the scope of examination as follows:</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a person being examined for discovery</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answer any question within his or her knowledge or means of knowledge regarding any matter, not privileged, relating to a matter in question in the action,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Despite a variety of substantive changes to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enacted effective July 1, 2010, the scope of examination for discovery has remained unchanged and is very broad.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scope of discovery "relating to a matter in question in the action" is defined by the pleadings generally, having in mind that pleadings and particulars may be amended: </w:t>
      </w:r>
      <w:r>
        <w:rPr>
          <w:rFonts w:ascii="arial" w:eastAsia="arial" w:hAnsi="arial" w:cs="arial"/>
          <w:i/>
          <w:color w:val="000000"/>
          <w:sz w:val="20"/>
          <w:lang w:val="en-US" w:eastAsia="en-US" w:bidi="ar-SA"/>
        </w:rPr>
        <w:t>Cominco Ltd. v. Westinghouse Canada Ltd</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(1979), 11 B.C.L.R. 142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Cominco</w:t>
      </w:r>
      <w:r>
        <w:rPr>
          <w:rFonts w:ascii="arial" w:eastAsia="arial" w:hAnsi="arial" w:cs="arial"/>
          <w:color w:val="000000"/>
          <w:sz w:val="20"/>
          <w:lang w:val="en-US" w:eastAsia="en-US" w:bidi="ar-SA"/>
        </w:rPr>
        <w:t>] at paras. 8-9.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Furthermore, just because an area of examination for discovery may expose a great deal of material is not a reason to limit an otherwise proper area: </w:t>
      </w:r>
      <w:r>
        <w:rPr>
          <w:rFonts w:ascii="arial" w:eastAsia="arial" w:hAnsi="arial" w:cs="arial"/>
          <w:i/>
          <w:color w:val="000000"/>
          <w:sz w:val="20"/>
          <w:lang w:val="en-US" w:eastAsia="en-US" w:bidi="ar-SA"/>
        </w:rPr>
        <w:t>Cominco</w:t>
      </w:r>
      <w:r>
        <w:rPr>
          <w:rFonts w:ascii="arial" w:eastAsia="arial" w:hAnsi="arial" w:cs="arial"/>
          <w:color w:val="000000"/>
          <w:sz w:val="20"/>
          <w:lang w:val="en-US" w:eastAsia="en-US" w:bidi="ar-SA"/>
        </w:rPr>
        <w:t xml:space="preserve"> at paras. 18-19.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Because of the nature of cross-examination and the generally wide scope of examinations for discovery, it will not always be clearly apparent that a single question will produce relevant evidence. Nevertheless, unless it is very clear that the answers may not be relevant to the issues, the better course is to allow the questions: </w:t>
      </w:r>
      <w:r>
        <w:rPr>
          <w:rFonts w:ascii="arial" w:eastAsia="arial" w:hAnsi="arial" w:cs="arial"/>
          <w:i/>
          <w:color w:val="000000"/>
          <w:sz w:val="20"/>
          <w:lang w:val="en-US" w:eastAsia="en-US" w:bidi="ar-SA"/>
        </w:rPr>
        <w:t>Cominco</w:t>
      </w:r>
      <w:r>
        <w:rPr>
          <w:rFonts w:ascii="arial" w:eastAsia="arial" w:hAnsi="arial" w:cs="arial"/>
          <w:color w:val="000000"/>
          <w:sz w:val="20"/>
          <w:lang w:val="en-US" w:eastAsia="en-US" w:bidi="ar-SA"/>
        </w:rPr>
        <w:t xml:space="preserve"> at paras. 9, 63. In this regard, it has to be kept in mind that what might be a permissible question on discovery, without objection, is not a concession that the question, and evidence it adduces, is admissible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It is significant that as a result of an aspect of Master Baker's ruling, which was not appealed and which remains in place, the defendants are to produce documents on a "relevance" rather than a "materiality" standard. The difference between "materiality" and "relevance" was explained in </w:t>
      </w:r>
      <w:r>
        <w:rPr>
          <w:rFonts w:ascii="arial" w:eastAsia="arial" w:hAnsi="arial" w:cs="arial"/>
          <w:i/>
          <w:color w:val="000000"/>
          <w:sz w:val="20"/>
          <w:lang w:val="en-US" w:eastAsia="en-US" w:bidi="ar-SA"/>
        </w:rPr>
        <w:t>Biehl v. Strang</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2010 BCSC 1391</w:t>
        </w:r>
      </w:hyperlink>
      <w:r>
        <w:rPr>
          <w:rFonts w:ascii="arial" w:eastAsia="arial" w:hAnsi="arial" w:cs="arial"/>
          <w:color w:val="000000"/>
          <w:sz w:val="20"/>
          <w:lang w:val="en-US" w:eastAsia="en-US" w:bidi="ar-SA"/>
        </w:rPr>
        <w:t xml:space="preserve"> at paras. 16-19. I also consider, having regard to the nature of the claims being advanced by the plaintiff and the potential magnitude of those claims, that the relevance of proportionality, or the limitations that might otherwise be imposed by its application, is attenuated.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witness names and contact information are properly the subject of an examination for discovery; R. 7-2(18)(b).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parties have exchanged numerous responses to outstanding requests for information that were made at the examinations for discovery of their respective deponents. They also agreed, at the application before me, to address some additional requests that had not yet been responded to. In some other instances, the applications for specific requests were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have addressed only those requests that remain outstanding and in respect of which there is no agreement between the parties.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 Outstanding Requests for Information from the Examination for Discovery of Mr. Verwold dated September 16, 2015</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#16: Provide information on what Correctional Service Canada ("Corrections") knew about Mr. Tam?</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#21: Provide the information that Corrections has regarding the circumstances of Mr. Tam being shot?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object to these requests on the basis of relevance and say that they have "drawn a line" because Mr. Tam was not injured in Matsqui.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Tam, I was told, was a friend and former co-accused of the plaintiff who was shot in the head, torso, and leg on February 7, 2012. The plaintiff argues that this was a gang-related shooting. The plaintiff asserts that this was a connection or risk that the defendants were aware of, or ought to have been aware of, when placing him in Matsqui.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consider that Requests #16 and #21 are relevant. Both requests seek information that has the potential to advance the plaintiff's thesis. Both seek information that the defendants had about gang-related violence and, in particular, about gang-related violence that pertained to the plaintiff and his associates. The fact that Mr. Tam was not shot in Matsqui does not detract from this.</w:t>
      </w:r>
      <w:r>
        <w:rPr>
          <w:rFonts w:ascii="arial" w:eastAsia="arial" w:hAnsi="arial" w:cs="arial"/>
          <w:sz w:val="20"/>
          <w:lang w:val="en-US" w:eastAsia="en-US" w:bidi="ar-SA"/>
        </w:rPr>
        <w:cr/>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#17: This request seeks information pertaining to an interview that was conducted of the plaintiff. The plaintiff argues that the request was not fully answered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does not disagree with this request, but argues Ms. Houston, who conducted the interview of the plaintiff and who will again be examined for discovery, can be asked to respond to the outstanding portion of Request #17 when she is examined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agree with the position of the defendants. The defendants should answer this question in advance of further discoveries. With these answers in hand, counsel for the plaintiff can reflect on what further matters arise from that answer. Alternatively, counsel may be satisfied with the answer and choose, at the continuation of Ms. Houston's discovery, to pursue different issues and to use their time differently.</w:t>
      </w:r>
      <w:r>
        <w:rPr>
          <w:rFonts w:ascii="arial" w:eastAsia="arial" w:hAnsi="arial" w:cs="arial"/>
          <w:sz w:val="20"/>
          <w:lang w:val="en-US" w:eastAsia="en-US" w:bidi="ar-SA"/>
        </w:rPr>
        <w:cr/>
      </w:r>
    </w:p>
    <w:p>
      <w:pPr>
        <w:numPr>
          <w:numId w:val="3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#36: This request seeks various forms of information in relation to the issue of "double-bunking" and what the plaintiff said or was told about "double-bunking"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have answered these questions by saying that Mr. Lee, who apparently oversaw the plaintiff's placement, has no memory of what he communicated to the plaintiff and that it is his practice to write down, on the intake forms that he completes, what inmates say during their interviews. Mr. Lee has no further relevant information in relation to the issue. I consider that if Mr. Lee can neither recall what he said, nor what he was told, apart from his notes, then this question has been adequately answered.</w:t>
      </w:r>
      <w:r>
        <w:rPr>
          <w:rFonts w:ascii="arial" w:eastAsia="arial" w:hAnsi="arial" w:cs="arial"/>
          <w:sz w:val="20"/>
          <w:lang w:val="en-US" w:eastAsia="en-US" w:bidi="ar-SA"/>
        </w:rPr>
        <w:cr/>
      </w:r>
    </w:p>
    <w:p>
      <w:pPr>
        <w:numPr>
          <w:numId w:val="3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#52: This request seeks information about who Mr. Iser told that he was not a member of or associated with the UN Gang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have responded that Mr. Iser denied being a member of the UN Gang to Ms. Houston.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argues that there is an important difference between being "a member" of a gang and being "associated" with a gang. They say that the defendants' response to the inquiry only responds to a portion of the question that was asked. I agree. Ms. Houston, and other representatives of the defendants, should advise what they were told by Mr. Iser about his "association" with the UN Gang.</w:t>
      </w:r>
      <w:r>
        <w:rPr>
          <w:rFonts w:ascii="arial" w:eastAsia="arial" w:hAnsi="arial" w:cs="arial"/>
          <w:sz w:val="20"/>
          <w:lang w:val="en-US" w:eastAsia="en-US" w:bidi="ar-SA"/>
        </w:rPr>
        <w:cr/>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#57: The defendants seek to ascertain which floors at Matsqui "came down first, second, and third for their dinner on August 14,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accept that the inquiry is relevant. They have answered by saying they have no written record of this information. Counsel for the plaintiff asserts that this does not obviate the need to make reasonable inquiries to ascertain whether the information exists in some other form. I agree. The defendants should make such reasonable inquiries, whether from prison guards or from other sources.</w:t>
      </w:r>
      <w:r>
        <w:rPr>
          <w:rFonts w:ascii="arial" w:eastAsia="arial" w:hAnsi="arial" w:cs="arial"/>
          <w:sz w:val="20"/>
          <w:lang w:val="en-US" w:eastAsia="en-US" w:bidi="ar-SA"/>
        </w:rPr>
        <w:cr/>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#69: The plaintiff asked a series of questions directed to whether Corrections maintains any "gang lists" or whether Corrections uses "gang lists" generated by other parties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seem to accept that their answers to date have not fully responded to these inquiries. They assert the balance of what has been asked can be pursued in the ongoing discovery of Ms. Houston, and that Ms. Houston will be properly prepared for these issues. I do not consider that this is a reasonable or efficient means by which to proceed. Instead, I consider that this question should, for reasons that I have described earlier, be answered prior to Ms. Houston's continued discovery.</w:t>
      </w:r>
      <w:r>
        <w:rPr>
          <w:rFonts w:ascii="arial" w:eastAsia="arial" w:hAnsi="arial" w:cs="arial"/>
          <w:sz w:val="20"/>
          <w:lang w:val="en-US" w:eastAsia="en-US" w:bidi="ar-SA"/>
        </w:rPr>
        <w:cr/>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#98: The plaintiff seeks to ascertain whether Corrections was aware in 2012 that there had been a number of assaults on UN Gang members or affiliates by other gangs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accept that the inquiry is relevant. They say, however, that Ms. Houston has been asked about these issues at her earlier discovery, that she will make further inquiries in relation to these issues, and that she will be prepared to provide further answers at her upcoming discovery. Once again, I do not consider, for reasons I have described earlier, that this is a reasonable and efficient means by which to proceed. Ms. Houston should answer these questions before her upcoming discovery.</w:t>
      </w:r>
      <w:r>
        <w:rPr>
          <w:rFonts w:ascii="arial" w:eastAsia="arial" w:hAnsi="arial" w:cs="arial"/>
          <w:sz w:val="20"/>
          <w:lang w:val="en-US" w:eastAsia="en-US" w:bidi="ar-SA"/>
        </w:rPr>
        <w:cr/>
      </w:r>
    </w:p>
    <w:p>
      <w:pPr>
        <w:numPr>
          <w:numId w:val="4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#112: The plaintiff seeks to ascertain the names of the members of the inmate committee at Matsqui in early August 2012. It appears to be common ground that members of the inmate committee, who are respected members of the inmate community, will be consulted by Corrections officials from time to time in relation to given issues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defendants argue that the inquiry is irrelevant. Plaintiff's counsel argues that they seek these names so that they can potentially speak to one of more of these individuals and, potentially, rely on them as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central thesis of the plaintiff's case is that Matsqui was populated and controlled by certain gangs, and that members of other gangs were at risk. Senior members of the Matsqui prison population could reasonably be expected to speak to or address these issues. Accordingly, I consider that the defendants should provide the plaintiff with this information.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Outstanding Requests for Information from the Examination for Discovery of Ms. Houston dated June 14, 2016</w:t>
      </w:r>
    </w:p>
    <w:p>
      <w:pPr>
        <w:numPr>
          <w:numId w:val="4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#3: The plaintiff seeks documents, from 2009-2012, which reflect interviews by Corrections officials of gang members or associates in which such officials were provided assurances that gang members would get along in Matsqui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significant that a representative of the defendants gave evidence, on discovery, that Corrections personnel had been told by prisoners that members of different gangs could or would get along in Matsqui. This evidence may be used by the defendants to partially explain why the plaintiff was not segregated or protected in some way. Hence, the request made by the plaintiff is relevant. The defendants do not contest this. They argue, however, that the request is overly 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the defendants argued, for example, that perhaps such assurances were provided more recently, and that there was no need for the defendants to go back as far as 2009. I do not accept this. If, for example, the level of risk from gang violence within Matsqui varied from time to time, or fluctuated in the two or three years prior to Mr. Iser being assaulted, this too may lead counsel for the plaintiff to a train of inquiry. Accordingly, I consider that the defendants should respond to this question.</w:t>
      </w:r>
      <w:r>
        <w:rPr>
          <w:rFonts w:ascii="arial" w:eastAsia="arial" w:hAnsi="arial" w:cs="arial"/>
          <w:sz w:val="20"/>
          <w:lang w:val="en-US" w:eastAsia="en-US" w:bidi="ar-SA"/>
        </w:rPr>
        <w:cr/>
      </w:r>
    </w:p>
    <w:p>
      <w:pPr>
        <w:numPr>
          <w:numId w:val="4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#9: The plaintiff seeks information about whether other Corrections institutions, apart from Matsqui, kept gang members and associates separate in 2012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argued that the question was overly broad but agreed to produce the information with respect to prisons within the Pacific Region. I consider that this limitation is appropriate.</w:t>
      </w:r>
      <w:r>
        <w:rPr>
          <w:rFonts w:ascii="arial" w:eastAsia="arial" w:hAnsi="arial" w:cs="arial"/>
          <w:sz w:val="20"/>
          <w:lang w:val="en-US" w:eastAsia="en-US" w:bidi="ar-SA"/>
        </w:rPr>
        <w:cr/>
      </w:r>
    </w:p>
    <w:p>
      <w:pPr>
        <w:numPr>
          <w:numId w:val="4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Requests #13, #14, and #15 are somewhat related and ask the following questions:</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13. Provide a list of all witnesses that were in the day yard or walking by the day yard at or around the time of Mr. Iser's assault, including names and current or last known contact information;</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14. Provide a list of all inmates in the yard, walking by the yard, and/or inmates that were a witness to any other aspect of liability in this case, including names and current or last known contact information;</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15. Provide a list of any inmates that have material information about liability in this case, including names and current or last known contact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argue that these questions engage questions of CI and/or PI privilege. They give rise to different and broader issues and I have dealt with these requests for information separately.</w:t>
      </w:r>
      <w:r>
        <w:rPr>
          <w:rFonts w:ascii="arial" w:eastAsia="arial" w:hAnsi="arial" w:cs="arial"/>
          <w:sz w:val="20"/>
          <w:lang w:val="en-US" w:eastAsia="en-US" w:bidi="ar-SA"/>
        </w:rPr>
        <w:cr/>
      </w:r>
    </w:p>
    <w:p>
      <w:pPr>
        <w:numPr>
          <w:numId w:val="4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#39: The plaintiff seeks to ascertain whether Mr. Ryan was in federal custody in 2012. The amended notice of civil claim filed by the plaintiff asserts that Mr. Iser and his co-accused were arrested as they arrived at a pre-arranged meeting. The media had reported that police believed the purpose of the meeting was to plan a "hit" on a rival gang member. The amended notice of civil claim further pleads that the brother of the intended target was already an inmate at Matsqui. The brother, I was told, is Mr. Ryan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argue that because Mr. Ryan was not, in fact, incarcerated at Matsqui, the question is irrelevant. I do not agree and consider that this defines the scope of relevancy too narrowly. The inquiry being made is specific and limited, the information is readily available, and counsel for the plaintiff should be able to procure the admission which they seek.</w:t>
      </w:r>
      <w:r>
        <w:rPr>
          <w:rFonts w:ascii="arial" w:eastAsia="arial" w:hAnsi="arial" w:cs="arial"/>
          <w:sz w:val="20"/>
          <w:lang w:val="en-US" w:eastAsia="en-US" w:bidi="ar-SA"/>
        </w:rPr>
        <w:cr/>
      </w:r>
    </w:p>
    <w:p>
      <w:pPr>
        <w:numPr>
          <w:numId w:val="4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#40: This request has two components. The first seeks an answer as to what Ms. England meant by "concerns for officer safety" in a particular document. The defendants have agreed to answer this inquiry. The second inquiry seeks to have the defendants produce "the four bulletins" that Ms. England references in her note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defendants assert that Ms. England reviewed these four bulletins online and that they do not have these documents or bulletins available to them. I consider that this response construes the meaning of the words in a "party's possession or control" in Rules 7-1(1)(a), 7-1(9)(b), and 7-1(11)(a) too narrowly; </w:t>
      </w:r>
      <w:r>
        <w:rPr>
          <w:rFonts w:ascii="arial" w:eastAsia="arial" w:hAnsi="arial" w:cs="arial"/>
          <w:i/>
          <w:color w:val="000000"/>
          <w:sz w:val="20"/>
          <w:lang w:val="en-US" w:eastAsia="en-US" w:bidi="ar-SA"/>
        </w:rPr>
        <w:t>Sunnar v. U-Haul Co. (Canada) Ltd.</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[1998] B.C.J. No. 1850</w:t>
        </w:r>
      </w:hyperlink>
      <w:r>
        <w:rPr>
          <w:rFonts w:ascii="arial" w:eastAsia="arial" w:hAnsi="arial" w:cs="arial"/>
          <w:color w:val="000000"/>
          <w:sz w:val="20"/>
          <w:lang w:val="en-US" w:eastAsia="en-US" w:bidi="ar-SA"/>
        </w:rPr>
        <w:t xml:space="preserve"> at para. 22 (S.C.), </w:t>
      </w:r>
      <w:hyperlink r:id="rId915" w:history="1">
        <w:r>
          <w:rPr>
            <w:rFonts w:ascii="arial" w:eastAsia="arial" w:hAnsi="arial" w:cs="arial"/>
            <w:i/>
            <w:color w:val="0077CC"/>
            <w:sz w:val="20"/>
            <w:u w:val="single"/>
            <w:shd w:val="clear" w:color="auto" w:fill="FFFFFF"/>
            <w:lang w:val="en-US" w:eastAsia="en-US" w:bidi="ar-SA"/>
          </w:rPr>
          <w:t>1998 CanLII 5894</w:t>
        </w:r>
      </w:hyperlink>
      <w:r>
        <w:rPr>
          <w:rFonts w:ascii="arial" w:eastAsia="arial" w:hAnsi="arial" w:cs="arial"/>
          <w:color w:val="000000"/>
          <w:sz w:val="20"/>
          <w:lang w:val="en-US" w:eastAsia="en-US" w:bidi="ar-SA"/>
        </w:rPr>
        <w:t>. If Ms. England is still able to access or view these particular bulletins online, she is to print copies of them and produce the documents to the plaintiff.</w:t>
      </w:r>
      <w:r>
        <w:rPr>
          <w:rFonts w:ascii="arial" w:eastAsia="arial" w:hAnsi="arial" w:cs="arial"/>
          <w:sz w:val="20"/>
          <w:lang w:val="en-US" w:eastAsia="en-US" w:bidi="ar-SA"/>
        </w:rPr>
        <w:cr/>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#41: The plaintiff seeks various categories of information in relation to the defendants' document CAN3-221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argue that aspects of this document are protected by either CI or PI privilege. Again, these issues are more sweeping in nature and pertain more broadly to other documents and to other issues raised by the parties. Accordingly, I have again dealt with this particular request for information separately.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Outstanding Requests for Information from the Examination for Discovery of Ms. Iser on May 25, 2016</w:t>
      </w:r>
    </w:p>
    <w:p>
      <w:pPr>
        <w:numPr>
          <w:numId w:val="5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#2: The defendants seek copies of the documents that have been filed in Mr. Iser's divorce proceedings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Iser is presently married to Ms. Chow. Apparently, family law proceedings were commenced by Ms. Chow in May 2016. Counsel for the plaintiff has provided the defendants with unfiled and unsworn copies of various documents. The defendants seek filed copies of these materials and, in particular, the filed and sworn copies of two affidavits that Mr. Iser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argue that one of the central issues at trial will be the degree to which Mr. Iser is incapacitated as a result of his injuries. They say that his ability to depose to various facts, as reflected in the affidavits he swore, may be relevant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rely on an affidavit filed by Mr. Iser's mother in which she deposes that it was she who prepared or oversaw the preparation of these affidavit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agree with the position advanced by the defendants. The fact that Ms. Iser's mother may have created the documents in question for Mr. Iser is a matter of evidence. It should not foreclose the defendants' access to the materials they seek and their ability to pursue the matter further.</w:t>
      </w:r>
      <w:r>
        <w:rPr>
          <w:rFonts w:ascii="arial" w:eastAsia="arial" w:hAnsi="arial" w:cs="arial"/>
          <w:sz w:val="20"/>
          <w:lang w:val="en-US" w:eastAsia="en-US" w:bidi="ar-SA"/>
        </w:rPr>
        <w:cr/>
      </w:r>
    </w:p>
    <w:p>
      <w:pPr>
        <w:numPr>
          <w:numId w:val="5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 12: The defendants seek information about any post-secondary courses that Mr. Iser may have taken and want Mr. Iser to be asked about whether he took any such courses. Apparently, there is a Corrections' record which indicates that Mr. Iser said he had taken such courses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the plaintiff accepts that the information being sought is relevant. Counsel says, however, that they have made extensive inquiries from various sources about this matter without any success. Counsel argues that Mr. Iser often says things that are confused and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nevertheless consider that Mr. Iser should be asked the question. The inquiry is finite. If Mr. Iser provides no information, the matter is at an end. If he does provide some information, that information can be pursued and independently verified or discounted.</w:t>
      </w:r>
      <w:r>
        <w:rPr>
          <w:rFonts w:ascii="arial" w:eastAsia="arial" w:hAnsi="arial" w:cs="arial"/>
          <w:sz w:val="20"/>
          <w:lang w:val="en-US" w:eastAsia="en-US" w:bidi="ar-SA"/>
        </w:rPr>
        <w:cr/>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Request #22: The defendants seek a list of all physicians and specialists that Mr. Iser has seen since his assault. Such specialists would include rehabilitation specialists, speech specialists, physiotherapists, and other individuals with similar qualifications. In particular, the defendants seek to have Mr. Iser's mother assemble a list of such individuals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Counsel for the plaintiff argues that the defendants have already been provided with this information in various ways, that Mrs. Iser is elderly, unwell, and somewhat overwhelmed with the care of her son, and that the defendants' request would be unreasonably onerous.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the application, I proposed to both parties that counsel for the plaintiff could assemble the list being sought and then ask Mrs. Iser to review the list for completeness. Counsel for both parties appeared to agree that this would be acceptable.</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Application to Have the Defendants Produce Ms. England and Mr. Noon-Ward for Interviews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Counsel for the plaintiff initially wrote to the defendants seeking to interview five individuals. Two of those individuals have agreed to be interviewed. One of those individuals is no longer employed by the defendant, and counsel for the plaintiff accepts that separate steps will have to be pursued to speak to that individual. Ms. England and Mr. Noon-Ward have declined to speak to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only issue raised in the defendants' application response, in opposition to the plaintiff's application, is that the applicant bears the burden of showing that a witness has "evidence to give that would be material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Before me, counsel for the defendants accepted that each of Ms. England and Mr. Noon-Ward have information which is material or relevant to the instant proceedings. Indeed, the defendants intend to call each of Ms. England and Mr. Noon-Ward as witnesses at trial. It is also somewhat relevant that the plaintiff's mother, Mrs. Iser, has agreed to an interview that was requested by the defendant, HMQ.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the hearing, however, I questioned counsel for the plaintiff about the jurisdiction being relied on in support of this aspect of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was told that the plaintiff relies on the Court's inherent jurisdiction. Counsel argues that there is no "clear and precise statutory language" that ousts the Court's jurisdiction to make such an order; </w:t>
      </w:r>
      <w:r>
        <w:rPr>
          <w:rFonts w:ascii="arial" w:eastAsia="arial" w:hAnsi="arial" w:cs="arial"/>
          <w:i/>
          <w:color w:val="000000"/>
          <w:sz w:val="20"/>
          <w:lang w:val="en-US" w:eastAsia="en-US" w:bidi="ar-SA"/>
        </w:rPr>
        <w:t>R. v. Rose</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[1998] 3 S.C.R. 262</w:t>
        </w:r>
      </w:hyperlink>
      <w:r>
        <w:rPr>
          <w:rFonts w:ascii="arial" w:eastAsia="arial" w:hAnsi="arial" w:cs="arial"/>
          <w:color w:val="000000"/>
          <w:sz w:val="20"/>
          <w:lang w:val="en-US" w:eastAsia="en-US" w:bidi="ar-SA"/>
        </w:rPr>
        <w:t xml:space="preserve"> at para. 133. Counsel further argues that it would be "just and convenient" as well as economical and efficient to make such an order. The order would save the plaintiff the expense and time associated with serving the proposed witnesses and arguing the matter in chambers. Apparently, there have already been at least a dozen court attendances on various issues of document production and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Buchan v. Moss Management Inc.</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2010 BCCA 393</w:t>
        </w:r>
      </w:hyperlink>
      <w:r>
        <w:rPr>
          <w:rFonts w:ascii="arial" w:eastAsia="arial" w:hAnsi="arial" w:cs="arial"/>
          <w:color w:val="000000"/>
          <w:sz w:val="20"/>
          <w:lang w:val="en-US" w:eastAsia="en-US" w:bidi="ar-SA"/>
        </w:rPr>
        <w:t xml:space="preserve"> at para. 30, Garson J.A.,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order for a court to invoke inherent jurisdiction, there must be some extenuating circumstances which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do not appear to contemplate. Where no extenuating circumstances exist, inherent jurisdiction is not ousted - there is simply no basis for a judge to employ the unusual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addition, it is axiomatic that the court's inherent jurisdiction is only to be used "sparingly" and in "clear cases";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2009 BCCA 107</w:t>
        </w:r>
      </w:hyperlink>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Fan v. Chana</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2011 BCCA 516</w:t>
        </w:r>
      </w:hyperlink>
      <w:r>
        <w:rPr>
          <w:rFonts w:ascii="arial" w:eastAsia="arial" w:hAnsi="arial" w:cs="arial"/>
          <w:color w:val="000000"/>
          <w:sz w:val="20"/>
          <w:lang w:val="en-US" w:eastAsia="en-US" w:bidi="ar-SA"/>
        </w:rPr>
        <w:t xml:space="preserve"> at para. 59; and </w:t>
      </w:r>
      <w:r>
        <w:rPr>
          <w:rFonts w:ascii="arial" w:eastAsia="arial" w:hAnsi="arial" w:cs="arial"/>
          <w:i/>
          <w:color w:val="000000"/>
          <w:sz w:val="20"/>
          <w:lang w:val="en-US" w:eastAsia="en-US" w:bidi="ar-SA"/>
        </w:rPr>
        <w:t>Buchan</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this case, R. 7-5 appears to provide the plaintiff with a means of examining Ms. England and Mr. Noon-Ward. I say "appears", because the matter was not argued before me and I make no formal ruling in that regard. Nevertheless, the former R. 28, which is substantially similar to the present R. 7-5, has been extended or applied to the employees of a party; see for example </w:t>
      </w:r>
      <w:r>
        <w:rPr>
          <w:rFonts w:ascii="arial" w:eastAsia="arial" w:hAnsi="arial" w:cs="arial"/>
          <w:i/>
          <w:color w:val="000000"/>
          <w:sz w:val="20"/>
          <w:lang w:val="en-US" w:eastAsia="en-US" w:bidi="ar-SA"/>
        </w:rPr>
        <w:t>Yemen Salt Mining Corpn. v. Rhodes-Vaughan Steel Ltd. et al</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(1977), 3 B.C.L.R. 98</w:t>
        </w:r>
      </w:hyperlink>
      <w:r>
        <w:rPr>
          <w:rFonts w:ascii="arial" w:eastAsia="arial" w:hAnsi="arial" w:cs="arial"/>
          <w:color w:val="000000"/>
          <w:sz w:val="20"/>
          <w:lang w:val="en-US" w:eastAsia="en-US" w:bidi="ar-SA"/>
        </w:rPr>
        <w:t xml:space="preserve"> at 100-101 (S.C.), aff'd </w:t>
      </w:r>
      <w:hyperlink r:id="rId921" w:history="1">
        <w:r>
          <w:rPr>
            <w:rFonts w:ascii="arial" w:eastAsia="arial" w:hAnsi="arial" w:cs="arial"/>
            <w:i/>
            <w:color w:val="0077CC"/>
            <w:sz w:val="20"/>
            <w:u w:val="single"/>
            <w:shd w:val="clear" w:color="auto" w:fill="FFFFFF"/>
            <w:lang w:val="en-US" w:eastAsia="en-US" w:bidi="ar-SA"/>
          </w:rPr>
          <w:t>[1977] B.C.J. No. 1362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Lord v. Royal Columbian Hospital</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(1980), 23 B.C.L.R. 17</w:t>
        </w:r>
      </w:hyperlink>
      <w:r>
        <w:rPr>
          <w:rFonts w:ascii="arial" w:eastAsia="arial" w:hAnsi="arial" w:cs="arial"/>
          <w:color w:val="000000"/>
          <w:sz w:val="20"/>
          <w:lang w:val="en-US" w:eastAsia="en-US" w:bidi="ar-SA"/>
        </w:rPr>
        <w:t xml:space="preserve"> at 19 (S.C.), aff'd </w:t>
      </w:r>
      <w:hyperlink r:id="rId923" w:history="1">
        <w:r>
          <w:rPr>
            <w:rFonts w:ascii="arial" w:eastAsia="arial" w:hAnsi="arial" w:cs="arial"/>
            <w:i/>
            <w:color w:val="0077CC"/>
            <w:sz w:val="20"/>
            <w:u w:val="single"/>
            <w:shd w:val="clear" w:color="auto" w:fill="FFFFFF"/>
            <w:lang w:val="en-US" w:eastAsia="en-US" w:bidi="ar-SA"/>
          </w:rPr>
          <w:t>(1980), 23 B.C.L.R. 141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Virk v. Brar</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2010 BCSC 1363</w:t>
        </w:r>
      </w:hyperlink>
      <w:r>
        <w:rPr>
          <w:rFonts w:ascii="arial" w:eastAsia="arial" w:hAnsi="arial" w:cs="arial"/>
          <w:color w:val="000000"/>
          <w:sz w:val="20"/>
          <w:lang w:val="en-US" w:eastAsia="en-US" w:bidi="ar-SA"/>
        </w:rPr>
        <w:t xml:space="preserve"> at paras. 27-28; and </w:t>
      </w:r>
      <w:r>
        <w:rPr>
          <w:rFonts w:ascii="arial" w:eastAsia="arial" w:hAnsi="arial" w:cs="arial"/>
          <w:i/>
          <w:color w:val="000000"/>
          <w:sz w:val="20"/>
          <w:lang w:val="en-US" w:eastAsia="en-US" w:bidi="ar-SA"/>
        </w:rPr>
        <w:t>Procon Mining &amp; Tunnelling Ltd. v. McNeil</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2009 BCSC 1401</w:t>
        </w:r>
      </w:hyperlink>
      <w:r>
        <w:rPr>
          <w:rFonts w:ascii="arial" w:eastAsia="arial" w:hAnsi="arial" w:cs="arial"/>
          <w:color w:val="000000"/>
          <w:sz w:val="20"/>
          <w:lang w:val="en-US" w:eastAsia="en-US" w:bidi="ar-SA"/>
        </w:rPr>
        <w:t xml:space="preserve"> at para.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If R. 7-5 provides counsel for the plaintiff with a means to achieve what they seek, I consider that it would be inappropriate to circumvent both the structure and the requirements of that Rule. Accordingly, I am not, at this time, prepared to make the order that the plaintiff seeks.</w:t>
      </w:r>
      <w:r>
        <w:rPr>
          <w:rFonts w:ascii="arial" w:eastAsia="arial" w:hAnsi="arial" w:cs="arial"/>
          <w:sz w:val="20"/>
          <w:lang w:val="en-US" w:eastAsia="en-US" w:bidi="ar-SA"/>
        </w:rPr>
        <w:cr/>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CI and PI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issue of CI and/or PI privilege arises in the various applications before me in three different contexts:</w:t>
      </w:r>
      <w:r>
        <w:rPr>
          <w:rFonts w:ascii="arial" w:eastAsia="arial" w:hAnsi="arial" w:cs="arial"/>
          <w:sz w:val="20"/>
          <w:lang w:val="en-US" w:eastAsia="en-US" w:bidi="ar-SA"/>
        </w:rPr>
        <w:cr/>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argue that the answer to Requests #13, #14, #15 and #41 arising from the discovery of Ms. Houston, dated June 14, 2016, are protected by CI and/or PI privilege;</w:t>
      </w:r>
    </w:p>
    <w:p>
      <w:pPr>
        <w:numPr>
          <w:numId w:val="5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seek disclosure of redacted information in a document that has been produced by the defendants and which bears document number CANDOC 0000222-1. That disclosure is opposed on the basis that such information is protected by CI and/or PI privilege; and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initially sought disclosure of redacted information in the defendants' document numbered CANDOC 0000240. I say "initially" because counsel for the plaintiff, at one point during the course of the application, suggested that that information was no longer being pursued. At other times, however, submissions were made in support of the production of this information. The defendants oppose the disclosure of such information on the basis of CI privilege.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Relevant Legal Principles</w:t>
      </w:r>
    </w:p>
    <w:p>
      <w:pPr>
        <w:numPr>
          <w:numId w:val="5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CI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legal principles that define the purpose, ambit, and the single exception to CI privilege are straightforward. Those principles are succinctly expressed in both the recent decision of </w:t>
      </w:r>
      <w:r>
        <w:rPr>
          <w:rFonts w:ascii="arial" w:eastAsia="arial" w:hAnsi="arial" w:cs="arial"/>
          <w:i/>
          <w:color w:val="000000"/>
          <w:sz w:val="20"/>
          <w:lang w:val="en-US" w:eastAsia="en-US" w:bidi="ar-SA"/>
        </w:rPr>
        <w:t>R. v. Sheriffe</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2015 ONCA 880</w:t>
        </w:r>
      </w:hyperlink>
      <w:r>
        <w:rPr>
          <w:rFonts w:ascii="arial" w:eastAsia="arial" w:hAnsi="arial" w:cs="arial"/>
          <w:color w:val="000000"/>
          <w:sz w:val="20"/>
          <w:lang w:val="en-US" w:eastAsia="en-US" w:bidi="ar-SA"/>
        </w:rPr>
        <w:t xml:space="preserve"> at paras. 134-138 and in Robert W. Hubbard, Susan Magotiaux &amp; Suzanne M. Duncan, </w:t>
      </w:r>
      <w:r>
        <w:rPr>
          <w:rFonts w:ascii="arial" w:eastAsia="arial" w:hAnsi="arial" w:cs="arial"/>
          <w:i/>
          <w:color w:val="000000"/>
          <w:sz w:val="20"/>
          <w:lang w:val="en-US" w:eastAsia="en-US" w:bidi="ar-SA"/>
        </w:rPr>
        <w:t>The Law of Privilege in Canada</w:t>
      </w:r>
      <w:r>
        <w:rPr>
          <w:rFonts w:ascii="arial" w:eastAsia="arial" w:hAnsi="arial" w:cs="arial"/>
          <w:color w:val="000000"/>
          <w:sz w:val="20"/>
          <w:lang w:val="en-US" w:eastAsia="en-US" w:bidi="ar-SA"/>
        </w:rPr>
        <w:t xml:space="preserve"> (Aurora, Ont.: Canada Law Book, 2006) (loose-leaf) at 2-4, 2-5. The following points are important:</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Leipert</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[1997] 1 S.C.R. 281</w:t>
        </w:r>
      </w:hyperlink>
      <w:r>
        <w:rPr>
          <w:rFonts w:ascii="arial" w:eastAsia="arial" w:hAnsi="arial" w:cs="arial"/>
          <w:color w:val="000000"/>
          <w:sz w:val="20"/>
          <w:lang w:val="en-US" w:eastAsia="en-US" w:bidi="ar-SA"/>
        </w:rPr>
        <w:t xml:space="preserve"> the Court, at para. 9,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court considering this issue must begin from the proposition that informer privilege is an ancient and hallowed protection which plays a vital role in law enforcement. It is premised on the duty of all citizens to aid in enforcing the law. The discharge of this duty carries with it the risk of retribution from those involved in crime. The rule of informer privilege was developed to protect citizens who assist in law enforcement and to encourage others to do the same. As Cory J.A. (as he then was) stated in </w:t>
      </w:r>
      <w:r>
        <w:rPr>
          <w:rFonts w:ascii="arial" w:eastAsia="arial" w:hAnsi="arial" w:cs="arial"/>
          <w:i/>
          <w:color w:val="000000"/>
          <w:sz w:val="20"/>
          <w:lang w:val="en-US" w:eastAsia="en-US" w:bidi="ar-SA"/>
        </w:rPr>
        <w:t>R. v. Hunter</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(1987), 57 C.R. (3d) 1</w:t>
        </w:r>
      </w:hyperlink>
      <w:r>
        <w:rPr>
          <w:rFonts w:ascii="arial" w:eastAsia="arial" w:hAnsi="arial" w:cs="arial"/>
          <w:color w:val="000000"/>
          <w:sz w:val="20"/>
          <w:lang w:val="en-US" w:eastAsia="en-US" w:bidi="ar-SA"/>
        </w:rPr>
        <w:t xml:space="preserve"> (Ont. C.A.), at pp. 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rule against the non-disclosure of information which might identify an informer is one of long standing. It developed from an acceptance of the importance of the role of informers in the solution of crimes and the apprehension of criminals. It was recognized that citizens have a duty to divulge to the police any information that they may have pertaining to the commission of a crime. It was also obvious to the courts from very early times that the identity of an informer would have to be concealed, both for his or her own protection and to encourage others to divulge to the authorities any information pertaining to crimes. It was in order to achieve these goals that the rule was developed.</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ii) The Privilege also Applies in the Civil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Bisaillon v. Keable</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[1983] 2 S.C.R. 60</w:t>
        </w:r>
      </w:hyperlink>
      <w:r>
        <w:rPr>
          <w:rFonts w:ascii="arial" w:eastAsia="arial" w:hAnsi="arial" w:cs="arial"/>
          <w:color w:val="000000"/>
          <w:sz w:val="20"/>
          <w:lang w:val="en-US" w:eastAsia="en-US" w:bidi="ar-SA"/>
        </w:rPr>
        <w:t xml:space="preserve"> the Court at 93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rule was developed in criminal proceedings, apparently in trials for high treason, but it also applies in civil matters, and in both cases it has been established for reasons which relate to the essential effectiveness of the criminal law. The rule is subject to only one exception, imposed by the need to demonstrate the innocence of an accused person. There are no exceptions in proceedings other than criminal. Its application does not depend on the judge's discretion, as it is a legal rule of public order by which the judge is bound.</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iii) The Privilege, in the Civil Context, is Absolute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Named Person v. Vancouver Sun</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2007 SCC 43</w:t>
        </w:r>
      </w:hyperlink>
      <w:r>
        <w:rPr>
          <w:rFonts w:ascii="arial" w:eastAsia="arial" w:hAnsi="arial" w:cs="arial"/>
          <w:color w:val="000000"/>
          <w:sz w:val="20"/>
          <w:lang w:val="en-US" w:eastAsia="en-US" w:bidi="ar-SA"/>
        </w:rPr>
        <w:t xml:space="preserve"> at paras. 19, 28,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general protection is so important that it renders informer privilege a matter beyond the discretion of a trial judge. As McLachlin J. wrote in </w:t>
      </w:r>
      <w:r>
        <w:rPr>
          <w:rFonts w:ascii="arial" w:eastAsia="arial" w:hAnsi="arial" w:cs="arial"/>
          <w:i/>
          <w:color w:val="000000"/>
          <w:sz w:val="20"/>
          <w:lang w:val="en-US" w:eastAsia="en-US" w:bidi="ar-SA"/>
        </w:rPr>
        <w:t>Leipert</w:t>
      </w:r>
      <w:r>
        <w:rPr>
          <w:rFonts w:ascii="arial" w:eastAsia="arial" w:hAnsi="arial" w:cs="arial"/>
          <w:color w:val="000000"/>
          <w:sz w:val="20"/>
          <w:lang w:val="en-US" w:eastAsia="en-US" w:bidi="ar-SA"/>
        </w:rPr>
        <w:t xml:space="preserve"> at para. 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Informer privilege is of such importance that once found, </w:t>
      </w:r>
      <w:r>
        <w:rPr>
          <w:rFonts w:ascii="arial" w:eastAsia="arial" w:hAnsi="arial" w:cs="arial"/>
          <w:color w:val="000000"/>
          <w:sz w:val="20"/>
          <w:u w:val="single"/>
          <w:lang w:val="en-US" w:eastAsia="en-US" w:bidi="ar-SA"/>
        </w:rPr>
        <w:t>courts are not entitled to balance the benefit enuring from the privilege against countervailing considerations</w:t>
      </w:r>
      <w:r>
        <w:rPr>
          <w:rFonts w:ascii="arial" w:eastAsia="arial" w:hAnsi="arial" w:cs="arial"/>
          <w:color w:val="000000"/>
          <w:sz w:val="20"/>
          <w:lang w:val="en-US" w:eastAsia="en-US" w:bidi="ar-SA"/>
        </w:rPr>
        <w:t xml:space="preserve"> ...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Court's decision in </w:t>
      </w:r>
      <w:r>
        <w:rPr>
          <w:rFonts w:ascii="arial" w:eastAsia="arial" w:hAnsi="arial" w:cs="arial"/>
          <w:i/>
          <w:color w:val="000000"/>
          <w:sz w:val="20"/>
          <w:lang w:val="en-US" w:eastAsia="en-US" w:bidi="ar-SA"/>
        </w:rPr>
        <w:t>Leipert</w:t>
      </w:r>
      <w:r>
        <w:rPr>
          <w:rFonts w:ascii="arial" w:eastAsia="arial" w:hAnsi="arial" w:cs="arial"/>
          <w:color w:val="000000"/>
          <w:sz w:val="20"/>
          <w:lang w:val="en-US" w:eastAsia="en-US" w:bidi="ar-SA"/>
        </w:rPr>
        <w:t xml:space="preserve">, it was clearly established that innocence at stake is the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exception to the informer privilege rule. The rule does not allow an exception for the right to make full answer and defence. Nor does the rule allow an exception for disclosure under </w:t>
      </w:r>
      <w:r>
        <w:rPr>
          <w:rFonts w:ascii="arial" w:eastAsia="arial" w:hAnsi="arial" w:cs="arial"/>
          <w:i/>
          <w:color w:val="000000"/>
          <w:sz w:val="20"/>
          <w:lang w:val="en-US" w:eastAsia="en-US" w:bidi="ar-SA"/>
        </w:rPr>
        <w:t>R. v. Stinchcombe</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[1991] 3 S.C.R. 326</w:t>
        </w:r>
      </w:hyperlink>
      <w:r>
        <w:rPr>
          <w:rFonts w:ascii="arial" w:eastAsia="arial" w:hAnsi="arial" w:cs="arial"/>
          <w:color w:val="000000"/>
          <w:sz w:val="20"/>
          <w:lang w:val="en-US" w:eastAsia="en-US" w:bidi="ar-SA"/>
        </w:rPr>
        <w:t xml:space="preserve">. Indeed, the Court's decision in </w:t>
      </w:r>
      <w:r>
        <w:rPr>
          <w:rFonts w:ascii="arial" w:eastAsia="arial" w:hAnsi="arial" w:cs="arial"/>
          <w:i/>
          <w:color w:val="000000"/>
          <w:sz w:val="20"/>
          <w:lang w:val="en-US" w:eastAsia="en-US" w:bidi="ar-SA"/>
        </w:rPr>
        <w:t>Leipert</w:t>
      </w:r>
      <w:r>
        <w:rPr>
          <w:rFonts w:ascii="arial" w:eastAsia="arial" w:hAnsi="arial" w:cs="arial"/>
          <w:color w:val="000000"/>
          <w:sz w:val="20"/>
          <w:lang w:val="en-US" w:eastAsia="en-US" w:bidi="ar-SA"/>
        </w:rPr>
        <w:t xml:space="preserve"> suggests, at para. 24, that an absolute informer privilege rule, subject only to the innocence at stake exception, is consistent with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's provisions dealing with trial rights: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that rules and privileges stand in the way of an innocent person establishing his or her innocence, they must yield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guarantee of a fair trial. The common law rule of informer privilege, however, does not offend this principle. From its earliest days, the rule has affirmed the priority of the policy of the law "that an innocent man is not to be condemned when his innocence can be proved" by permitting an exception to the privilege where innocence is at stake: </w:t>
      </w:r>
      <w:r>
        <w:rPr>
          <w:rFonts w:ascii="arial" w:eastAsia="arial" w:hAnsi="arial" w:cs="arial"/>
          <w:i/>
          <w:color w:val="000000"/>
          <w:sz w:val="20"/>
          <w:lang w:val="en-US" w:eastAsia="en-US" w:bidi="ar-SA"/>
        </w:rPr>
        <w:t>Marks v. Beyfus</w:t>
      </w:r>
      <w:r>
        <w:rPr>
          <w:rFonts w:ascii="arial" w:eastAsia="arial" w:hAnsi="arial" w:cs="arial"/>
          <w:color w:val="000000"/>
          <w:sz w:val="20"/>
          <w:lang w:val="en-US" w:eastAsia="en-US" w:bidi="ar-SA"/>
        </w:rPr>
        <w:t xml:space="preserve"> [(1890), 25 Q.B.D. 494 (C.A.)]. It is therefore not surprising that this Court has repeatedly referred to informer privilege as an example of the policy of the law that the innocent should not be convicted, rather than as a deviation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R. v. Basi</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2009 SCC 52</w:t>
        </w:r>
      </w:hyperlink>
      <w:r>
        <w:rPr>
          <w:rFonts w:ascii="arial" w:eastAsia="arial" w:hAnsi="arial" w:cs="arial"/>
          <w:color w:val="000000"/>
          <w:sz w:val="20"/>
          <w:lang w:val="en-US" w:eastAsia="en-US" w:bidi="ar-SA"/>
        </w:rPr>
        <w:t xml:space="preserve"> at paras. 36-37 and </w:t>
      </w:r>
      <w:r>
        <w:rPr>
          <w:rFonts w:ascii="arial" w:eastAsia="arial" w:hAnsi="arial" w:cs="arial"/>
          <w:i/>
          <w:color w:val="000000"/>
          <w:sz w:val="20"/>
          <w:lang w:val="en-US" w:eastAsia="en-US" w:bidi="ar-SA"/>
        </w:rPr>
        <w:t>R. v. Y. (X.)</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2011 ONCA 259</w:t>
        </w:r>
      </w:hyperlink>
      <w:r>
        <w:rPr>
          <w:rFonts w:ascii="arial" w:eastAsia="arial" w:hAnsi="arial" w:cs="arial"/>
          <w:color w:val="000000"/>
          <w:sz w:val="20"/>
          <w:lang w:val="en-US" w:eastAsia="en-US" w:bidi="ar-SA"/>
        </w:rPr>
        <w:t xml:space="preserve"> at paras. 1, 15.</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iv) The Privilege is Broad in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informer privilege protects more than the informer's name or address. It extends to any information that might give rise to a breach of the informer's confidentiality. In </w:t>
      </w:r>
      <w:r>
        <w:rPr>
          <w:rFonts w:ascii="arial" w:eastAsia="arial" w:hAnsi="arial" w:cs="arial"/>
          <w:i/>
          <w:color w:val="000000"/>
          <w:sz w:val="20"/>
          <w:lang w:val="en-US" w:eastAsia="en-US" w:bidi="ar-SA"/>
        </w:rPr>
        <w:t>Leipert</w:t>
      </w:r>
      <w:r>
        <w:rPr>
          <w:rFonts w:ascii="arial" w:eastAsia="arial" w:hAnsi="arial" w:cs="arial"/>
          <w:color w:val="000000"/>
          <w:sz w:val="20"/>
          <w:lang w:val="en-US" w:eastAsia="en-US" w:bidi="ar-SA"/>
        </w:rPr>
        <w:t xml:space="preserve"> at paras. 18-19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Informer privilege prevents not only disclosure of the name of the informant, but of any information which might implicitly reveal his or her identity. Courts have acknowledged that the smallest details may be sufficient to reveal identity. In </w:t>
      </w:r>
      <w:r>
        <w:rPr>
          <w:rFonts w:ascii="arial" w:eastAsia="arial" w:hAnsi="arial" w:cs="arial"/>
          <w:i/>
          <w:color w:val="000000"/>
          <w:sz w:val="20"/>
          <w:lang w:val="en-US" w:eastAsia="en-US" w:bidi="ar-SA"/>
        </w:rPr>
        <w:t>R. v. Garofoli</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[1990] 2 S.C.R. 1421</w:t>
        </w:r>
      </w:hyperlink>
      <w:r>
        <w:rPr>
          <w:rFonts w:ascii="arial" w:eastAsia="arial" w:hAnsi="arial" w:cs="arial"/>
          <w:color w:val="000000"/>
          <w:sz w:val="20"/>
          <w:lang w:val="en-US" w:eastAsia="en-US" w:bidi="ar-SA"/>
        </w:rPr>
        <w:t>, at p. 1460, Sopinka J. suggested that trial judges, when editing a wiretap packet, consider: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whether the identities of confidential police informants, and consequently their lives and safety, may be compromised, bearing in mind that such disclosure may occur as much by reference to the nature of the information supplied by the confidential source as by the publication of his or her name;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principle was also confirmed by the British Columbia Court of Appeal in </w:t>
      </w:r>
      <w:r>
        <w:rPr>
          <w:rFonts w:ascii="arial" w:eastAsia="arial" w:hAnsi="arial" w:cs="arial"/>
          <w:i/>
          <w:color w:val="000000"/>
          <w:sz w:val="20"/>
          <w:lang w:val="en-US" w:eastAsia="en-US" w:bidi="ar-SA"/>
        </w:rPr>
        <w:t>R. v. Hardy</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(1994), 45 B.C.A.C. 146</w:t>
        </w:r>
      </w:hyperlink>
      <w:r>
        <w:rPr>
          <w:rFonts w:ascii="arial" w:eastAsia="arial" w:hAnsi="arial" w:cs="arial"/>
          <w:color w:val="000000"/>
          <w:sz w:val="20"/>
          <w:lang w:val="en-US" w:eastAsia="en-US" w:bidi="ar-SA"/>
        </w:rPr>
        <w:t>, at p. 149: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well recognized that information which might identify a confidential informant need not be disclosed to the Justice of the Peace or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Similarly, McEachern C.J.B.C. in the case at bar suggested (at para. 35) that an "accused may know that only some very small circle of persons, perhaps only one, may know an apparently innocuous fact that is mentioned in the document". He noted: "The privilege is a hallowed one, and it should be respected scrupulously".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jurisprudence therefore suggests that the Crown must claim privilege over information that reveals the identity of the informant or that may implicitly reveal identity. In many cases, the Crown will be able to contact the informer to determine the extent of information that can be released without jeopardizing the anonymity of the tipster. The informer is the only person who knows the potential danger of releasing those facts to the accused. The difficulty in this case is that the identity of the informer is unknown. Therefore, the Crown is not in a position to determine whether any part of the information could reveal his or her identity. This led the Crown in the case at bar to claim privilege for all of the information provided by the informer. The extension of privilege to all information that could identify an informant justifies this claim in the case of an anonymous informant.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Omar</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2007 ONCA 117</w:t>
        </w:r>
      </w:hyperlink>
      <w:r>
        <w:rPr>
          <w:rFonts w:ascii="arial" w:eastAsia="arial" w:hAnsi="arial" w:cs="arial"/>
          <w:color w:val="000000"/>
          <w:sz w:val="20"/>
          <w:lang w:val="en-US" w:eastAsia="en-US" w:bidi="ar-SA"/>
        </w:rPr>
        <w:t xml:space="preserve"> at para. 44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trial judge erred in concluding that "the phrase 'tends to identify the confidential informant' means something more than 'narrows the pool of people who have the same characteristics or "identifiers"". There are very few people who could be capable of giving the highly precise and specific tip this informer provided. There is a significant risk on the facts of this case that revealing slightest detail about the informer could serve to permit the respondent to identify who the informer is. In my view, the trial judge's order requiring disclosure of the edited documents risked violating informer privilege in a manner that was contrary to the established jurisprudence on informer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Named Person</w:t>
      </w:r>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inability of the court to know what modest or ostensibly innocuous detail may, in fact, lead to an informer means that great caution must be exercised. In </w:t>
      </w:r>
      <w:r>
        <w:rPr>
          <w:rFonts w:ascii="arial" w:eastAsia="arial" w:hAnsi="arial" w:cs="arial"/>
          <w:i/>
          <w:color w:val="000000"/>
          <w:sz w:val="20"/>
          <w:lang w:val="en-US" w:eastAsia="en-US" w:bidi="ar-SA"/>
        </w:rPr>
        <w:t>Leipert</w:t>
      </w:r>
      <w:r>
        <w:rPr>
          <w:rFonts w:ascii="arial" w:eastAsia="arial" w:hAnsi="arial" w:cs="arial"/>
          <w:color w:val="000000"/>
          <w:sz w:val="20"/>
          <w:lang w:val="en-US" w:eastAsia="en-US" w:bidi="ar-SA"/>
        </w:rPr>
        <w:t xml:space="preserve"> the Court, at paras. 28 and 32,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Informer privilege is of great importance. Once established, the privilege cannot be diminished by or "balanced off against" other concerns relating to the administration of justice. The police and the court have no discretion to diminish it and are bound to uphold it. The only exception to the privilege is found where there is a basis to conclude that the information may be necessary to establish the innocence of the accused. The scope of the rule extends not only to the name of the informer, but to any details which might reveal the informer's identity. It is virtually impossible for the court to know what details may reveal the identity of an anonymous informer. The same considerations apply on challenges to search warrants or wiretap authorizations.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may be cases where the informer and his circumstances are known, in which the court can be certain that what remains of an informant document after editing will not reveal the informer's identity. When, however, as in the case at bar, it is impossible to determine which details of the information provided by an informer will or will not result in that person's identity being revealed, then none of those details should be disclosed, unless there is a basis to conclude that the innocence at stake exception applies.</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CI privilege cannot be waived without the consent of the Crown and the informer. In </w:t>
      </w:r>
      <w:r>
        <w:rPr>
          <w:rFonts w:ascii="arial" w:eastAsia="arial" w:hAnsi="arial" w:cs="arial"/>
          <w:i/>
          <w:color w:val="000000"/>
          <w:sz w:val="20"/>
          <w:lang w:val="en-US" w:eastAsia="en-US" w:bidi="ar-SA"/>
        </w:rPr>
        <w:t>Leipert</w:t>
      </w:r>
      <w:r>
        <w:rPr>
          <w:rFonts w:ascii="arial" w:eastAsia="arial" w:hAnsi="arial" w:cs="arial"/>
          <w:color w:val="000000"/>
          <w:sz w:val="20"/>
          <w:lang w:val="en-US" w:eastAsia="en-US" w:bidi="ar-SA"/>
        </w:rPr>
        <w:t xml:space="preserve"> the Court, at para. 15,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privilege belongs to the Crown: </w:t>
      </w:r>
      <w:r>
        <w:rPr>
          <w:rFonts w:ascii="arial" w:eastAsia="arial" w:hAnsi="arial" w:cs="arial"/>
          <w:i/>
          <w:color w:val="000000"/>
          <w:sz w:val="20"/>
          <w:lang w:val="en-US" w:eastAsia="en-US" w:bidi="ar-SA"/>
        </w:rPr>
        <w:t>Solicitor General of Canada v. Royal Commission of Inquiry (Ontario Health Records)</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[1981] 2 S.C.R. 494</w:t>
        </w:r>
      </w:hyperlink>
      <w:r>
        <w:rPr>
          <w:rFonts w:ascii="arial" w:eastAsia="arial" w:hAnsi="arial" w:cs="arial"/>
          <w:color w:val="000000"/>
          <w:sz w:val="20"/>
          <w:lang w:val="en-US" w:eastAsia="en-US" w:bidi="ar-SA"/>
        </w:rPr>
        <w:t xml:space="preserve">. However, the Crown cannot, without the informer's consent, waive the privilege either expressly or by implication by not raising it: </w:t>
      </w:r>
      <w:r>
        <w:rPr>
          <w:rFonts w:ascii="arial" w:eastAsia="arial" w:hAnsi="arial" w:cs="arial"/>
          <w:i/>
          <w:color w:val="000000"/>
          <w:sz w:val="20"/>
          <w:lang w:val="en-US" w:eastAsia="en-US" w:bidi="ar-SA"/>
        </w:rPr>
        <w:t>Bisaillon v. Keable, supra</w:t>
      </w:r>
      <w:r>
        <w:rPr>
          <w:rFonts w:ascii="arial" w:eastAsia="arial" w:hAnsi="arial" w:cs="arial"/>
          <w:color w:val="000000"/>
          <w:sz w:val="20"/>
          <w:lang w:val="en-US" w:eastAsia="en-US" w:bidi="ar-SA"/>
        </w:rPr>
        <w:t>, at p. 94. In that sense, it also belongs to the informer. This follows from the purpose of the privilege, being the protection of those who provide information to the police and the encouragement of others to do the same. This is the second reason why the police and courts do not have a discretion to relieve against the privilege.</w:t>
      </w:r>
    </w:p>
    <w:p>
      <w:pPr>
        <w:numPr>
          <w:numId w:val="6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PI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central legal principles are similarly straightforward. PI privilege, simply put, protects information in circumstances where it would not be in the public interest to disclose that information; Hubbard, Magotiaux &amp; Duncan at 3-2, 3-3.</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 PI Privilege can be Engaged to Protect the Safety of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PI privilege can take many forms and may be relevant in various circumstances. For present purposes, it is important that PI privilege can be engaged to protect the safety of individuals; </w:t>
      </w:r>
      <w:r>
        <w:rPr>
          <w:rFonts w:ascii="arial" w:eastAsia="arial" w:hAnsi="arial" w:cs="arial"/>
          <w:i/>
          <w:color w:val="000000"/>
          <w:sz w:val="20"/>
          <w:lang w:val="en-US" w:eastAsia="en-US" w:bidi="ar-SA"/>
        </w:rPr>
        <w:t>R. v. Western Taylor</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2010 ONSC 5448</w:t>
        </w:r>
      </w:hyperlink>
      <w:r>
        <w:rPr>
          <w:rFonts w:ascii="arial" w:eastAsia="arial" w:hAnsi="arial" w:cs="arial"/>
          <w:color w:val="000000"/>
          <w:sz w:val="20"/>
          <w:lang w:val="en-US" w:eastAsia="en-US" w:bidi="ar-SA"/>
        </w:rPr>
        <w:t xml:space="preserve"> at paras. 48, 52 and </w:t>
      </w:r>
      <w:r>
        <w:rPr>
          <w:rFonts w:ascii="arial" w:eastAsia="arial" w:hAnsi="arial" w:cs="arial"/>
          <w:i/>
          <w:color w:val="000000"/>
          <w:sz w:val="20"/>
          <w:lang w:val="en-US" w:eastAsia="en-US" w:bidi="ar-SA"/>
        </w:rPr>
        <w:t>R. v. Ali</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2015 BCSC 2539</w:t>
        </w:r>
      </w:hyperlink>
      <w:r>
        <w:rPr>
          <w:rFonts w:ascii="arial" w:eastAsia="arial" w:hAnsi="arial" w:cs="arial"/>
          <w:color w:val="000000"/>
          <w:sz w:val="20"/>
          <w:lang w:val="en-US" w:eastAsia="en-US" w:bidi="ar-SA"/>
        </w:rPr>
        <w:t xml:space="preserve"> at para. 27. Indeed, this was the sole basis that the defendants relied on to justify their various claims of PI privilege.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ii) PI Privilege, if Established, is not Absolute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An assertion of PI privilege requires a weighing by the court for and against disclosure. Furthermore, PI privilege is not a class privilege. Instead, it requires a contextual analysis that must be undertaken on a case-by-case basis; </w:t>
      </w:r>
      <w:r>
        <w:rPr>
          <w:rFonts w:ascii="arial" w:eastAsia="arial" w:hAnsi="arial" w:cs="arial"/>
          <w:i/>
          <w:color w:val="000000"/>
          <w:sz w:val="20"/>
          <w:lang w:val="en-US" w:eastAsia="en-US" w:bidi="ar-SA"/>
        </w:rPr>
        <w:t>Carey v. Ontario</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[1986] 2 S.C.R. 637</w:t>
        </w:r>
      </w:hyperlink>
      <w:r>
        <w:rPr>
          <w:rFonts w:ascii="arial" w:eastAsia="arial" w:hAnsi="arial" w:cs="arial"/>
          <w:color w:val="000000"/>
          <w:sz w:val="20"/>
          <w:lang w:val="en-US" w:eastAsia="en-US" w:bidi="ar-SA"/>
        </w:rPr>
        <w:t xml:space="preserve"> at 653-654; Hubbard, Magotiaux &amp; Duncan at 3-2; </w:t>
      </w:r>
      <w:r>
        <w:rPr>
          <w:rFonts w:ascii="arial" w:eastAsia="arial" w:hAnsi="arial" w:cs="arial"/>
          <w:i/>
          <w:color w:val="000000"/>
          <w:sz w:val="20"/>
          <w:lang w:val="en-US" w:eastAsia="en-US" w:bidi="ar-SA"/>
        </w:rPr>
        <w:t>Ali</w:t>
      </w:r>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numPr>
          <w:numId w:val="6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Questions of Process or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issue of how to address CI privilege and/or PI privilege, or the means by which the tension between these claims for privilege and open-court principles should be accommodated, arises in two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First, it arises in the context of what actually takes place in the courtroom and how such claims are advanced and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These issues were addressed in the context of CI privilege by the Court in </w:t>
      </w:r>
      <w:r>
        <w:rPr>
          <w:rFonts w:ascii="arial" w:eastAsia="arial" w:hAnsi="arial" w:cs="arial"/>
          <w:i/>
          <w:color w:val="000000"/>
          <w:sz w:val="20"/>
          <w:lang w:val="en-US" w:eastAsia="en-US" w:bidi="ar-SA"/>
        </w:rPr>
        <w:t>Named Person</w:t>
      </w:r>
      <w:r>
        <w:rPr>
          <w:rFonts w:ascii="arial" w:eastAsia="arial" w:hAnsi="arial" w:cs="arial"/>
          <w:color w:val="000000"/>
          <w:sz w:val="20"/>
          <w:lang w:val="en-US" w:eastAsia="en-US" w:bidi="ar-SA"/>
        </w:rPr>
        <w:t xml:space="preserve"> at paras. 45-50; see also Hubbard, Magotiaux &amp; Duncan at 2-24, 2-25 and </w:t>
      </w:r>
      <w:r>
        <w:rPr>
          <w:rFonts w:ascii="arial" w:eastAsia="arial" w:hAnsi="arial" w:cs="arial"/>
          <w:i/>
          <w:color w:val="000000"/>
          <w:sz w:val="20"/>
          <w:lang w:val="en-US" w:eastAsia="en-US" w:bidi="ar-SA"/>
        </w:rPr>
        <w:t>R. v. Chan</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2002 ABQB 287</w:t>
        </w:r>
      </w:hyperlink>
      <w:r>
        <w:rPr>
          <w:rFonts w:ascii="arial" w:eastAsia="arial" w:hAnsi="arial" w:cs="arial"/>
          <w:color w:val="000000"/>
          <w:sz w:val="20"/>
          <w:lang w:val="en-US" w:eastAsia="en-US" w:bidi="ar-SA"/>
        </w:rPr>
        <w:t xml:space="preserve"> at paras. 93-94. Such applications are generally brought both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circumstances where PI privilege is claimed, each of </w:t>
      </w:r>
      <w:r>
        <w:rPr>
          <w:rFonts w:ascii="arial" w:eastAsia="arial" w:hAnsi="arial" w:cs="arial"/>
          <w:i/>
          <w:color w:val="000000"/>
          <w:sz w:val="20"/>
          <w:lang w:val="en-US" w:eastAsia="en-US" w:bidi="ar-SA"/>
        </w:rPr>
        <w:t>R. v. Russell</w:t>
      </w:r>
      <w:r>
        <w:rPr>
          <w:rFonts w:ascii="arial" w:eastAsia="arial" w:hAnsi="arial" w:cs="arial"/>
          <w:color w:val="000000"/>
          <w:sz w:val="20"/>
          <w:lang w:val="en-US" w:eastAsia="en-US" w:bidi="ar-SA"/>
        </w:rPr>
        <w:t xml:space="preserve">, 2011 BCSC 1457 at paras. 24-29 and </w:t>
      </w:r>
      <w:r>
        <w:rPr>
          <w:rFonts w:ascii="arial" w:eastAsia="arial" w:hAnsi="arial" w:cs="arial"/>
          <w:i/>
          <w:color w:val="000000"/>
          <w:sz w:val="20"/>
          <w:lang w:val="en-US" w:eastAsia="en-US" w:bidi="ar-SA"/>
        </w:rPr>
        <w:t>Chan</w:t>
      </w:r>
      <w:r>
        <w:rPr>
          <w:rFonts w:ascii="arial" w:eastAsia="arial" w:hAnsi="arial" w:cs="arial"/>
          <w:color w:val="000000"/>
          <w:sz w:val="20"/>
          <w:lang w:val="en-US" w:eastAsia="en-US" w:bidi="ar-SA"/>
        </w:rPr>
        <w:t xml:space="preserve"> at para. 145 are helpful. Such applications are brought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but are no longer brought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this case, these distinctions were blurred or made more difficult because the defendants' submissions overlapped and their claims for PI privilege were brought concurrently with, but as an alternative to, the claim for CI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this case, the process I followed, insofar as it related to both the claims for CI privilege and PI privilege, was comprised of the following steps:</w:t>
      </w:r>
      <w:r>
        <w:rPr>
          <w:rFonts w:ascii="arial" w:eastAsia="arial" w:hAnsi="arial" w:cs="arial"/>
          <w:sz w:val="20"/>
          <w:lang w:val="en-US" w:eastAsia="en-US" w:bidi="ar-SA"/>
        </w:rPr>
        <w:cr/>
      </w:r>
    </w:p>
    <w:p>
      <w:pPr>
        <w:numPr>
          <w:numId w:val="6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provided with a sealed affidavit by the defendants. That affidavit explained the basis for the claims of privilege being advanced. That affidavit was not shown to counsel for the plaintiff.</w:t>
      </w:r>
    </w:p>
    <w:p>
      <w:pPr>
        <w:numPr>
          <w:numId w:val="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plaintiff and defendants made submissions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primarily in relation to the general legal principles that are relevant. The submissions of the plaintiff, not having access to the materials that grounded the specific claims for privilege, were necessarily generic in nature.</w:t>
      </w:r>
    </w:p>
    <w:p>
      <w:pPr>
        <w:numPr>
          <w:numId w:val="6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defendants then,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reviewed the affidavit on which they relied in their further submissions. I identified certain deficiencies in the affidavit material that had been filed, primarily in relation to the claim for CI privilege. The hearing adjourned because there was insufficient time available to complete the applications before me.</w:t>
      </w:r>
    </w:p>
    <w:p>
      <w:pPr>
        <w:numPr>
          <w:numId w:val="6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hearing resumed the following week, counsel for the defendants sought, and I granted, leave to the defendants to lead further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from the deponent of the sealed affidavit. Those submissions were intended to address the issues or concerns that I had earlier identified.</w:t>
      </w:r>
    </w:p>
    <w:p>
      <w:pPr>
        <w:numPr>
          <w:numId w:val="6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completion of the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portion of the application, counsel for the plaintiffs returned to the courtroom and I told them,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and in broad generic terms, about some of the remaining issues or concerns that were raised by the defendants' materials and application. Before doing so, I had confirmed that counsel for the defendants were content with the comments I intended to make. We adjourned briefly to allow counsel for the plaintiff to reflect on what I had said and to prepare a succinct response. We then resumed and the parties made further submissions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on these finite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Second, issues of process arise in relation to the content and release of a court's reasons. This is so because those reasons must properly address the claims for privilege that were raised in a way that both maintains the necessary privilege and concurrently enables the parties, to the extent possible, to understand the court's reasons and to allow for potential appellate review. In this respect, the guidance or process that is effected in </w:t>
      </w:r>
      <w:r>
        <w:rPr>
          <w:rFonts w:ascii="arial" w:eastAsia="arial" w:hAnsi="arial" w:cs="arial"/>
          <w:i/>
          <w:color w:val="000000"/>
          <w:sz w:val="20"/>
          <w:lang w:val="en-US" w:eastAsia="en-US" w:bidi="ar-SA"/>
        </w:rPr>
        <w:t>Russell</w:t>
      </w:r>
      <w:r>
        <w:rPr>
          <w:rFonts w:ascii="arial" w:eastAsia="arial" w:hAnsi="arial" w:cs="arial"/>
          <w:color w:val="000000"/>
          <w:sz w:val="20"/>
          <w:lang w:val="en-US" w:eastAsia="en-US" w:bidi="ar-SA"/>
        </w:rPr>
        <w:t xml:space="preserve"> is helpful.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 Overview: The Tension between Disclosure and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Privilege, in particular CI and PI privilege, displaces two central tenets of litigation. One pertains to the disclosure of relevant information; the other to "open court" principles.</w:t>
      </w:r>
      <w:r>
        <w:rPr>
          <w:rFonts w:ascii="arial" w:eastAsia="arial" w:hAnsi="arial" w:cs="arial"/>
          <w:sz w:val="20"/>
          <w:lang w:val="en-US" w:eastAsia="en-US" w:bidi="ar-SA"/>
        </w:rPr>
        <w:cr/>
      </w:r>
    </w:p>
    <w:p>
      <w:pPr>
        <w:numPr>
          <w:numId w:val="6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XY, LLC v. Canadian Topsires Selection Inc.</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2013 BCSC 584</w:t>
        </w:r>
      </w:hyperlink>
      <w:r>
        <w:rPr>
          <w:rFonts w:ascii="arial" w:eastAsia="arial" w:hAnsi="arial" w:cs="arial"/>
          <w:color w:val="000000"/>
          <w:sz w:val="20"/>
          <w:lang w:val="en-US" w:eastAsia="en-US" w:bidi="ar-SA"/>
        </w:rPr>
        <w:t xml:space="preserve"> at paras. 34-35, I addressed the central importance of document disclosure in civil litigation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As has long been recognized, documents can lead counsel to pursue a relevant line of inquiry. Documents are often vital to an effective examination for discovery and an effective cross examination - particularly when dealing with a persuasive but dishonest witness. Documents can serve to efficiently and effectively establish the material elements of a particular cause of action. As stated in Janet Walker &amp; Lorne Sossin, </w:t>
      </w:r>
      <w:r>
        <w:rPr>
          <w:rFonts w:ascii="arial" w:eastAsia="arial" w:hAnsi="arial" w:cs="arial"/>
          <w:i/>
          <w:color w:val="000000"/>
          <w:sz w:val="20"/>
          <w:lang w:val="en-US" w:eastAsia="en-US" w:bidi="ar-SA"/>
        </w:rPr>
        <w:t>Civil Litigation</w:t>
      </w:r>
      <w:r>
        <w:rPr>
          <w:rFonts w:ascii="arial" w:eastAsia="arial" w:hAnsi="arial" w:cs="arial"/>
          <w:color w:val="000000"/>
          <w:sz w:val="20"/>
          <w:lang w:val="en-US" w:eastAsia="en-US" w:bidi="ar-SA"/>
        </w:rPr>
        <w:t xml:space="preserve"> (Toronto, Ont.: Irwin Law, 2010) at 170: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Although oral testimony gets top billing in popular portrayals of the litigation process, documents, that is, recorded information, often have greater value in establishing the facts of the case. Independently verifiable records are less subject to manipulation by the parties. In the civil law, documents are often regarded as the only truly reliable source of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Indeed, "[t]he importance of documentary discovery is difficult to overstate" (Jay Brecher </w:t>
      </w:r>
      <w:r>
        <w:rPr>
          <w:rFonts w:ascii="arial" w:eastAsia="arial" w:hAnsi="arial" w:cs="arial"/>
          <w:i/>
          <w:color w:val="000000"/>
          <w:sz w:val="20"/>
          <w:lang w:val="en-US" w:eastAsia="en-US" w:bidi="ar-SA"/>
        </w:rPr>
        <w:t>et al.</w:t>
      </w:r>
      <w:r>
        <w:rPr>
          <w:rFonts w:ascii="arial" w:eastAsia="arial" w:hAnsi="arial" w:cs="arial"/>
          <w:color w:val="000000"/>
          <w:sz w:val="20"/>
          <w:lang w:val="en-US" w:eastAsia="en-US" w:bidi="ar-SA"/>
        </w:rPr>
        <w:t xml:space="preserve">, eds., Halsbury's </w:t>
      </w:r>
      <w:r>
        <w:rPr>
          <w:rFonts w:ascii="arial" w:eastAsia="arial" w:hAnsi="arial" w:cs="arial"/>
          <w:i/>
          <w:color w:val="000000"/>
          <w:sz w:val="20"/>
          <w:lang w:val="en-US" w:eastAsia="en-US" w:bidi="ar-SA"/>
        </w:rPr>
        <w:t>Laws of Canada</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Civil Procedure</w:t>
      </w:r>
      <w:r>
        <w:rPr>
          <w:rFonts w:ascii="arial" w:eastAsia="arial" w:hAnsi="arial" w:cs="arial"/>
          <w:color w:val="000000"/>
          <w:sz w:val="20"/>
          <w:lang w:val="en-US" w:eastAsia="en-US" w:bidi="ar-SA"/>
        </w:rPr>
        <w:t>, 1st ed. (Markham, Ont.: LexisNexis Canada Inc., 2012) at 629).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Many cases have recognized the critical function that document disclosure can serve. In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(1998), 56 B.C.L.R. (3d) 114</w:t>
        </w:r>
      </w:hyperlink>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[1999] 4 W.W.R. 244</w:t>
        </w:r>
      </w:hyperlink>
      <w:r>
        <w:rPr>
          <w:rFonts w:ascii="arial" w:eastAsia="arial" w:hAnsi="arial" w:cs="arial"/>
          <w:color w:val="000000"/>
          <w:sz w:val="20"/>
          <w:lang w:val="en-US" w:eastAsia="en-US" w:bidi="ar-SA"/>
        </w:rPr>
        <w:t xml:space="preserve"> (S.C.), Justice L. Smith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 What is the underlying purpose of Rule 26? An examination of its terms and of the authorities considering it leads to the conclusion that its purpose is to promote the resolution of disputes on their merits by forcing disclosure in advance of all documents upon which a party plans to rely at trial and, in addition, all documents which may assist the other party at trial (subject to privilege). In this manner, Rule 26 avoids surprise and prevents the destruction, suppression or fabrication of evidence. The end is trial on the basis of full information; the means is disclosure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Hubbard, Magotiaux &amp; Duncan, the authors address the tension between disclosure and privilege and, at 1-1,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usual axiom in litigation is that evidence that is relevant should always be available to the parties in the litigation. "The public has the right to every person's evidence. That is the general rule". The invocation of a claim of privilege that precludes the obtaining and tendering of evidence is, therefore, exceptional.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Sopinka, Lederman &amp;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4th ed. (Markham, Ont.: LexisNexis Canada, 2014) at 917, the authors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sec..1 ... The exclusionary rule of privilege, however, rests upon a different foundation. It is based upon social values, usually external to the trial process. Although such evidence is relevant, probative and trustworthy, and would thus advance the just resolution of disputes, it is excluded because of overriding societal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sec..2 In any discussion about privileges, one must keep in mind the constant conflict between two countervailing policies. On the one hand, there is the policy which promotes the administration of justice requiring that all relevant probative evidence relating to the issues be before the court so that it can properly decide the issues on the merits. On the other hand, there may be a social interest in preserving and encouraging particular relationships and activities that exist in the community at large, the viability of which are based upon confidential communications. Normally, these communications are not disclosed to anyone outside that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sec..3 Anglo-Canadian law has, for the most part, given priority to the administration of justice over external social values. In fact, the trend in Canada has been to limit the recognition of class privileges in favour of the search for truth in the judicial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 The Open Court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Hubbard, Magotiaux &amp; Duncan, the authors, at 1-33,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open court rule is a fundamental tenet of the common law; it applies at both the trial and pretrial stages; see </w:t>
      </w:r>
      <w:r>
        <w:rPr>
          <w:rFonts w:ascii="arial" w:eastAsia="arial" w:hAnsi="arial" w:cs="arial"/>
          <w:i/>
          <w:color w:val="000000"/>
          <w:sz w:val="20"/>
          <w:lang w:val="en-US" w:eastAsia="en-US" w:bidi="ar-SA"/>
        </w:rPr>
        <w:t>R. v. Bagri</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[2004] 2 S.C.R. 332</w:t>
        </w:r>
      </w:hyperlink>
      <w:r>
        <w:rPr>
          <w:rFonts w:ascii="arial" w:eastAsia="arial" w:hAnsi="arial" w:cs="arial"/>
          <w:color w:val="000000"/>
          <w:sz w:val="20"/>
          <w:lang w:val="en-US" w:eastAsia="en-US" w:bidi="ar-SA"/>
        </w:rPr>
        <w:t xml:space="preserve"> at paras. 24-27.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authors of Hubbard, Magotiaux &amp; Duncan further state at 1-31, 1-32: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Secrecy is antithetical to the usual norm of openness in judicial proceedings. Yet, the successful invocation of privilege means that otherwise relevant information remains secret. Thus, the invocation of a privilege claim triggers substantial related procedural and substantive concerns. Statutory provisions or common law rules that provide that the determination of privilege can be heard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for instance, engender questions whether it is appropriate to determine sensitive or confidential information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reiterated in </w:t>
      </w:r>
      <w:r>
        <w:rPr>
          <w:rFonts w:ascii="arial" w:eastAsia="arial" w:hAnsi="arial" w:cs="arial"/>
          <w:i/>
          <w:color w:val="000000"/>
          <w:sz w:val="20"/>
          <w:lang w:val="en-US" w:eastAsia="en-US" w:bidi="ar-SA"/>
        </w:rPr>
        <w:t>Vancouver Sun (Re)</w:t>
      </w:r>
      <w:r>
        <w:rPr>
          <w:rFonts w:ascii="arial" w:eastAsia="arial" w:hAnsi="arial" w:cs="arial"/>
          <w:color w:val="000000"/>
          <w:sz w:val="20"/>
          <w:lang w:val="en-US" w:eastAsia="en-US" w:bidi="ar-SA"/>
        </w:rPr>
        <w:t xml:space="preserve"> are directly applicable to the common law or any statute that mandates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or secrecy provisions in the context of considering claims of privilege. The Supreme Court enunciated the following principles of general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has emphasized on many occasions that the "open court principle" is a hallmark of a democratic society and applies to all judicial proceedings: </w:t>
      </w:r>
      <w:r>
        <w:rPr>
          <w:rFonts w:ascii="arial" w:eastAsia="arial" w:hAnsi="arial" w:cs="arial"/>
          <w:i/>
          <w:color w:val="000000"/>
          <w:sz w:val="20"/>
          <w:lang w:val="en-US" w:eastAsia="en-US" w:bidi="ar-SA"/>
        </w:rPr>
        <w:t>Attorney General of Nova Scotia v. MacIntyre</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[1982] 1 S.C.R. 175</w:t>
        </w:r>
      </w:hyperlink>
      <w:r>
        <w:rPr>
          <w:rFonts w:ascii="arial" w:eastAsia="arial" w:hAnsi="arial" w:cs="arial"/>
          <w:color w:val="000000"/>
          <w:sz w:val="20"/>
          <w:lang w:val="en-US" w:eastAsia="en-US" w:bidi="ar-SA"/>
        </w:rPr>
        <w:t xml:space="preserve"> at p. 187, </w:t>
      </w:r>
      <w:hyperlink r:id="rId945" w:history="1">
        <w:r>
          <w:rPr>
            <w:rFonts w:ascii="arial" w:eastAsia="arial" w:hAnsi="arial" w:cs="arial"/>
            <w:i/>
            <w:color w:val="0077CC"/>
            <w:sz w:val="20"/>
            <w:u w:val="single"/>
            <w:shd w:val="clear" w:color="auto" w:fill="FFFFFF"/>
            <w:lang w:val="en-US" w:eastAsia="en-US" w:bidi="ar-SA"/>
          </w:rPr>
          <w:t>65 C.C.C. (2d) 129</w:t>
        </w:r>
      </w:hyperlink>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132 D.L.R. (3d) 385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Canadian Broadcasting Corp. v. New Brunswick (Attorney General)</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[1996] 3 S.C.R. 480</w:t>
        </w:r>
      </w:hyperlink>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110 C.C.C. (3d) 193</w:t>
        </w:r>
      </w:hyperlink>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139 D.L.R. (4th) 385</w:t>
        </w:r>
      </w:hyperlink>
      <w:r>
        <w:rPr>
          <w:rFonts w:ascii="arial" w:eastAsia="arial" w:hAnsi="arial" w:cs="arial"/>
          <w:color w:val="000000"/>
          <w:sz w:val="20"/>
          <w:lang w:val="en-US" w:eastAsia="en-US" w:bidi="ar-SA"/>
        </w:rPr>
        <w:t xml:space="preserve">, at paras. 21-22; </w:t>
      </w:r>
      <w:r>
        <w:rPr>
          <w:rFonts w:ascii="arial" w:eastAsia="arial" w:hAnsi="arial" w:cs="arial"/>
          <w:i/>
          <w:color w:val="000000"/>
          <w:sz w:val="20"/>
          <w:lang w:val="en-US" w:eastAsia="en-US" w:bidi="ar-SA"/>
        </w:rPr>
        <w:t>Edmonton Journal v. Alberta (Attorney General)</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[1989] 2 S.C.R. 1326</w:t>
        </w:r>
      </w:hyperlink>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64 D.L.R. (4th) 577</w:t>
        </w:r>
      </w:hyperlink>
      <w:r>
        <w:rPr>
          <w:rFonts w:ascii="arial" w:eastAsia="arial" w:hAnsi="arial" w:cs="arial"/>
          <w:color w:val="000000"/>
          <w:sz w:val="20"/>
          <w:lang w:val="en-US" w:eastAsia="en-US" w:bidi="ar-SA"/>
        </w:rPr>
        <w:t xml:space="preserve">. "Indeed a democracy cannot exist without that freedom to express new ideas and to put forward opinions about the functioning of public institutions. The concept of free and uninhibited speech permeates all truly democratic societies and institutions. The vital importance of the concept cannot be over-emphasized": </w:t>
      </w:r>
      <w:r>
        <w:rPr>
          <w:rFonts w:ascii="arial" w:eastAsia="arial" w:hAnsi="arial" w:cs="arial"/>
          <w:i/>
          <w:color w:val="000000"/>
          <w:sz w:val="20"/>
          <w:lang w:val="en-US" w:eastAsia="en-US" w:bidi="ar-SA"/>
        </w:rPr>
        <w:t>Edmonton Journal, supra</w:t>
      </w:r>
      <w:r>
        <w:rPr>
          <w:rFonts w:ascii="arial" w:eastAsia="arial" w:hAnsi="arial" w:cs="arial"/>
          <w:color w:val="000000"/>
          <w:sz w:val="20"/>
          <w:lang w:val="en-US" w:eastAsia="en-US" w:bidi="ar-SA"/>
        </w:rPr>
        <w:t>, at p. 1336.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iii) Other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consider it useful to make several further comments in relation to both the legal framework and the context for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First, though CI privilege clearly extends to civil actions, the underlying legal and practical framework for the document production obligations that exist are different in the criminal and civil contexts. In the criminal context, disclosure engages an accused's right to make full answer and defence and, thus, has a constitutional dimension; </w:t>
      </w:r>
      <w:r>
        <w:rPr>
          <w:rFonts w:ascii="arial" w:eastAsia="arial" w:hAnsi="arial" w:cs="arial"/>
          <w:i/>
          <w:color w:val="000000"/>
          <w:sz w:val="20"/>
          <w:lang w:val="en-US" w:eastAsia="en-US" w:bidi="ar-SA"/>
        </w:rPr>
        <w:t>R. v. Stinchcombe</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[1991] 3 S.C.R. 326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Disclosure in the civil context, in this jurisdiction, is largely governed by R. 7-1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the case law decided in relation to that Rule or its predecessor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Having said this, it is open to the Crown, in a criminal case, to take out these words to stay a charge, rather than disclose an informers' identity; </w:t>
      </w:r>
      <w:r>
        <w:rPr>
          <w:rFonts w:ascii="arial" w:eastAsia="arial" w:hAnsi="arial" w:cs="arial"/>
          <w:i/>
          <w:color w:val="000000"/>
          <w:sz w:val="20"/>
          <w:lang w:val="en-US" w:eastAsia="en-US" w:bidi="ar-SA"/>
        </w:rPr>
        <w:t>Chan</w:t>
      </w:r>
      <w:r>
        <w:rPr>
          <w:rFonts w:ascii="arial" w:eastAsia="arial" w:hAnsi="arial" w:cs="arial"/>
          <w:color w:val="000000"/>
          <w:sz w:val="20"/>
          <w:lang w:val="en-US" w:eastAsia="en-US" w:bidi="ar-SA"/>
        </w:rPr>
        <w:t xml:space="preserve"> at paras. 93-94. In the civil context, nondisclosure of relevant information on the basis of CI or PI privilege has the significant prospect of impeding the ability of a plaintiff, who has sued the government, to advance his or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this case, this is particularly so for two reasons. First, the plaintiff has suffered a severe brain injury. He is unable, I am told, to identify his assailants or to describe the circumstances of his assault. His counsel are, accordingly, significantly hampered in their ability to advance his case. They require discovery, through documents and witnesses, to achieve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Second, this assault occurred in a prison. A prison is a unique setting with an omnipresent spectre of violence. That reality has had a marked consequence on the defendants' document disclosure and production. Two directly relevant examples will make this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First, the plaintiff was assaulted in Matsqui's day yard in the presence of some 20 inmates. Not surprisingly, those individuals were thereafter questioned or interviewed. As I understand it, the defendants have asserted PI privilege over all such interviews on the basis that the safety of those individuals, if it were known that they had communicated with the prison authorities, would be at risk. They would be "rats".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representative of the defendant who gave evidence before me confirmed that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inmate who communicates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information of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substance to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prison authority is thereafter at risk. It is worth observing that there is no suggestion that such individuals, who simply were present during the plaintiff's assault and who observed what had happened, would be confidential informers.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consequence of this reality is that all documents relating to any of the interviews that followed the plaintiff's assault were heavily redacted before being provided to the plaintiff. This was, I understand, an aspect of the application that was heard by Sharma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second example is similar. Plaintiff's counsel have requested documents relating to gang-related violence at Matsqui. One such example of potential gang-related violence underlies the specific document application that is before me and that I will return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When an inmate was assaulted, that individual was interviewed. Because that individual's safety would be at risk if it were known that he communicated information to prison authorities about his assault, the record of that incident has been significantly redacted. The name of the individual is absent, as is the date of the incident, as is the identity of his assailant(s). This last information is redacted because that individual or those individuals would, if the information became known, also be at risk of retribution and further violence. There was, again, no suggestion that this document, on a standalone basis, enjoyed CI privilege. Indeed, the defendants' deponent confirmed in her evidence that there was no independent basis to claim CI privilege over this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These realities are exacerbated by a further difficulty. In the second example that I have just provided, a confidential informer also provided the prison authorities with some information in relation to this assault. I will return to this later, but CI privilege is claimed, properly in my view, over this second document. Because plaintiff's counsel had asked for all documents relating to gang-related violence on discovery, this second document was also provided to plaintiff's counsel, albeit again in redacted form. However, because the defendants had disclosed that the two documents were related, CI privilege was now claimed over both documents. The claim for CI privilege was extended to the first document because the temporal proximity of the two events and, hence, of the two documents, gave rise to the risk that the identity of the informer in the second document, might be revealed through some disclosure made in the first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Let me extend this issue further with a hypothetical. Earlier I had said that the plaintiff was beaten in the day yard, that approximately 20 inmates were present in the yard at that time, and that PI privilege was claimed over all ensuing interviews. Suppose that one of these individuals was a confidential informer. The document pertaining to the interview of or discussion with that individual would enjoy CI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position of the defendants, in this example, would be that all of the other inmate interviews, documents that were covered by PI privilege, would now also enjoy CI privilege on the basis that the potential disclosure of information covered by PI privilege might "narrow the pool" and reveal the identity of the informer -- the concern being that the "smallest bit of information" in one of the inmate interviews might lead to the informer.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This example gives rise to significant consequences. The existence of an informer in the yard is not something that would be disclosed to counsel for the plaintiff, nor would the legal theory that extended CI privilege to or over the interviews of other inmates who were thereafter questioned. These facts or submissions would only be heard by the motion's judge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This form of "creeping" CI privilege would also extend to all other documents which had been created in the ordinary course and which identified or tracked, for example, where specific inmates were at specific times and, in particular, who was in the day yard when the plaintiff was assaulted. It would also extend to other documents that were created following the events in the yard which might identify the individuals who were present at that time. This would pertain, for example, to routine investigation reports that again identified one or more of the inmates in the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Still further, it would extend to documents obtained from third parties. In this case, the affidavit material before me reveals that documents received by the plaintiff from the Abbotsford Police Department were, on the instructions of the defendants, heavily redacted. Finally, this issue would extend to oral discoveries that addressed these or similar issues. The material before me also reveals that the defendants have opposed having their deponents respond to questions asked on discovery on the basis of PI and/or CI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Simply put, the fact that there was an informant in the day yard, in the hypothetical that I posed, a fact that is not particularly relevant to the plaintiff or to its case, has the effect of creating an absolute class privilege over a wide range of other directly relevant materials. The disclosure of that single fact or document, which would likely be so heavily redacted as to be of little value, would spread like a contagion to numerous other documents and to different aspects of the discovery process. It would, in real terms, significantly frustrate the oral and documentary disclosure received by the plaintiff. The defendants, in making the routine disclosure required of them would, however, be making disclosure in form rather than substance. The more that was ostensibly disclosed, the less would actually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is no direct authority that addresses the types of circumstances I have described. Indeed, there are comparatively few cases that address CI privilege in the civil context. Furthermore, I was told that there are no relevant authorities that addressed claims for CI or PI privilege in the prison context. I have focused on the prison context because the setting I have described, for the reasons I have described, gives rise to potentially extraordinarily broad claims of PI and CI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That there is little fact specific or context specific authority is somewhat surprising. In the reasons of Master Baker, at para. 51, the Master referred to an affidavit that was before him. In that affidavit, one counsel deposed that they had been involved in over 30 "prison assault cases and other claims filed against provincial and federal prison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has to be a mechanism to address this difficulty and to concurrently uphold the absolute privilege that is attached to CI privilege. To the extent these reasons are appealed, I am hopeful that this issue might be addressed. Absent such guidance, I consider that the following principles and framework are helpful and are, at a minimum, to govern the ongoing disclosure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Though I appreciate that CI privilege applies to both criminal and civil cases, I am for present purposes, only addressing claims of CI privilege in the civil context. In such circumstances, particularly where a matter is being case managed, I consider that the initial disclosure of CI privileged materials by a party should be held in abeyance. Such materials would not, in the first instance, be produced to the opposing party. Counsel for the party asserting CI privilege should, instead, on application, bring the limited subset of documents for which CI privilege is advanced, on a standalone basis, before the case management or hearing judge. By "standalone", I mean a document that independently enjoys CI privilege, and not those documents that are covered by CI privilege by extension or because their disclosure, if it were known that there was in informant, might lead to that informant.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At this hearing, which would be conducted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there would first be an assessment of whether CI privilege was made out, on the balance of probabilities, in respect of those documents. The role of opposing counsel would be limited to the role I described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If CI privilege was established, there would be a further assessment of what impact the disclosure of this document or this limited set of documents would have on other documents or on a broader range of documents. Would withholding such CI privilege protected material nevertheless risk disclosure of the informer's identity through disclosure of other material? Would disclosure of this limited group of CI privileged materials actually impede meaningful disclosure of a broader class of materials? Would such disclosure actually undermine the truth-seeking function that is to be served by discovery? If so, those documents or those materials might not, in fact, be produced to the opposing party. This issue, or the consequences of this issue, would also, albeit in generic terms, be discussed with opposing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civil context, withholding materials that are heavily redacted and of potentially limited or no value to an opposing party may cause little harm. Conversely, withholding such materials would, in many cases, serve to protect CI privilege. It would also likely foster or advance more complete and meaningful document production. It is likely a process and result that is consistent with both the protection of CI privilege and the underlying object of both document production and examinations for discovery. It may also advance open court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make two further observations and directions to counsel in this case. I consider that it is important for counsel who claim PI privilege or CI privilege over a set of documents to first identify, with precision, what type or category of privilege is being advanced in relation to what documents or what class of documents. To the extent some documents are covered by both forms of privilege, this too should be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This will be relevant to the defendants in their ongoing document production obligations, and as they continue to address these issues in the future. It is important that counsel who seek to advance either or both forms of privilege undertake this delineation because the Court, at the outset of an application, will be guided by the specific nature of the claim for privilege that is being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These distinctions are central. First, they inform the process before the court and the degree to which counsel for the plaintiff can participate in any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xml:space="preserve"> hearing. If CI privilege is asserted over all documents, that assertion will necessarily dictate the ensuing process. If the claims for privilege are not clearly identified or are advanced too broadly or too aggressively, the court runs the risk of conducting a hearing on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basis in circumstances where that would be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Hubbard, Magotiaux &amp; Duncan at 3-4, 3-5, the authors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Informer privilege and public interest privilege are also distinguished because of the procedures involved in connection with the two privileges. While informer privilege is a class privilege that can be invoked merely because a confidential informer is involved, public interest privilege is dependent on affidavit or other evidence establishing the government interest in withheld information. Moreover, in determining questions of public interest, the court examines the contested evidence to analyze whether its production would be contrary to the public interest: no similar production or examination is required with informer privilege. The court in </w:t>
      </w:r>
      <w:r>
        <w:rPr>
          <w:rFonts w:ascii="arial" w:eastAsia="arial" w:hAnsi="arial" w:cs="arial"/>
          <w:i/>
          <w:color w:val="000000"/>
          <w:sz w:val="20"/>
          <w:lang w:val="en-US" w:eastAsia="en-US" w:bidi="ar-SA"/>
        </w:rPr>
        <w:t>Bisaillon v. Keable</w:t>
      </w:r>
      <w:r>
        <w:rPr>
          <w:rFonts w:ascii="arial" w:eastAsia="arial" w:hAnsi="arial" w:cs="arial"/>
          <w:color w:val="000000"/>
          <w:sz w:val="20"/>
          <w:lang w:val="en-US" w:eastAsia="en-US" w:bidi="ar-SA"/>
        </w:rPr>
        <w:t xml:space="preserve">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addition, the kind of secrecy affects procedure. There is no question of a sworn statement by the Minister involved as a basis for secrecy regarding police informers' identity. There is also no question of the court itself examining what is secret to decide whether it should be disclosed, or for example inspecting a list of informers to determine whether producing it would be contrary to the public interest.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Crown has a vast store of information and its interest in keeping this secret may be infinitely variable depending on the type of information or documents and their content. There are cases in which the information is not confidential or its confidential nature is of minor importance from the standpoint of the public interest. There are cases in which the public interest obviously demands secrecy; and there are borderline cases. The common law allows a member of the executive to make the initial decision; if he decides in favour of secrecy and states his reason for doing so in a sworn statement, the law empowers the judge to review the information and in the last resort to revise the decision by weighing the two conflicting interests, that of maintaining secrecy and that of doing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Second, the distinction is important because the court, in a civil case, has no discretion whatsoever in relation to the disclosure of information covered by CI privilege. Conversely, in the case of PI privilege, the court has to balance the competing interests served by disclosure and privilege respectively. I made this point earlier at para. 64 of these reasons. Sopinka, Lederman &amp; Bryant at sec.15.46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the balance falls in favour of disclosure or immunity depends on the circumstances of the particular case. The judge must weigh the competing public interests by considering such factors as: (a) the probative value of the evidence in the particular case and how necessary it will be for a proper determination of the issues, (b) the subject matter of the litigation, (c) the effect of non-disclosure on the public perception of the administration of justice, (d) whether the claim or defence involves an allegation of government wrongdoing (in which case the claim for immunity may be motivated by self-interest and not a genuine concern for the secrecy of the information), (e) the length of time that has passed since the communication was made, (f) the level of government from which the communication emanated, and (g) the sensitivity of the contents of the communication (including whether and the extent to which there has been prior publication of the information). The court, therefore, must balance the possible denial of justice that could result from non-disclosure against the injury to the public arising from disclosure of public documents which were never intended to be made public.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Simply put, the nature of the privilege being advanced fundamentally affects both the process that the court engages in and the nature of the submissions that counsel will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Finally, it will be important for a court, to the extent possible, to not only uphold or deny a claim for CI and/or PI privilege, but to identify the basis upon which that decision was made. In instances where a claim for CI privilege is advanced but is not made out, but PI privilege is, it may be necessary to conduct a second hearing at which opposing counsel will now know more about the basis on which privilege exists and can now better address the question of how the court should exercise its discretion in relation to those particular documents.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e) Application of CI and PI Privilege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say this respectfully, but in the Privilege Reasons, there is no delineation of what documents are or might be covered by PI as opposed to CI privilege. There is no mechanism for counsel for the plaintiff, or any other judge, to know whether there are documents that only enjoy PI privilege and in respect of which there exists some prospect that, on a discretionary basis, there might be a place for further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With these observations in hand, I return to the three specific issues that I identified earlier at para. 53 of these reasons.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 Requests #13, #14, #15 and #41 from the Discovery of Ms. Houston dated June 14, 2016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Requests #13, #14 and #15 ask, in different ways, for information relating to who was in or near the day yard when Mr. Iser was assaulted. The defendants accept that this information is relevant. Indeed, to the extent that there are degrees of relevance it is highly relevant. The plaintiffs seek both the names of witnesses to Mr. Iser's assault and of individuals who may have information that explains what gave rise to that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following context is relevant. There are, I was told, about 200 to 250 inmates at Matsqui at any time. There were, again, approximately 20 inmates in the day yard when Mr. Iser was attacked. The defendants disclosed the names of six of these individuals, who were suspected of being the plaintiff's assailants, to the Abbotsford police. These names were also subsequently disclosed to the plaintiff. No charges were ever laid against these individuals. I initially understood that the names of two other individuals had also been disclosed, albeit on grounds that are not clear to me. Counsel for the defendants subsequently asserted that there had been no such additional disclosure, though counsel for the plaintiff maintained there had been. Hence, counsel for the plaintiff already know the names of between six to eight of the approximately 20 persons who were in the yard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is also relevant that the defendants have disclosed a video that shows the faces of all of the individuals in the yard on the day the plaintiff was assaulted. I was advised by the defendants' deponent that with this video, and with the assistance of a prison guard, she was able to identify all of the individuals on the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defendants assert that both CI and PI privilege prevented disclosure of the information being sought by the plaintiff. They assert that PI privilege exists because any inmates who were present and who were thereafter interviewed are, for the reasons I have described, at risk. They assert CI privilege because, . They also assert CI privilege because the potential disclosure of the names of individuals protected by PI privilege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defendants argue that the legal principles that I described earlier prevented disclosure of the names or information that the plaintiff seeks in Requests #13, #14 and #15 of Ms. Houston's discovery. They also argue that the disclosure of this information indirectly undermines or constitutes a form of collateral attack on the Privilege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do not consider that this is so. Let me first deal with the Privilege Reasons and the CI claim. I was not provided with any of the application materials that were before Sharma J. and that underlie the Privilege Reasons. I was, however, told that some 30 to 40 documents that were part of the application before Sharma J. contain the names of individuals who were in the yard that day. These names were redacted and Sharma J. clearly considered that those redactions were appropriate. I was also told that Sharma J. had not been told that a video, which revealed the faces of all of the individuals who were in the yard when Mr. Iser was assaulted, existed and that that video had been disclosed to the plaintiff without any redactions or other limitation on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First, Requests #13, #14 and #15 do not relate directly to any document or properly seek the information that is contained in any document, nor do they specifically seek to ascertain who was in the day yard when the plaintiff was assaulted, though those questions may follow in due course. These questions do not tend to narrow the pool of persons who were in the day yard. They actually expand that pool to any person who was at or near the yard or, in fact, to any person who has any information pertaining to the events in question, regardless of where they were at the time of Mr. Iser's assault. There is, as I understand it, no CI privileged basis to withhold information relating to persons near the yard or who were never in or near the yard but who nevertheless have relevant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Second, the Privilege Reasons do not, again, identify the basis upon which Sharma J. upheld the claims of privilege advanced before her. To the extent those reasons relied on PI privilege, the existence and production of the video shifts the ground for that claim of privilege. Simply put, the video, a document that is not sealed or protected in any way, already goes some way to disclosing the information the plaintiffs seek. That fact would be relevant to any discretion a court might exercise in relation to the disclosure of some information that might otherwise be contained in or on some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consider that this last point, the existence of the video, also addresses any claim of CI privilege to the extent that that claim seeks to prevent disclosure of who was in the day yard when the plaintiff was assaulted.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start with the general observation that that information -- i.e. who was in the yard when Mr. Iser was assaulted -- would be known or would have been known to many people. It certainly would have been known to those who were present in the yard. It would also, as a practical matter, have been known to a significant number of Matsqui's then inmate population and to a number of prison staff. Word of that information, or some of that information, would inevitably travel to others. Indeed, if Mr. Iser had not suffered a brain injury, it is information that would be known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Furthermore, the defendants have voluntarily, and in light of their present position, inexplicably already disclosed the names of a number of persons who were in the yard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defendants initially gave some of these names to the police. see </w:t>
      </w:r>
      <w:r>
        <w:rPr>
          <w:rFonts w:ascii="arial" w:eastAsia="arial" w:hAnsi="arial" w:cs="arial"/>
          <w:i/>
          <w:color w:val="000000"/>
          <w:sz w:val="20"/>
          <w:lang w:val="en-US" w:eastAsia="en-US" w:bidi="ar-SA"/>
        </w:rPr>
        <w:t>Canada (Royal Canadian Mounted Police) v. Canada (Attorney General)</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2005 FCA 213</w:t>
        </w:r>
      </w:hyperlink>
      <w:r>
        <w:rPr>
          <w:rFonts w:ascii="arial" w:eastAsia="arial" w:hAnsi="arial" w:cs="arial"/>
          <w:color w:val="000000"/>
          <w:sz w:val="20"/>
          <w:lang w:val="en-US" w:eastAsia="en-US" w:bidi="ar-SA"/>
        </w:rPr>
        <w:t xml:space="preserve"> at para. 43. Disclosure of this same information to the plaintiff is, in circumstances where no changes were laid against these individuals, difficult to understand on a principled basis. The same would be true if the defendants have revealed, as it is asserted, the names of two other individuals who were in the yard that day. I accept that there can be no waiver of CI privilege. I simply note that the information of who was in the yard has already been partly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Finally, I consider that the disclosure of the video fundamentally alters the claim for CI privilege over the names of the inmates who were in the yard when the plaintiff was assaulted. The issue is no longer who was present at that time. The issue is now a matter of simply attaching a name to a photo or, more specifically, a series of names to the images on a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If one took a single image of a single person from that video, that image would, I expect, be known to many if not most persons at Matsqui. This would be true of inmates, guards, people working in the kitchen, and other prison staff. It would be known to other street criminals. It would also be known to many police and Corrections' personnel who oversee information relating to the criminal population. It is, thus, likely known to some hundreds of persons, though it is not known to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do not, in any way, understate the important policy objectives served by CI and PI privilege respectively or the primacy that is given CI privilege. Those objects, however, have to be real and alive and present in the circumstances of a case. In this case, those concerns have, with the disclosure of the video which counsel for the defendants do not seek to withdraw, become more conceptual than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Counsel for the defendants accept that, with this information in hand, the plaintiff's ability to identify who was in the day yard is significantly advanced. They say, however, that it is always open to a party to seek to investigate the identity of a witness or an informer and that counsel for the plaintiff should be required to do so; </w:t>
      </w:r>
      <w:r>
        <w:rPr>
          <w:rFonts w:ascii="arial" w:eastAsia="arial" w:hAnsi="arial" w:cs="arial"/>
          <w:i/>
          <w:color w:val="000000"/>
          <w:sz w:val="20"/>
          <w:lang w:val="en-US" w:eastAsia="en-US" w:bidi="ar-SA"/>
        </w:rPr>
        <w:t>R. v. Barros</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2011 SCC 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This is not, however, a matter of the plaintiff having to investigate the identity of a witness or an informer. It is more akin to providing counsel with a witness' or informer's address but not their name. Again, the exercise becomes more cosmetic than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Accordingly, I consider that the defendant should, for the various reasons I have identified, disclose the information that is sought in Requests #13, #14 and #15 of Ms. Houston's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information that is sought in Request #41 is somewhat different. That question asks: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document CAN3-221, advise as to the date of the document, inquire of Ms. England and advise whether there was an investigation into this assault and whether it was gang related; provide the names of the offender and victim, and provide any documents that flow from the conclusion of the investigation as to the cause of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defendants assert that CAN3-221 is covered by CI privilege. There are indications on the document that support this assertion. Nevertheless, I was not provided with any affidavit material supporting the claim for CI privilege over this document as I was, for example, in relation to other documents, or as I was told Sharma J. had in relation to the application she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consider that the defendants should produce an affidavit that addresses the components of the question asked by the plaintiff. It is not clear to me, at this time, for example, why the question of whether there was an investigation into a particular assault, or whether the assault in question was gang-related would be covered by CI privilege. Perhaps that would become apparent with better information. For the time being, and pending such further information, I will adjourn the application regarding this particular request for information. The application can be revisited at counsel's convenience when the proper materials are before me.</w:t>
      </w:r>
      <w:r>
        <w:rPr>
          <w:rFonts w:ascii="arial" w:eastAsia="arial" w:hAnsi="arial" w:cs="arial"/>
          <w:sz w:val="20"/>
          <w:lang w:val="en-US" w:eastAsia="en-US" w:bidi="ar-SA"/>
        </w:rPr>
        <w:cr/>
      </w:r>
    </w:p>
    <w:p>
      <w:pPr>
        <w:numPr>
          <w:numId w:val="6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Two Additional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plaintiffs seek disclosure of two further documents in un-redacted form. The first is CAN3-00221 ("221"), and the second is CAN3-000240 ("240"). These are the documents that I alluded to earlier. The defendants' deponent accepted that 221, on a standalone basis, does not give rise to a question of CI privilege. It may give rise to PI privilege on the broad basis that the party referred to in the document spoke to prison authorities following his assault and that disclosure of this fact would put his safety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Aspects of 240 are protected by CI privilege. It is clear from the affidavit before me, and from various designations on the document, that the person referred to in the document is a confidential informer. The fact that the information communicated by the confidential informer was first communicated to a third party, and not to a security intelligence officer or to another law enforcement person, is of no moment. That information was first communicated to this third party and then to prison authorities in the same way that a note might be handed to someone for further delivery to another individual. I am also satisfied that the redactions made on 240 are appropriate and go no further than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CI privilege is said, however, to extend to 221 because the two documents relate to the same event, because they were generated at about the same time, and because there was only one assault on or about the time that these documents were created. Still further, these documents were delivered to counsel for the plaintiff, as I have said, on the basis that they were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This claim raises the issues that I have addressed. Counsel for the plaintiff, through an innocuous request that they receive all documents related to a gang-related assault, have inadvertently imbued a document not otherwise covered by CI privilege with such privilege. In addition, I observe that the temporal concerns raised in relation to 240 and relied on in support of a claim of CI privilege over 221, are curious because the dates on 240 have not been redacted.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 have said that counsel for the plaintiff communicated, during the application, that they have no interest in 240. In addition, the defendants have, in other circumstances, made various forms of inadvertent disclosures in open court and/or </w:t>
      </w:r>
      <w:r>
        <w:rPr>
          <w:rFonts w:ascii="arial" w:eastAsia="arial" w:hAnsi="arial" w:cs="arial"/>
          <w:i/>
          <w:color w:val="000000"/>
          <w:sz w:val="20"/>
          <w:lang w:val="en-US" w:eastAsia="en-US" w:bidi="ar-SA"/>
        </w:rPr>
        <w:t>in camera</w:t>
      </w:r>
      <w:r>
        <w:rPr>
          <w:rFonts w:ascii="arial" w:eastAsia="arial" w:hAnsi="arial" w:cs="arial"/>
          <w:color w:val="000000"/>
          <w:sz w:val="20"/>
          <w:lang w:val="en-US" w:eastAsia="en-US" w:bidi="ar-SA"/>
        </w:rPr>
        <w:t>, but in counsel for the plaintiff's presence, that they have subsequently sought to retract or protect with either court orders or various forms of undertakings. They have also brought an application, that is being adjourned for the time being, for the return of certain documents that had been disclosed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Is not clear to me why 240, which has been partly redacted, cannot be returned to the defendants on the same kind of conditions or undertakings that the defendants have sought to extract from counsel for the plaintiff in other like circumstances. In saying this I am mindful of the concerns expressed by the Court in </w:t>
      </w:r>
      <w:r>
        <w:rPr>
          <w:rFonts w:ascii="arial" w:eastAsia="arial" w:hAnsi="arial" w:cs="arial"/>
          <w:i/>
          <w:color w:val="000000"/>
          <w:sz w:val="20"/>
          <w:lang w:val="en-US" w:eastAsia="en-US" w:bidi="ar-SA"/>
        </w:rPr>
        <w:t>Basi</w:t>
      </w:r>
      <w:r>
        <w:rPr>
          <w:rFonts w:ascii="arial" w:eastAsia="arial" w:hAnsi="arial" w:cs="arial"/>
          <w:color w:val="000000"/>
          <w:sz w:val="20"/>
          <w:lang w:val="en-US" w:eastAsia="en-US" w:bidi="ar-SA"/>
        </w:rPr>
        <w:t xml:space="preserve"> at paras. 44-47. The return of that document, with adequate and appropriate safeguards, would mean that 221 would now only be covered by PI privilege. That would enable counsel for the plaintiffs to argue that the court should exercise its discretion to disclose aspects of 221. Whether they would be successful in that application is a different matter. I leave it to counsel to endeavour to address these issues with each other and to then revisit them with me.</w:t>
      </w:r>
      <w:r>
        <w:rPr>
          <w:rFonts w:ascii="arial" w:eastAsia="arial" w:hAnsi="arial" w:cs="arial"/>
          <w:sz w:val="20"/>
          <w:lang w:val="en-US" w:eastAsia="en-US" w:bidi="ar-SA"/>
        </w:rPr>
        <w:cr/>
      </w:r>
    </w:p>
    <w:p>
      <w:pPr>
        <w:numPr>
          <w:numId w:val="7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Cross-examination of Ms. England and the Partial Unsealing of her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England is a Security Information Officer at Matsqui. She has sworn several affidavits in this action. One or more of these affidavits was provided to Sharma J. during the appeal from the order of Master Baker regarding document production. Such affidavits were sealed and were not provided to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Justice Sharma upheld each of the defendants' claims for privilege and at para. 44 of the Privilege Reasons said: "It is clear to me that the affiant has meticulously reviewed the documents, redacting only that which is properly protected by a privilege. Every redaction is supported by compelling evidence as to how and why disclosure would be harmful".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June 16, 2016, counsel for the defendants sent plaintiff's counsel a letter with two defence documents, CAN 1-000703 and CAN1-000704, stating that these documents were now "lesser redacted versions". These documents had been before Sharma J. and the claims for privilege within them were, as I have said, upheld - presumably on the basis of the affidavit evidence that she had before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Counsel for the plaintiff questions why the defendants claimed privilege over aspects of these two documents in the first instance, appear to have deposed that certain redactions were necessary to maintain such privilege, and have now subsequently determined that the protection of aspects of these documents is no longer necessary. They argue that the defendants are redacting, or alternatively releasing, information based on what is helpful to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affidavit of Ms. Wong, sworn June 17, 2016 and filed by the plaintiff, addresses the fact that there has been "much correspondence sent from counsel for HMQ purporting to replace already-disclosed documents with new documents that have been redacted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affidavit of Ms. Wong also describes the process that counsel for the plaintiffs have had to go through, parsing through and comparing lengthy documents that have been redacted differently at different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the Stay Reasons at para. 5, Punnett J. commented: "Part of the reason we are here and this is not denied by the defendants, is that the manner in which disclosure has unfolded has been unfortunate and for reasons unclear to me has been what I could describe as overly-vigorous with the result that it is acknowledged that certain refused disclosure and redactions should not occurred and will be remedied".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fact that there appears to be ongoing inconsistency in how the redactions to relevant but privileged material are being undertaken is disconcerting and unfortunate.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Nevertheless, I consider that this aspect of the plaintiff's application should be brought before Sharma J. It was Sharma J. who reviewed Ms. England's affidavit in the first instance, and it is she who will best appreciate what Ms. England said to support the claim of privilege over the information that the defendants have now decided to release. It is Sharma J. who should decide whether the affidavit of Ms. England, or parts of it, should be unsealed and whether cross-examination of Ms. England is, in all the circumstances,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Each of the parties requested costs in their notices of application. Because a number of applications were adjourned, and because aspects of the applications I heard remain outstanding, I have not addressed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0"/>
          <w:headerReference w:type="default" r:id="rId951"/>
          <w:footerReference w:type="even" r:id="rId952"/>
          <w:footerReference w:type="default" r:id="rId953"/>
          <w:headerReference w:type="first" r:id="rId954"/>
          <w:footerReference w:type="first" r:id="rId9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56" w:history="1">
        <w:r>
          <w:rPr>
            <w:rFonts w:ascii="arial" w:eastAsia="arial" w:hAnsi="arial" w:cs="arial"/>
            <w:b/>
            <w:bCs/>
            <w:i/>
            <w:color w:val="0077CC"/>
            <w:kern w:val="32"/>
            <w:sz w:val="28"/>
            <w:szCs w:val="32"/>
            <w:u w:val="single"/>
            <w:shd w:val="clear" w:color="auto" w:fill="FFFFFF"/>
            <w:lang w:val="en-US" w:eastAsia="en-US" w:bidi="ar-SA"/>
          </w:rPr>
          <w:t>Jam's International Ventures Ltd. v. Westbank Holdings Ltd., [2002] B.C.J. No. 2894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Baker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9, 10 and 30,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23,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C991249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2894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1788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118 A.C.W.S. (3d) 725</w:t>
      </w:r>
    </w:p>
    <w:p>
      <w:pPr>
        <w:spacing w:before="120" w:line="260" w:lineRule="atLeast"/>
        <w:rPr>
          <w:lang w:val="en-US" w:eastAsia="en-US" w:bidi="ar-SA"/>
        </w:rPr>
      </w:pPr>
      <w:r>
        <w:rPr>
          <w:rFonts w:ascii="arial" w:eastAsia="arial" w:hAnsi="arial" w:cs="arial"/>
          <w:color w:val="000000"/>
          <w:sz w:val="20"/>
          <w:lang w:val="en-US" w:eastAsia="en-US" w:bidi="ar-SA"/>
        </w:rPr>
        <w:t>Between Jam's International Ventures Ltd., Jam's International Holdings Ltd., Joseph E. McHugh and Arlene McHugh, plaintiffs, and Westbank Holdings Ltd., Westbank Projects Corporation, Westgate Shopping Centre Ltd. and Brent Sawchyn, defendants, and Neil E. Kornfeld, Maureen McCann and Kornfeld Mackoff Silver (also known as Kornfeld Mackoff &amp; Company),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6" style="position:absolute;z-index:2517032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55" w:name="Keywords_34"/>
      <w:bookmarkEnd w:id="255"/>
      <w:r>
        <w:rPr>
          <w:rFonts w:ascii="arial" w:eastAsia="arial" w:hAnsi="arial" w:cs="arial"/>
          <w:b/>
          <w:color w:val="000000"/>
          <w:sz w:val="20"/>
          <w:lang w:val="en-US" w:eastAsia="en-US" w:bidi="ar-SA"/>
        </w:rPr>
        <w:t>Practice — Parties — Adding or substituting parties — Adding or substituting defendants — Requirement that plaintiff have cause of action against party to be added — Pleadings — Amendment of pleadings — Adding new cause of action.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56" w:name="Case Summary_33"/>
            <w:bookmarkEnd w:id="25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Appeal by Jam's International Ventures and the other plaintiffs from the dismissal of their application to add Glassman as a defendant and from the dismissal of their application to further amend their Statement of Claim to allege a breach of fiduciary duty against Glassman and the defendant Westgate Shopping Centre. At all relevant times, Glassman was a director of Westgate as well as the controlling mind of the company. Jam's and the others alleged a representation by silence against Glassman. Nothing in the materials referred to any act or omission by Glassman acting in any capacity other than as the controlling mind of Westgate. The action involved the negotiation of a commercial lease. </w:t>
            </w:r>
            <w:r>
              <w:rPr>
                <w:lang w:val="en-US" w:eastAsia="en-US" w:bidi="ar-SA"/>
              </w:rPr>
              <w:cr/>
            </w:r>
          </w:p>
          <w:p>
            <w:pPr>
              <w:spacing w:before="120" w:line="260" w:lineRule="atLeast"/>
              <w:ind w:left="240"/>
              <w:jc w:val="both"/>
              <w:rPr>
                <w:lang w:val="en-US" w:eastAsia="en-US" w:bidi="ar-SA"/>
              </w:rPr>
            </w:pPr>
            <w:bookmarkStart w:id="257" w:name="Holdings of Court_32"/>
            <w:bookmarkEnd w:id="257"/>
            <w:r>
              <w:rPr>
                <w:rFonts w:ascii="arial" w:eastAsia="arial" w:hAnsi="arial" w:cs="arial"/>
                <w:color w:val="000000"/>
                <w:sz w:val="20"/>
                <w:lang w:val="en-US" w:eastAsia="en-US" w:bidi="ar-SA"/>
              </w:rPr>
              <w:t>HELD: Appeal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evidence disclosed no basis for a cause of action against Glassman personally. Jam's and the others had failed to disclose a reasonable cause of action in breach of fiduciary duty against Westgate and Glassman. Neither party was in the power of the other. The evidence fell short of establishing that Jam's and the others had the right to expect that Westgate would act in their best interest or their joint interests, to the exclusion of Westgate's own interests. </w:t>
            </w:r>
            <w:r>
              <w:rPr>
                <w:lang w:val="en-US" w:eastAsia="en-US" w:bidi="ar-SA"/>
              </w:rPr>
              <w:cr/>
            </w:r>
          </w:p>
          <w:p>
            <w:pPr>
              <w:rPr>
                <w:lang w:val="en-US" w:eastAsia="en-US" w:bidi="ar-SA"/>
              </w:rPr>
            </w:pPr>
          </w:p>
        </w:tc>
      </w:tr>
    </w:tbl>
    <w:p>
      <w:pPr>
        <w:jc w:val="both"/>
        <w:rPr>
          <w:lang w:val="en-US" w:eastAsia="en-US" w:bidi="ar-SA"/>
        </w:rPr>
      </w:pPr>
      <w:bookmarkStart w:id="258" w:name="Counsel_42"/>
      <w:bookmarkEnd w:id="25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7" style="position:absolute;z-index:2517544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Robert W. Taylor and Carey D. Veinotte, for the plaintiffs. Ross D. Ellis, for the defendant, Westgate Shopping Centre Ltd. D. Barry Kirkham, Q.C., for Elliott Glassman.</w:t>
      </w:r>
      <w:r>
        <w:rPr>
          <w:lang w:val="en-US" w:eastAsia="en-US" w:bidi="ar-SA"/>
        </w:rPr>
        <w:cr/>
      </w:r>
    </w:p>
    <w:p>
      <w:pPr>
        <w:spacing w:after="240"/>
        <w:rPr>
          <w:lang w:val="en-US" w:eastAsia="en-US" w:bidi="ar-SA"/>
        </w:rPr>
      </w:pPr>
      <w:bookmarkStart w:id="259" w:name="Judgment_40"/>
      <w:bookmarkEnd w:id="259"/>
      <w:r>
        <w:pict>
          <v:line id="_x0000_s1218" style="position:absolute;z-index:25180467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60" w:name="BAKER J."/>
            <w:bookmarkEnd w:id="260"/>
            <w:r>
              <w:rPr>
                <w:rFonts w:ascii="arial" w:eastAsia="arial" w:hAnsi="arial" w:cs="arial"/>
                <w:b/>
                <w:color w:val="000000"/>
                <w:sz w:val="30"/>
                <w:lang w:val="en-US" w:eastAsia="en-US" w:bidi="ar-SA"/>
              </w:rPr>
              <w:t>BAKER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the November 29, 2001 decision of Master Doolan. In written Reasons delivered November 29, 2001 Master Doolan disposed of certain matters and adjourned others for further submissions. The hearing before Master Doolan included matters that are not before me on this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appeal that part of Master Doolan's order dismissing the plaintiffs' application to add Elliott Glassman as a defendant. They also appeal the dismissal of their application to further amend the Statement of Claim to allege a breach of fiduciary duty against the defendant Westgate and against Elliott Glassman.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claims the plaintiffs wish to advance against Mr. Glassman are found in paragraphs 38 to 50 and 67 to 73 of the proposed Further Amended Statement of Claim found as Schedule I at Tab 12 of Volume 1 of the Chambers Record filed on the appeal. The claim of breach of fiduciary duty the plaintiffs wish to advance against the defendant Westgate is found in paragraphs 67 to 73 of the proposed Further Amended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original Statement of Claim was filed March 9, 1999. It was amended on March 25, 1999; again on May 3, 1999; and again on June 28, 1999. The action was scheduled for trial for September 2001 but adjourned to September 2003.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Before me, the parties agreed that this appeal from Master Doolan's orders should be conducted as a rehearing and it proceeded on that basis. They disagreed before me as to whether the onus on the plaintiffs/appellants is to demonstrate that the Master was wrong or "clearly wrong". It is not necessary for me to resolve that dispute because I am satisfied that the Master did not err in dismissing the plaintiffs' applications to further amend the pleadings; and did not err in dismissing the application to add Elliott Glassman as a party.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have reached this conclusion largely for the reasons given by the learned Master, but in view of the extensive submissions made by Counsel before me, I shall add brief additional comments.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Master Doolan has set out the facts of this matter in his Reasons. The plaintiffs do not dispute the facts and they are, in any event, set out in the affidavits filed for the hearing before Master Doolan and referred to on this appeal. I do not propose to repeat 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grounds of appeal are set out in some detail in the Notice of Appeal. The grounds were thoroughly canvassed in submissions before me. The plaintiffs say that Master Doolan correctly stated the law and the tests to be applied, but erred in the application of the law. Specifically, they say the Master erred by "trying" the issues raised by the proposed amendments instead of merely determining whether a reasonable cause of action exists.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Application to Add Elliott Glassman as a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is no dispute that at all relevant times, Elliott Glassman was a director of the defendant Westgate. He was the principal, controlling mind, and alter ego of that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paragraph 30 on page 19 of his Reasons, Master Doolan sets out the acts of Elliott Glassman that the plaintiffs allege constitute both negligent misrepresentations and breaches of a fiduciary duty owed to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not alleged that Glassman actively misrepresented any fact in statements made to the plaintiffs. Rather the plaintiffs allege that Glassman knew certain information that he had a duty to disclose to the plaintiffs. In other words, what is alleged is a representation by silence.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applying to join Mr. Glassman as a defendant, the plaintiffs seek to pierce the Westgate corporate veil. They seek to claim that the representations made by Mr. Glassman by silence were tortious acts for which he can be held personally liable. They also seek to allege that he personally owed the plaintiffs a fiduciary duty and that he personally breached that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evidence discloses no basis for a cause of action against Mr. Glassman personally. I note, first of all, that although there are affidavits sworn by Mr. McHugh before the court, he has not deposed that he relied on any representation made by Mr. Glassman, by silence or otherwise, and there is no evidence of reliance.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More importantly, however, nothing contained in the affidavit material or the pleadings refers to any act or omission on the part of Mr. Glassman acting in any capacity other than alter ego and controlling mind of the corporate defendant. Accepting the evidence advanced by the plaintiffs as true, that evidence does not found a cause of action against Mr. Glassman.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my view, the circumstances here are indistinguishable from the circumstances found by Justice Clancy in Rafiki Properties Ltd. v. Integrated Housing Development Ltd., </w:t>
      </w:r>
      <w:hyperlink r:id="rId957" w:history="1">
        <w:r>
          <w:rPr>
            <w:rFonts w:ascii="arial" w:eastAsia="arial" w:hAnsi="arial" w:cs="arial"/>
            <w:i/>
            <w:color w:val="0077CC"/>
            <w:sz w:val="20"/>
            <w:u w:val="single"/>
            <w:shd w:val="clear" w:color="auto" w:fill="FFFFFF"/>
            <w:lang w:val="en-US" w:eastAsia="en-US" w:bidi="ar-SA"/>
          </w:rPr>
          <w:t>(1999) 45 B.L.R. (2d) 316</w:t>
        </w:r>
      </w:hyperlink>
      <w:r>
        <w:rPr>
          <w:rFonts w:ascii="arial" w:eastAsia="arial" w:hAnsi="arial" w:cs="arial"/>
          <w:color w:val="000000"/>
          <w:sz w:val="20"/>
          <w:lang w:val="en-US" w:eastAsia="en-US" w:bidi="ar-SA"/>
        </w:rPr>
        <w:t xml:space="preserve"> (S.C.). In that case, Justice Clancy dismissed an application to add two principals of a corporate defendant as defendants in an action claiming damages for misrepresentation,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decision in Rafiki was followed by Justice Holmes in Better Off Dead Productions Inc. v. Pendulum Pictures Inc., </w:t>
      </w:r>
      <w:hyperlink r:id="rId958" w:history="1">
        <w:r>
          <w:rPr>
            <w:rFonts w:ascii="arial" w:eastAsia="arial" w:hAnsi="arial" w:cs="arial"/>
            <w:i/>
            <w:color w:val="0077CC"/>
            <w:sz w:val="20"/>
            <w:u w:val="single"/>
            <w:shd w:val="clear" w:color="auto" w:fill="FFFFFF"/>
            <w:lang w:val="en-US" w:eastAsia="en-US" w:bidi="ar-SA"/>
          </w:rPr>
          <w:t>[2002] B.C.J. No. 626</w:t>
        </w:r>
      </w:hyperlink>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2002 BCSC 462</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Claim for Breach of Fiduciary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not persuaded that the learned Master erred in concluding that the plaintiffs have failed to disclose a reasonable cause of action in breach of fiduciary duty against the defendant Westgate and the proposed defendant Glassman.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accept the plaintiffs' submission that the court should not close the door to novel claims. The court is not required, however, to allow plaintiffs to raise "straw men" that cannot withstand the breeze of legal 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this case, the parties were negotiating a lease for commercial premises. Neither was in the power of the other. They were business entities, conducting a business negotiation. Not only was "trust and loyalty" not a feature of their business relationship, but at the relevant time in the negotiation they were in conflict over the extent to which the defendant landlord was entitled to enter into leases with other tenants whom the plaintiffs considered to be their competitors. Each was looking to protect its own interests, not those of the other party.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Assuming, as I must, that the plaintiffs will be able to prove the facts they allege in their affidavits, the evidence falls far short of establishing that the plaintiffs had the right to expect that the defendants would act in the plaintiffs' interests, or even their joint interests, to the exclusion of the defendants' own interests. See Hodgkinson v. Simms, </w:t>
      </w:r>
      <w:hyperlink r:id="rId959" w:history="1">
        <w:r>
          <w:rPr>
            <w:rFonts w:ascii="arial" w:eastAsia="arial" w:hAnsi="arial" w:cs="arial"/>
            <w:i/>
            <w:color w:val="0077CC"/>
            <w:sz w:val="20"/>
            <w:u w:val="single"/>
            <w:shd w:val="clear" w:color="auto" w:fill="FFFFFF"/>
            <w:lang w:val="en-US" w:eastAsia="en-US" w:bidi="ar-SA"/>
          </w:rPr>
          <w:t>(1994) 97 B.C.L.R. (2d) 1</w:t>
        </w:r>
      </w:hyperlink>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[1994] 9 W.W.R. 609</w:t>
        </w:r>
      </w:hyperlink>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Hodgkinson v. Simms, Justice LaForest, in reviewing the indicia of a fiduciary relationship, said, at pp. 409-410 of the Supreme Court Reports: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...outside the established categories, what is required is evidence of a mutual understanding that one party has relinquished its own self-interest and agreed to act solely on behalf of the other party.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He also said, at p. 414: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Commercial interactions between parties at arm's length normally derive their social utility from the pursuit of self-interest, and the courts are rightly circumspect when asked to enforce a duty that vindicates the very antithesis of self-interest.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These remarks are particularly apt when considering that the plaintiffs here wish to allege that a fiduciary duty existed during the negotiations for a lease. In Martel Building Ltd. v. Canada, </w:t>
      </w:r>
      <w:hyperlink r:id="rId960"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2000 SCC 60</w:t>
        </w:r>
      </w:hyperlink>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[2000] S.C.J. No. 60</w:t>
        </w:r>
      </w:hyperlink>
      <w:r>
        <w:rPr>
          <w:rFonts w:ascii="arial" w:eastAsia="arial" w:hAnsi="arial" w:cs="arial"/>
          <w:color w:val="000000"/>
          <w:sz w:val="20"/>
          <w:lang w:val="en-US" w:eastAsia="en-US" w:bidi="ar-SA"/>
        </w:rPr>
        <w:t xml:space="preserve">, the Supreme Court of Canada held that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not be extended to include a duty of care on parties during negotiations. Although that case involved an allegation of breach of duty of care, and not breach of fiduciary duty, the analysis is apt.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that case, the plaintiff claimed that the appellant landlord, with whom the plaintiff was negotiating for the renewal of a lease, was negligent in not providing it with adequate information concerning the landlord's bargaining position or its readiness to conclude a renewal. The court said that the landlord's conduct could be described as "hard bargaining" and that the landlord was able to assume such a position because of the dominant position it held in the leasing market.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Nevertheless, the court said, in paragraph 67: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would defeat the essence of negotiation and hobble the marketplace to extend a duty of care to the conduct of negotiations, and to label a party's failure to disclose its bottom line, its motives or its final position as negligent. Such a conclusion would of necessity force the disclosure of privately acquired information and the dissipation of any competitive advantage derived from it, all of which is incompatible with the activity of negotiating and bargaining.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Nothing in the facts put forward by the plaintiffs before Master Doolan or on this appeal indicates any basis for an expectation on the part of the plaintiffs that the defendants would put the plaintiffs' interests ahead of their own in the negotiations for a commercial tenancy. To the contrary, it was clear that the negotiations were not only arms' length, but also adversarial and even somewhat hostile.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appeal from Master Doolan's refusal to allow the amendment for a claim in fiduciary duty must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are entitled to their costs of the appeal,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BAKER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2"/>
          <w:headerReference w:type="default" r:id="rId963"/>
          <w:footerReference w:type="even" r:id="rId964"/>
          <w:footerReference w:type="default" r:id="rId965"/>
          <w:headerReference w:type="first" r:id="rId966"/>
          <w:footerReference w:type="first" r:id="rId9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8" w:history="1">
        <w:r>
          <w:rPr>
            <w:rFonts w:ascii="arial" w:eastAsia="arial" w:hAnsi="arial" w:cs="arial"/>
            <w:b/>
            <w:bCs/>
            <w:i/>
            <w:color w:val="0077CC"/>
            <w:kern w:val="32"/>
            <w:sz w:val="28"/>
            <w:szCs w:val="32"/>
            <w:u w:val="single"/>
            <w:shd w:val="clear" w:color="auto" w:fill="FFFFFF"/>
            <w:lang w:val="en-US" w:eastAsia="en-US" w:bidi="ar-SA"/>
          </w:rPr>
          <w:t>Jeffery v. Nortel Networks Corp., [2007] B.C.J. No. 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Groberman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S015159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68 B.C.L.R. (4th) 317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C.P.C. (6th) 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154 A.C.W.S. (3d) 1022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Janie Jeffery and Ronald Mensing, Plaintiffs, and Nortel Networks Corporation, John A. Roth, Frank A. Dunn, F. William Connor and Chahram Bolouri,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0"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1" w:name="Keywords_35"/>
      <w:bookmarkEnd w:id="261"/>
      <w:r>
        <w:rPr>
          <w:rFonts w:ascii="arial" w:eastAsia="arial" w:hAnsi="arial" w:cs="arial"/>
          <w:b/>
          <w:color w:val="000000"/>
          <w:sz w:val="20"/>
          <w:lang w:val="en-US" w:eastAsia="en-US" w:bidi="ar-SA"/>
        </w:rPr>
        <w:t>Civil procedure — Settlements — Approval — Application for approval of settlement of a class proceeding allowed — The plaintiffs sued the defendant company and certain directors for damages caused when the company's share price sharply dropped after a press release that contradicted a series of earlier releases — A global settlement reached in another jurisdiction contemplated a payment of cash and shares to be allocated in proportion to the loss suffered by each class member — The court found that the proposed settlement was within an acceptable range and appropriately reflected the balance of the costs and benefits of continued litigation.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2" w:name="Case Summary_34"/>
            <w:bookmarkEnd w:id="2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Jeffery and Mensing, and the defendants, Nortel Networks and other named defendants, for approval of settlement of their class proceeding -- The plaintiffs had held shares in Nortel -- They alleged that Nortel issued a series of materially misleading press releases that inflated the price of its common shares, and then issued a contradictory release that caused the share price to drop sharply -- The class was certified as all persons that had purchased Nortel stock or options during a specified period -- Three parallel actions were commenced in other jurisdictions -- Following a judicial settlement process undertaken in the United States, and involving counsel in all jurisdictions, Nortel agreed to pay approximately US$1.16 billion in cash and shares to members of the global class, plus a percentage of any recovery it obtained in litigation against former senior corporate officers -- Damages were to be allocated in proportion to the loss suffered by each class member -- HELD: Application allowed -- The skill applied by counsel to the issues and the investigatory efforts expended were sufficient -- No collusion or extraneous considerations tainted the settlement negotiations -- Counsel's desire for fees did not motivate acceptance of an otherwise unacceptable settlement offer, as the matter of fees was to be approved in each jurisdiction -- The proposed settlement was within an acceptable range and appropriately reflected the balance of the costs and benefits of continued litigation -- In particular, the volatile value of Nortel was a factor that militated in favour of settlement -- Class members were adequately informed of the settlement through the media, internet and mail -- The number of class members that opted out of the settlement was sufficiently small that it did not suggest widespread objection -- Fees claimed by class counsel were reasonable and thus approved.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3" w:name="Legislation Cited_21"/>
      <w:bookmarkEnd w:id="2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1"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969" w:history="1">
        <w:r>
          <w:rPr>
            <w:rFonts w:ascii="arial" w:eastAsia="arial" w:hAnsi="arial" w:cs="arial"/>
            <w:i/>
            <w:color w:val="0077CC"/>
            <w:sz w:val="20"/>
            <w:u w:val="single"/>
            <w:shd w:val="clear" w:color="auto" w:fill="FFFFFF"/>
            <w:lang w:val="en-US" w:eastAsia="en-US" w:bidi="ar-SA"/>
          </w:rPr>
          <w:t>R.S.B.C. 1996, c. 50, s. 35</w:t>
        </w:r>
      </w:hyperlink>
      <w:r>
        <w:rPr>
          <w:rFonts w:ascii="arial" w:eastAsia="arial" w:hAnsi="arial" w:cs="arial"/>
          <w:color w:val="000000"/>
          <w:sz w:val="20"/>
          <w:lang w:val="en-US" w:eastAsia="en-US" w:bidi="ar-SA"/>
        </w:rPr>
        <w:t>, s. 37(7), s. 38, s. 38(2)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4" w:name="Counsel_43"/>
      <w:bookmarkEnd w:id="2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David A. Klein, Nicola C. Hartigan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Gregory J. Nash, David K. Yule, Steve J. Tenai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5" w:name="Judgment_41"/>
      <w:bookmarkEnd w:id="265"/>
      <w:r>
        <w:pict>
          <v:line id="_x0000_s1223" style="position:absolute;z-index:25184563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January 24, 2007.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6" w:name="GROBERMAN J."/>
            <w:bookmarkEnd w:id="266"/>
            <w:r>
              <w:rPr>
                <w:rFonts w:ascii="arial" w:eastAsia="arial" w:hAnsi="arial" w:cs="arial"/>
                <w:b/>
                <w:color w:val="000000"/>
                <w:sz w:val="30"/>
                <w:lang w:val="en-US" w:eastAsia="en-US" w:bidi="ar-SA"/>
              </w:rPr>
              <w:t>GROBERMAN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to approve a settlement in proceedings under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action, the plaintiffs allege that the defendant Nortel Networks Corporation ("Nortel") issued press releases between the fall of 2000 and February 15, 2001, which were materially misleading, and which had the effect of inflating the price of its common shares. On February 15, 2001, after the close of trading, Nortel issued a further press release, which contradicted its earlier financial performance forecasts. On February 16, 2001, share prices for Nortel on the Toronto Stock Exchange dropped sharply, from $46 per share to $32 per share. The share price continued to drop thereafter, and within one month, a share was valued at only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allege that they directly or indirectly relied on the company's press releases in purchasing Nortel shares, and that they suffered damages when they held those shares beyond February 15, 2001. They claim compensation for those damages against Nortel and against the defendants Roth, Connor and Bolouri, who were directors and officers of Nortel at material times. The action has been discontinued as against Dunn.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June 27, 2006, I conditionally certified the action for the purpose of considering the fairness of the proposed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class that has been certified is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persons and entities, except Excluded Persons who, while resident in British Columbia at the time, purchased Nortel common stock or call options on Nortel common stock or wrote (sold) put options on Nortel common stock during the ... period [from October 24, 2000 to February 15, 2001,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reasons that I gave at the time of the conditional certification, I am satisfied that the class as defined is appropriate, and propose to consider the settlement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There are three parallel actions in other jurisdictions: </w:t>
      </w:r>
      <w:r>
        <w:rPr>
          <w:rFonts w:ascii="arial" w:eastAsia="arial" w:hAnsi="arial" w:cs="arial"/>
          <w:b/>
          <w:i/>
          <w:color w:val="000000"/>
          <w:sz w:val="20"/>
          <w:lang w:val="en-US" w:eastAsia="en-US" w:bidi="ar-SA"/>
        </w:rPr>
        <w:t>In re Nortel Networks Corp. Securities Litigation</w:t>
      </w:r>
      <w:r>
        <w:rPr>
          <w:rFonts w:ascii="arial" w:eastAsia="arial" w:hAnsi="arial" w:cs="arial"/>
          <w:color w:val="000000"/>
          <w:sz w:val="20"/>
          <w:lang w:val="en-US" w:eastAsia="en-US" w:bidi="ar-SA"/>
        </w:rPr>
        <w:t xml:space="preserve">, Consolidated Civil Action No. 2001 Civ 1855 (RMB), proceeding in the United States District Court for the Southern District of New York; </w:t>
      </w:r>
      <w:r>
        <w:rPr>
          <w:rFonts w:ascii="arial" w:eastAsia="arial" w:hAnsi="arial" w:cs="arial"/>
          <w:b/>
          <w:i/>
          <w:color w:val="000000"/>
          <w:sz w:val="20"/>
          <w:lang w:val="en-US" w:eastAsia="en-US" w:bidi="ar-SA"/>
        </w:rPr>
        <w:t>Frohlinger v. Nortel Networks Corporation</w:t>
      </w:r>
      <w:r>
        <w:rPr>
          <w:rFonts w:ascii="arial" w:eastAsia="arial" w:hAnsi="arial" w:cs="arial"/>
          <w:color w:val="000000"/>
          <w:sz w:val="20"/>
          <w:lang w:val="en-US" w:eastAsia="en-US" w:bidi="ar-SA"/>
        </w:rPr>
        <w:t xml:space="preserve">, No. 02-CL-4605 in Ontario's Superior Court of Justice; and </w:t>
      </w:r>
      <w:r>
        <w:rPr>
          <w:rFonts w:ascii="arial" w:eastAsia="arial" w:hAnsi="arial" w:cs="arial"/>
          <w:b/>
          <w:i/>
          <w:color w:val="000000"/>
          <w:sz w:val="20"/>
          <w:lang w:val="en-US" w:eastAsia="en-US" w:bidi="ar-SA"/>
        </w:rPr>
        <w:t>Association de Protection des Épargnants et Investisseurs du Québec c. Corporation Nortel Networks</w:t>
      </w:r>
      <w:r>
        <w:rPr>
          <w:rFonts w:ascii="arial" w:eastAsia="arial" w:hAnsi="arial" w:cs="arial"/>
          <w:color w:val="000000"/>
          <w:sz w:val="20"/>
          <w:lang w:val="en-US" w:eastAsia="en-US" w:bidi="ar-SA"/>
        </w:rPr>
        <w:t>, No. 500-06-000126-017 (District de Montréal) in Quebec's Cour Supérieure. These four actions have been the subject of a joint settlement, which is conditional upon the approval of all four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Both the "worldwide" action in the U.S. District Court and the Canada-wide action in Ontario's Superior Court of Justice could potentially have included the class represented in the current action. Nonetheless, both because of concerns over the possibility that the other actions would not be certified, and to ensure that the British Columbia plaintiffs had recourse to an action in the event that they were dissatisfied with any arrangements made in other jurisdictions, the plaintiffs decided to initiate and continue the current action. The work of plaintiffs' counsel in British Columbia, however, has been much less than it would have been had the U.S. and Ontario actions not been extant. While there has been work of considerable value done by counsel locally, the bulk of the counsel work has been performed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Proposed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February 8, 2006, a conditional settlement was reached in the U.S. litigation, in a mediation process. Certain of the conditions were satisfied thereafter, and counsel in the other jurisdictions then participated in negotiating a settlement agreement settling all of the outstanding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Pursuant to the settlement, Nortel and its insurers are to pay a total of US$431,667,428.48 to the members of the global class. The funds have been deposited in an interest-bearing trust account pending implementation of the settlement. In addition, Nortel agreed to provide free-trading common shares representing approximately 7.25% of the company's equity to members of the global class. The number of shares that were to be furnished in the settlement was initially 314,333,875, but as a result of a recent share consolidation, the number of new shares will be 1/10 of that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total value of the settlement will depend on the share price at the date of implementation, but is approximately US$1.16 billion. In addition to that amount, the plaintiff class will be entitled to receive 1/4 of any recovery that Nortel obtains in certain litigation against former senior corporate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Plan of Allocation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Because the settlement settles worldwide claims, it is not possible, at this time, to calculate the proportion of the settlement proceeds that will go to members of the British Columbia class. They will be treated the same as members of the worldwide, Ontario, and Quebec classes. The amount each receives will be based on the number of shares that they purchased during the relevant period, and the purchase price of those shares. The goal is to allocate the damages in proportion to the loss that each class member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need not detail all of the provisions in the settlement agreement. Among the key provisions are those that ensure that claimants will be entitled to a </w:t>
      </w:r>
      <w:r>
        <w:rPr>
          <w:rFonts w:ascii="arial" w:eastAsia="arial" w:hAnsi="arial" w:cs="arial"/>
          <w:i/>
          <w:color w:val="000000"/>
          <w:sz w:val="20"/>
          <w:lang w:val="en-US" w:eastAsia="en-US" w:bidi="ar-SA"/>
        </w:rPr>
        <w:t>pro rata</w:t>
      </w:r>
      <w:r>
        <w:rPr>
          <w:rFonts w:ascii="arial" w:eastAsia="arial" w:hAnsi="arial" w:cs="arial"/>
          <w:color w:val="000000"/>
          <w:sz w:val="20"/>
          <w:lang w:val="en-US" w:eastAsia="en-US" w:bidi="ar-SA"/>
        </w:rPr>
        <w:t xml:space="preserve"> share of the damages, that no amount will be returned to the defendants, even if the take up rate of the settlement is lower than expected, and that "put" and "call" option holders will be compensated in a manner that attempts to ensure that their entitlement is proportionate.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Applications for Approval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Courts in all four jurisdictions in which parallel class actions are proceeding have heard applications for approval of the settlement. The U.S. District Court has approved the settlement and plan of allocation in a decision of the Honourable Judge Berman pronounced December 26, 2006. I understand that the application for approval of counsel fees remains under reserve in that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application before the Ontario's Superior Court of Justice was heard by Winkler R.S.J. on November 6, 2006, and the application before the Quebec's Cour Supérieure was heard by Monast J.C.S. on November 16, 2006. Decisions as to whether to approve the settlement and plan of allocation are under reserve in those courts. The issue of approval of counsel fees has, I understand, been argued in the Ontario case, but was adjourned in the Quebec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close of argument, counsel for the parties indicated that they had no objection to the judges in the four jurisdictions engaging in confidential communications that they considered necessary. Pursuant to that consent, I have engaged in limited confidential communications with both Mr. Justice Winkler and Madame Justice Monast.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Tests for the Approval of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Section 35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provides that settlement of a class proceeding may only occur with the approval of the court. In determining whether a settlement should be approved, the court must determine whether the settlement is "fair and reasonable and in the best interests of the class as a whole". The court is not required to determine whether the settlement is the best that could possibly be achieved; what is required is that the settlement fall within a range of reasonableness (</w:t>
      </w:r>
      <w:r>
        <w:rPr>
          <w:rFonts w:ascii="arial" w:eastAsia="arial" w:hAnsi="arial" w:cs="arial"/>
          <w:b/>
          <w:i/>
          <w:color w:val="000000"/>
          <w:sz w:val="20"/>
          <w:lang w:val="en-US" w:eastAsia="en-US" w:bidi="ar-SA"/>
        </w:rPr>
        <w:t>Sawatzky v. Societe Chirugiale Instrumentarium Inc.</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(1999), 71 B.C.L.R. (3d) 51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factors to be considered in approving a class proceeding settlement are now well-established. In </w:t>
      </w:r>
      <w:r>
        <w:rPr>
          <w:rFonts w:ascii="arial" w:eastAsia="arial" w:hAnsi="arial" w:cs="arial"/>
          <w:b/>
          <w:i/>
          <w:color w:val="000000"/>
          <w:sz w:val="20"/>
          <w:lang w:val="en-US" w:eastAsia="en-US" w:bidi="ar-SA"/>
        </w:rPr>
        <w:t>Haney Iron Works Ltd. v. Manufacturers Life Insurance Co</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(1998), 169 D.L.R. (4th) 565</w:t>
        </w:r>
      </w:hyperlink>
      <w:r>
        <w:rPr>
          <w:rFonts w:ascii="arial" w:eastAsia="arial" w:hAnsi="arial" w:cs="arial"/>
          <w:color w:val="000000"/>
          <w:sz w:val="20"/>
          <w:lang w:val="en-US" w:eastAsia="en-US" w:bidi="ar-SA"/>
        </w:rPr>
        <w:t xml:space="preserve"> (B.C.S.C.), Brenner J. (as he then was) quoted with approval the judgment of Sharpe J. (as he then was) in </w:t>
      </w:r>
      <w:r>
        <w:rPr>
          <w:rFonts w:ascii="arial" w:eastAsia="arial" w:hAnsi="arial" w:cs="arial"/>
          <w:b/>
          <w:i/>
          <w:color w:val="000000"/>
          <w:sz w:val="20"/>
          <w:lang w:val="en-US" w:eastAsia="en-US" w:bidi="ar-SA"/>
        </w:rPr>
        <w:t>Dabbs v. Sun Life Assurance Co. of Canada</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[1998] O.J. No. 1598</w:t>
        </w:r>
      </w:hyperlink>
      <w:r>
        <w:rPr>
          <w:rFonts w:ascii="arial" w:eastAsia="arial" w:hAnsi="arial" w:cs="arial"/>
          <w:color w:val="000000"/>
          <w:sz w:val="20"/>
          <w:lang w:val="en-US" w:eastAsia="en-US" w:bidi="ar-SA"/>
        </w:rPr>
        <w:t xml:space="preserve"> (S.C.) setting out standards for approval. Both Sharpe J. and Brenner J. considered the eight factors set out in </w:t>
      </w:r>
      <w:r>
        <w:rPr>
          <w:rFonts w:ascii="arial" w:eastAsia="arial" w:hAnsi="arial" w:cs="arial"/>
          <w:i/>
          <w:color w:val="000000"/>
          <w:sz w:val="20"/>
          <w:lang w:val="en-US" w:eastAsia="en-US" w:bidi="ar-SA"/>
        </w:rPr>
        <w:t>Newberg on Class Actions</w:t>
      </w:r>
      <w:r>
        <w:rPr>
          <w:rFonts w:ascii="arial" w:eastAsia="arial" w:hAnsi="arial" w:cs="arial"/>
          <w:color w:val="000000"/>
          <w:sz w:val="20"/>
          <w:lang w:val="en-US" w:eastAsia="en-US" w:bidi="ar-SA"/>
        </w:rPr>
        <w:t xml:space="preserve"> (3rd ed.) para. 11.43 to be apt in a Canadian context. The eight factors are as follows:</w:t>
      </w:r>
      <w:r>
        <w:rPr>
          <w:rFonts w:ascii="arial" w:eastAsia="arial" w:hAnsi="arial" w:cs="arial"/>
          <w:sz w:val="20"/>
          <w:lang w:val="en-US" w:eastAsia="en-US" w:bidi="ar-SA"/>
        </w:rPr>
        <w:cr/>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Likelihood of recovery or likelihood of success;</w:t>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Amount and nature of discovery, evidence or investigation;</w:t>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Settlement terms and conditions;</w:t>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Recommendations and experience of counsel;</w:t>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expense and likely duration of litigation;</w:t>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Recommendations of neutral parties, if any;</w:t>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Number of objectors and nature of objections; and</w:t>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arms-length bargaining and the absence of collusion.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Fakhri v. Alfalfa's Canada, Inc.</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2005 BCSC 1123</w:t>
        </w:r>
      </w:hyperlink>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20 C.P.C. (6th) 70</w:t>
        </w:r>
      </w:hyperlink>
      <w:r>
        <w:rPr>
          <w:rFonts w:ascii="arial" w:eastAsia="arial" w:hAnsi="arial" w:cs="arial"/>
          <w:color w:val="000000"/>
          <w:sz w:val="20"/>
          <w:lang w:val="en-US" w:eastAsia="en-US" w:bidi="ar-SA"/>
        </w:rPr>
        <w:t xml:space="preserve"> at para. 8, Gerow J. added two additional factors to this list: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degree and nature of communications by counsel and the representative plaintiffs with class members during litigation;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conveying to the court the dynamics of, and the positions taken by the parties during the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Reid v. Ford Motor Co.</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[2006] B.C.J. No. 2182</w:t>
        </w:r>
      </w:hyperlink>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2006 BCSC 1454</w:t>
        </w:r>
      </w:hyperlink>
      <w:r>
        <w:rPr>
          <w:rFonts w:ascii="arial" w:eastAsia="arial" w:hAnsi="arial" w:cs="arial"/>
          <w:color w:val="000000"/>
          <w:sz w:val="20"/>
          <w:lang w:val="en-US" w:eastAsia="en-US" w:bidi="ar-SA"/>
        </w:rPr>
        <w:t>, at paragraph 11, Gerow J. produced a slightly different list, this time adding the following as a factor:</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counsel fees were negotiated in the settlement, and if so, how big a factor are they;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actually the eighth factor in Gerow J.'s list in </w:t>
      </w:r>
      <w:r>
        <w:rPr>
          <w:rFonts w:ascii="arial" w:eastAsia="arial" w:hAnsi="arial" w:cs="arial"/>
          <w:b/>
          <w:i/>
          <w:color w:val="000000"/>
          <w:sz w:val="20"/>
          <w:lang w:val="en-US" w:eastAsia="en-US" w:bidi="ar-SA"/>
        </w:rPr>
        <w:t>Reid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various factors considered in </w:t>
      </w:r>
      <w:r>
        <w:rPr>
          <w:rFonts w:ascii="arial" w:eastAsia="arial" w:hAnsi="arial" w:cs="arial"/>
          <w:b/>
          <w:i/>
          <w:color w:val="000000"/>
          <w:sz w:val="20"/>
          <w:lang w:val="en-US" w:eastAsia="en-US" w:bidi="ar-SA"/>
        </w:rPr>
        <w:t>Dabbs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Sawatzky</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Fakhri</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Reid</w:t>
      </w:r>
      <w:r>
        <w:rPr>
          <w:rFonts w:ascii="arial" w:eastAsia="arial" w:hAnsi="arial" w:cs="arial"/>
          <w:color w:val="000000"/>
          <w:sz w:val="20"/>
          <w:lang w:val="en-US" w:eastAsia="en-US" w:bidi="ar-SA"/>
        </w:rPr>
        <w:t xml:space="preserve"> do not form an exhaustive list, nor will all of them be relevant in every case. It seems to me that the various factors can be subsumed into four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first looks at the process by which the settlement has been reached. A court does not conduct independent investigations into the adequacy of a settlement; rather, it depends on the evidence put before it by the parties. The court must, therefore, be able to assess the completeness and candour of the evidence presented. In order to do this, it must satisfy itself that the investigations leading up to the settlement have been adequate, and that the settlement itself is not collusive or motivated by improper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would describe the first category of considerations for the court as those dealing with the adequacy of the groundwork done by counsel before entering into a settlement. Has counsel of sufficient expertise performed sufficient work to give the court confidence that the settlement proposal is based on a proper appreciation of the background facts, and does not spring from ignorance of important details? Of the factors listed above, factors 2 and 4 go primarily to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second category of considerations is also concerned with the settlement process. Is the court confident that the proposed settlement is the product of a reasonable negotiating process, in which the parties have reached an agreement without collusion and without extraneous facts motivating the negotiators? Of the factors listed in para. 18 above, factors 8, 10 and 11 are examples of considerations that will assist the court in determining the adequacy of the negotiation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If the court is satisfied that the process leading to settlement was satisfactory, it will be in a position to consider the third and most important category of considerations: the substance of the settlement. Does the proposal reflect an appropriate balancing of the costs and benefits of settlement? In other words, should the matter be settled on the proposed terms, or would the plaintiffs be better served by continuing the litigation. Of the factors listed above, numbers 1, 3, 5 and 6 are primarily concerned with this overall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Even if the settlement appears to be acceptable, the court must be cognizant of the fact that it is dealing with the rights of the members of the represented class. Parties represented in a class action by the representative plaintiff may play very limited roles in directing the litigation, but it remains the fact that it is conducted for their benefit. There is, therefore, a fourth category of considerations, which concerns itself with the views of the class members. The court must consider whether class members have been adequately informed of the proposed settlement, and whether they have, for the most part, found it to be an appropriate one. Factors 7 and 9 in the above list are considerations that form part of this fourth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If there is an indication that a large proportion of the class are not satisfied with the settlement, the court should be cautious in approaching the application for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summary, then, the court must consider four broad questions before approving the settlement of a class actions: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counsel of sufficient experience and ability undertaken sufficient investigations to satisfy the court that the settlement is based on a proper analysis of the claim?</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any reason to believe that collusion or extraneous considerations have influenced negotiations such that an inappropriate settlement may have been reached?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cost/benefit analysis, are the plaintiffs well-served by accepting the settlement rather than proceeding with the litigation? 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sufficient information been provided to the members of the class represented by representative plaintiffs, and, if so, are they generally favourably disposed to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Has Counsel of Sufficient Experience and Ability Undertaken Sufficient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Counsel for the plaintiffs in the various jurisdictions appear to be experienced in class proceedings, and to be recognized as skilled litigators. Certainly that is the case with the plaintiffs' British Columbia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appears that there have been very significant resources devoted to determining the facts underlying the claim, and to assessing the strength of the case. Substantial discovery processes have been undertaken, and experts have been engaged to analyse the issue of damages. Through discovery, expert analysis, and mediation, the plaintiffs have gained adequate knowledge of the financial position of the defendant. These procedures, along with meticulous legal research have allowed the plaintiffs to assess the strength of their case. I am satisfied that both the skill brought to bear on the issues and the effort expended have been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Have Collusion or Extraneous Considerations Tainted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settlement agreement is the product of a judicial settlement process undertaken before Judge Robert W. Sweet of the U.S. District Court for the Southern District of New York. There is no suggestion that the negotiations were other than at arms length, or that any party was influenced by extraneous considerations. Indeed, the settlement appears to be the product of a gruelling negotiation process. I am satisfied that the result is a hard-fought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only extraneous factor that might be suggested is the interest of counsel in getting paid. I am satisfied, however, that counsel's desire for fees did not motivate them to accept a settlement offer that might otherwise be unacceptable. It should be noted that the settlement itself does not determine the amount of counsel fees that will be paid. Counsel's fees must be approved by the courts of the various jurisdictions. In any event, there is no reason to believe that counsel's interests in any way diverged from those of their clients. Counsel were aware that achieving the best settlement for their clients in this case would also enhance their own prospects of being well-remunerated.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satisfied that no inappropriate considerations motivated counsel in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Cost/Benefit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assessing whether the proposed settlement is within the range of those which are reasonable, the court must balance the amount of the settlement against the potential for greater compensation for the plaintiffs if the litigation is allowed to continue, on the one hand, and the costs and risks attendant on such litigation, on the other.</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Potential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are difficulties in estimating the amount by which the price of Nortel shares was inflated by the alleged misrepresentations. The parties have placed before the court an estimate by Ms. Jane D. Nettesheim, a financial economist, and vice president of Stanford Consulting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analysis is based on the decrease in value of Nortel shares on February 16, 2001. Ms. Nettesheim estimates the inflation caused by the misrepresentation as the difference between the diminution in value of Nortel common shares and the diminution in the value of other shares on the exchange on that day. In this way, she attempts to separate the factors unique to Nortel's share price collapse from more general market forces that were at work. Ms. Nettesheim estimates that the misstatements resulted in an artificial inflation of Nortel's share values by 27.5%, or a total of $7.1 billion.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have also filed an affidavit of Professor Ron Giammarino of the University of British Columbia Faculty of Commerce and Business Administration. Professor Giammarino endorses Ms. Nettesheim's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I indicated to counsel during the hearing of this matter, Ms. Nettesheim's report appears to me to represent a significant simplification of matters, and without further evidence, it is difficult to know what weight should be given to it. In particular, it would have been helpful had she addressed questions such as the following:</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Nortel press release responsible for a general decline in investor confidence on February 16, such as to have been partially responsible for the drop in share prices for companies other than Nortel?</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other hand, did the sale of Nortel shares provide investors with capital that was invested elsewhere, thus dampening the decline in share prices for other companies?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there factors other than the Nortel press release that might have been at work - in particular, despite the market efficiency that is postulated, might there have been other bases for a correction in the price of Nortel common shares?</w:t>
      </w:r>
    </w:p>
    <w:p>
      <w:pPr>
        <w:numPr>
          <w:numId w:val="1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effect of the February 15, 2001 press release fully reflected in the market on February 16, 2001, or did the losses on subsequent days also reflect a correction based on the press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have, as I have indicated, little evidence before me by which I can gauge the effect of these and other factors on Ms. Nettesheim's damage assessment. Based on what I do have before me, it appears to me that while the analysis of Ms. Nettesheim has some value as evidence, it represents a conservative estimate of the plaintiffs'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there are many variables that will affect the actual recovery of class members, it appears that it will exceed 11% of the damages that they suffered based on Ms. Nettesheim's damage estimates. This recovery, while not insignificant, does not represent a particularly high rate of recovery.</w:t>
      </w:r>
      <w:r>
        <w:rPr>
          <w:rFonts w:ascii="arial" w:eastAsia="arial" w:hAnsi="arial" w:cs="arial"/>
          <w:sz w:val="20"/>
          <w:lang w:val="en-US" w:eastAsia="en-US" w:bidi="ar-SA"/>
        </w:rPr>
        <w:cr/>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Litigation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the parties point out, there are a number of risks facing the plaintiffs in this case. First, there is the issue of certification. I have conditionally certified the class proceeding in this case, for the purpose of settlement. The certification is without prejudice to the defendants' right to revisit the issue if the settlement is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some doubt as to whether the plaintiff class would be certified in the face of objection by the defendants. There are cases in which issues of concern to some investors have been found not to raise "common issues" and in which a class proceeding has been found not to be the preferable procedure (</w:t>
      </w:r>
      <w:r>
        <w:rPr>
          <w:rFonts w:ascii="arial" w:eastAsia="arial" w:hAnsi="arial" w:cs="arial"/>
          <w:b/>
          <w:i/>
          <w:color w:val="000000"/>
          <w:sz w:val="20"/>
          <w:lang w:val="en-US" w:eastAsia="en-US" w:bidi="ar-SA"/>
        </w:rPr>
        <w:t>Samos Investments Inc. v. Pattison</w:t>
      </w:r>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2003 BCCA 87</w:t>
        </w:r>
      </w:hyperlink>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10 B.C.L.R. (4th) 234</w:t>
        </w:r>
      </w:hyperlink>
      <w:r>
        <w:rPr>
          <w:rFonts w:ascii="arial" w:eastAsia="arial" w:hAnsi="arial" w:cs="arial"/>
          <w:color w:val="000000"/>
          <w:sz w:val="20"/>
          <w:lang w:val="en-US" w:eastAsia="en-US" w:bidi="ar-SA"/>
        </w:rPr>
        <w:t xml:space="preserve"> is an example). In the case at bar, there are significant differences among the members of the plaintiff class, in terms of the timing of their purchase and sale of shares, the representations that they were aware of at material times, and the nature of their purchases or sales (some of the class members dealt in call or put options rather than in shares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While I am disposed to think that these differences would not prevent certification of this matter, even in the face of objections by the defendants, I accept that the matter is not an entirely clear one. The plaintiffs face a risk, if not a particularly large one, that the matter might not be certified, or, if certified, might later be decertified. Without certification, I have little doubt that many members of the plaintiff class would be unable to pursue any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also face potential difficulties in their claim of negligent misrepresentation, in that they must demonstrate reliance on the defendants' misrepresentations. Many of the members of the plaintiff class may be unable to demonstrate actual reliance on representations made in Nortel's press release. The settled law does not make it clear that investors in the stock market will succeed in an action for negligent misrepresentation when their reliance on a misrepresentation is only implicit or indirect. While I expect that such indirect or implicit reliance would be sufficient to found the cause of action, I accept that the plaintiff's face some risk in proceeding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Other potential difficulties facing the plaintiffs include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 by the defendants, and proof that their damages are causally related to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fraud). While the material before me suggests that the plaintiffs have a fairly strong case on both of these issues, I accept that the risk of being unsuccessful on one or both of them is not negligible.</w:t>
      </w:r>
      <w:r>
        <w:rPr>
          <w:rFonts w:ascii="arial" w:eastAsia="arial" w:hAnsi="arial" w:cs="arial"/>
          <w:sz w:val="20"/>
          <w:lang w:val="en-US" w:eastAsia="en-US" w:bidi="ar-SA"/>
        </w:rPr>
        <w:cr/>
      </w:r>
    </w:p>
    <w:p>
      <w:pPr>
        <w:numPr>
          <w:numId w:val="1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Nortel's Ability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By far the biggest risk facing the plaintiffs is the risk that the defendants will be unable to satisfy any judgment that they obtain.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value of the defendant company has been notoriously volatile. It is reasonable to believe that the present litigation, and other litigation, has had and, if not settled, would continue to have a destabilizing effect on the company. When that destabilizing effect is added to the volatility of the markets for Nortel's products and services, it leads to the very significant possibility that the plaintiffs would be unable to recover any award given them after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is strong reason to believe that the plaintiffs will be best served if Nortel is allowed to remain as a viable enterprise. Many members of the plaintiff class still hold Nortel stock, and, under the proposed settlement, they will receive some compensation in Nortel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More importantly, the plaintiffs say that the settlement that has been reached represents the most the Nortel can reasonably pay in cash, and also includes shares that represent substantially all of Nortel's capacity to issue new common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While it is true that the plaintiffs might recover substantially more damages at trial than they will obtain under the proposed settlement, I am satisfied that the risks and costs of going ahead with the litigation are not justified by the potential gains. The proposed settlement passes the cost/benefit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Are the Class Members Adequately Informed, and Do they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turn, then, to the fourth category of considerations - the views of the class members.</w:t>
      </w:r>
      <w:r>
        <w:rPr>
          <w:rFonts w:ascii="arial" w:eastAsia="arial" w:hAnsi="arial" w:cs="arial"/>
          <w:sz w:val="20"/>
          <w:lang w:val="en-US" w:eastAsia="en-US" w:bidi="ar-SA"/>
        </w:rPr>
        <w:cr/>
      </w:r>
    </w:p>
    <w:p>
      <w:pPr>
        <w:numPr>
          <w:numId w:val="1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Notice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June 27, 2006, the court made an order for publication of notice of the settlement application, and that order has been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efforts to give notice to potential class members in this case have been thorough. There has been a broad media campaign to publicize the proposed settlement and the court processes. There has also been a direct mail campaign directed at probable investors. I am advised that over 1.2 million claim packages were mailed to persons around the world. In addition, packages have been available through the worldwide web site </w:t>
      </w:r>
      <w:r>
        <w:rPr>
          <w:rFonts w:ascii="arial" w:eastAsia="arial" w:hAnsi="arial" w:cs="arial"/>
          <w:i/>
          <w:color w:val="000000"/>
          <w:sz w:val="20"/>
          <w:lang w:val="en-US" w:eastAsia="en-US" w:bidi="ar-SA"/>
        </w:rPr>
        <w:t>www.nortelsecuritieslitigation.com</w:t>
      </w:r>
      <w:r>
        <w:rPr>
          <w:rFonts w:ascii="arial" w:eastAsia="arial" w:hAnsi="arial" w:cs="arial"/>
          <w:color w:val="000000"/>
          <w:sz w:val="20"/>
          <w:lang w:val="en-US" w:eastAsia="en-US" w:bidi="ar-SA"/>
        </w:rPr>
        <w:t xml:space="preserve"> on the internet. Toll-free telephone lines have been set up, and it appears that class counsel and the Claims Administrator have received innumerable calls from potential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short, all reasonable efforts have been made to ensure that potential members of the class have had notice of the proposal and a reasonable opportunity was provided for class members to register their objections, or seek exclusion from the settlement.</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Response of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Class members had until September 19, 2006 to file objections to or to seek exclusion from the settlement, and until November 20, 2006 to file claims forms. Approximately 132,000 claimants have filed claims worldwide, approximately 5,000 of whom are potential members of the British Columbia class. Thirteen members of the British Columbia class have filed requests to be excluded from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Among persons who appear to be members of the British Columbia class, there has been only a single objection to the settlement that has been filed. The substance of the objection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correctly understand the papers outlining the distribution, the people who are suffering the effects of the inflated stocks will receive mere pennies for each stock they purchased. At the same time, those who are attempting to, in part "right the wrong", namely the attorneys and their respective companies, will not only be receiving payment for their "fees", at a very high rate per hour, but also for the "expenses". After reading the amounts requested by some of the firms one is tempted to believe this entire exercise is a farce! True consideration is not really being given to those who were deliberately misled. Rather, it is proposed that those with the most power benefit.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recognize the extensive training and certain level of expertise the attorneys involved have, I would hope that someone with equal power would still have the decency to rule that those individuals actually losing money due to misrepresentation would be properly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objection can be fairly said to raise two issues. First, the objector considers the settlement amount to be too low. While she is not correct in suggesting that the settlement will amount to "mere pennies for each stock ... purchased," it is the case that the settlement will compensate investors for only a fraction of their losses. I have taken the objector's views into account in the cost/benefit analysis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other concern expressed is with respect to lawyers' fees and disbursements. To some extent, this concern may have been diminished by counsels' decisions to reduce their fees from those originally authorized in the proposed settlement. However, I suspect that the fees that are claimed will remain upsetting to the objector. Her point is easily understood - the cost of complex litigation is exorbitant, and it must seem to many successful plaintiffs that the process of going to court has meant that a just resolution has come with a very high price tag.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appropriateness of lawyers' fees is not, however, a factor in determining the appropriateness of the proposed settlement here. Subject to what I have to say below on the subject of fees for lawyers in other jurisdictions, the court must determine the appropriateness of the fees separately from the appropriateness of the settlement. The lawyers will be entitled only to those fees that the court is convinced are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 small number of British Columbia residents who might be part of the plaintiff class have opted out of the settlement, presumably in order to be free to pursue their remedies individually. I am satisfied that the number is sufficiently small that it does not suggest any widespread dissatisfaction with the agreement among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addition to the one objection from a British Columbia class member that I have mentioned, there have been thirty-five objections from persons who do not belong to the class. Some are not members of the plaintiff class in any jurisdiction, and complain that the class has not been defined broadly enough to include their potential claims. That does not appear to me to be an appropriate consideration at this stage - I have already ruled on the appropriateness of the class definition in granting conditional certification of this action. As I have indicated, I am not persuaded that the certified class is in any way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To the extent that members of the plaintiff classes in the Quebec, Ontario, or United States litigation have registered objections, it is my view that the substance of those objections can be (and has been) taken into account by the court in considering the cost/benefit analysis. They are, on the other hand, not relevant to the separate issue of whether there is significant dissatisfaction with the settlement among members of the plaintiff class. My jurisdiction extends only to approving or disapproving of the settlement in respect of persons represented by the representative plaintiff in the British Columbia litigation. It is dissatisfaction with the settlement within that class that I must be concerned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class over which I have jurisdiction has been adequately informed of the proceedings and of the proposed settlement. There is very little objection to the proposed settlement among members of that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Acceptability of the Settlement -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terms of the settlement itself are unexceptional. The compensation package is a large one, and I am convinced that the plaintiffs have succeeded in obtaining a settlement near the limits of Nortel's ability to pay. The plaintiffs will also retain certain rights to be compensated if Nortel succeeds in its actions against certain former directors and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proposed claims administration process is an efficient one, and the settlement appears to me to be a fair and equitable one in terms of the distribution of settlement funds among the claimants. The court, of course, will have ongoing jurisdiction over issues that may arise regarding class membership and the administration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therefore satisfied that the settlement is an appropriate one, and that it ought to be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Counsel for the plaintiffs in each jurisdiction worked together to achieve settlement, and they each seek payment of their fees out of the global settlement. U.S. counsel seek 8.5% of the total amount. Quebec counsel seek 0.45%. Ontario counsel seek $2.5 million, with the possibility of additional fees for work to be done after approval of the settlement. British Columbia counsel seek fees of $1,000,000, together with tax of $130,000 and disbursements of $21,434.13, for a total amount of $1,151,434.13.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Section 38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provides that the court must approve fees and disbursements to be paid to a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fee agreement originally entered into by the representative plaintiffs and British Columbia counsel calls for a fee of 1/3 of the amount recovered by the plaintiff class. Section 38(2)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provides that the agreement is not enforceable unless approved by the court. Counsel has chosen not to seek to enforce the agreement. While the amount that will be recovered by the British Columbia class is uncertain, it is clear that the aggregate amount being sought for counsel fees will be far less than 1/3 of the total amount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As counsel is not attempting to enforce the fee agreement, I am required, pursuant to s. 37(7) of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to "determine the amount owing to the solicitor in respect of fees and disbursements." I will first address the issue of the appropriateness of the fees for British Columbia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British Columbia courts have considered a number of factors in assessing the reasonableness of the fees sought by counsel. The list includes: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results achieved;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risks undertaken;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expended;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responsibility assumed by counsel;</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matter to the client;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and skill of counsel;</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class to pay;</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client and the class expectation; and</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fees in similar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for example, </w:t>
      </w:r>
      <w:r>
        <w:rPr>
          <w:rFonts w:ascii="arial" w:eastAsia="arial" w:hAnsi="arial" w:cs="arial"/>
          <w:b/>
          <w:i/>
          <w:color w:val="000000"/>
          <w:sz w:val="20"/>
          <w:lang w:val="en-US" w:eastAsia="en-US" w:bidi="ar-SA"/>
        </w:rPr>
        <w:t>Cardozo v. Becton, Dickinson and Co.</w:t>
      </w:r>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2005 BCSC 1612</w:t>
        </w:r>
      </w:hyperlink>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29 C.P.C. (6th) 112</w:t>
        </w:r>
      </w:hyperlink>
      <w:r>
        <w:rPr>
          <w:rFonts w:ascii="arial" w:eastAsia="arial" w:hAnsi="arial" w:cs="arial"/>
          <w:color w:val="000000"/>
          <w:sz w:val="20"/>
          <w:lang w:val="en-US" w:eastAsia="en-US" w:bidi="ar-SA"/>
        </w:rPr>
        <w:t xml:space="preserve"> at para. 25. A similar list appears in </w:t>
      </w:r>
      <w:r>
        <w:rPr>
          <w:rFonts w:ascii="arial" w:eastAsia="arial" w:hAnsi="arial" w:cs="arial"/>
          <w:b/>
          <w:i/>
          <w:color w:val="000000"/>
          <w:sz w:val="20"/>
          <w:lang w:val="en-US" w:eastAsia="en-US" w:bidi="ar-SA"/>
        </w:rPr>
        <w:t>White v. Canada (Attorney General)</w:t>
      </w:r>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[2006] B.C.J. No. 760</w:t>
        </w:r>
      </w:hyperlink>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2006 BCSC 561</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case at bar, the settlement achieved is a good one. The plaintiffs' counsel undertook significant risks in taking the case on. There was no assurance that the case would be certified, and once certified, there remained risks that it might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am satisfied that the matter was complex, and that even though British Columbia counsel did not take on all of the responsibilities for the case, the time demanded of local counsel was very significant. While great care must be observed in making any use of "multipliers" in assessing the reasonableness of fee claims (see </w:t>
      </w:r>
      <w:r>
        <w:rPr>
          <w:rFonts w:ascii="arial" w:eastAsia="arial" w:hAnsi="arial" w:cs="arial"/>
          <w:b/>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2000 BCSC 971</w:t>
        </w:r>
      </w:hyperlink>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78 B.C.L.R. (3d) 28</w:t>
        </w:r>
      </w:hyperlink>
      <w:r>
        <w:rPr>
          <w:rFonts w:ascii="arial" w:eastAsia="arial" w:hAnsi="arial" w:cs="arial"/>
          <w:color w:val="000000"/>
          <w:sz w:val="20"/>
          <w:lang w:val="en-US" w:eastAsia="en-US" w:bidi="ar-SA"/>
        </w:rPr>
        <w:t xml:space="preserve"> (S.C.) at para. 19 </w:t>
      </w:r>
      <w:r>
        <w:rPr>
          <w:rFonts w:ascii="arial" w:eastAsia="arial" w:hAnsi="arial" w:cs="arial"/>
          <w:i/>
          <w:color w:val="000000"/>
          <w:sz w:val="20"/>
          <w:lang w:val="en-US" w:eastAsia="en-US" w:bidi="ar-SA"/>
        </w:rPr>
        <w:t>et seq.</w:t>
      </w:r>
      <w:r>
        <w:rPr>
          <w:rFonts w:ascii="arial" w:eastAsia="arial" w:hAnsi="arial" w:cs="arial"/>
          <w:color w:val="000000"/>
          <w:sz w:val="20"/>
          <w:lang w:val="en-US" w:eastAsia="en-US" w:bidi="ar-SA"/>
        </w:rPr>
        <w:t>) the base fee estimates put forward by counsel demonstrate that a huge amount of time has been expended on this case by local counsel. Given the complexities and the size of the class in British Columbia, it is not surprising that this is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British Columbia class counsel took on this case on a contingency basis, and faced a real risk of not being paid at all for their services. It is well recognized that when counsel assume a significant risk of not being paid, they are entitled to fees that exceed what would otherwise be reasonable when they succeed. The real risk of failure, with personal consequences to counsel cannot be ignored. An enhanced fee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am satisfied, in the circumstances, that the fees and disbursements now claimed by class counsel in British Columbia are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I will indicate, because the fees and disbursements will be paid from a global settlement involving other jurisdictions as well as British Columbia, there is a potential that other jurisdictions will not share my view. Subject to what I will say about the need for approval of fees by other courts, I declare that a fee of $1,000,000 plus applicable taxes, and disbursements totalling $21,434.13 should be paid to British Columbia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my view,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contemplates court approval of all aspects of a settlement, including all fees paid to lawyers and other professionals. It does not appear to me that the fees and disbursements of lawyers outside of British Columbia who have provided service to the plaintiffs in this proceeding are exempt from review by this court. Indeed, because the fees and disbursements of counsel in each jurisdiction will be drawn from the global settlement funds, each of the courts considering the settlement has jurisdiction to review the fees and disbursements claimed by all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Multi-jurisdictional review of the fees and disbursements of all counsel presents practical difficulties. As K.J. Smith J. (as he then was) commented in </w:t>
      </w:r>
      <w:r>
        <w:rPr>
          <w:rFonts w:ascii="arial" w:eastAsia="arial" w:hAnsi="arial" w:cs="arial"/>
          <w:b/>
          <w:i/>
          <w:color w:val="000000"/>
          <w:sz w:val="20"/>
          <w:lang w:val="en-US" w:eastAsia="en-US" w:bidi="ar-SA"/>
        </w:rPr>
        <w:t>Endean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30, "it cannot be forgotten that each province has its own laws and traditions in respect of solicitors' fees." Review by each jurisdiction of the fees of counsel in other jurisdictions could result in an unfortunate duplication of efforts, and in significant uncertainty. More importantly, such review would fail to accord due respect to the courts of other jurisdictions, and thus fail to respect the concept of comity.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appropriate solution, in my view, is for each court to concentrate its review on the fees and disbursements of local counsel. While each court has the jurisdiction to review the fees and disbursements of counsel from other jurisdictions, as well, it is normally appropriate, as a matter of comity, for each to defer to courts in other jurisdictions to rule on the appropriateness of the fees and disbursements of their local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relying on the concept of comity, I do not suggest that it is appropriate for this court to abdicate its responsibilities under the </w:t>
      </w:r>
      <w:r>
        <w:rPr>
          <w:rFonts w:ascii="arial" w:eastAsia="arial" w:hAnsi="arial" w:cs="arial"/>
          <w:b/>
          <w:i/>
          <w:color w:val="000000"/>
          <w:sz w:val="20"/>
          <w:lang w:val="en-US" w:eastAsia="en-US" w:bidi="ar-SA"/>
        </w:rPr>
        <w:t>Class Proceedings Act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The court must be satisfied that given the fees that are claimed by all counsel from the global settlement, the amount left to be divided among members of the plaintiff class represents a reasonable settlement. I am satisfied that this test is satisfied in this case. Accordingly, the fees to be paid to Ontario, Quebec, and U.S. counsel is a matter on which I will defer to the courts of those jurisdictions. I am hopeful that they will take a similar approach to my ruling with respect to the fees and disbursements of British Columbia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Aside from the issue of counsel fees, as discussed above, which may pose some difficulties in the wording of the draft order, there is one other difficulty. One provision of the draft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AND ADJUDGES that any appeal or challenge affecting the approval of the Plan of Allocation or this Court's approval of British Columbia Class Counsel fees shall in no way disturb or affect the balance of this Order and shall be deemed to be separate and apart from the balance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believe that the plan of allocation and the approval of counsel fees are logically and practically severable from the approval of the amount of the settlement, and of the mix of cash and shares. I do not, however, have jurisdiction to bind the Court of Appeal in terms of the remedies that it considers to be appropriate on an appeal, or in terms of its interpretation of the scope of any appeal before it. I do not think that it is appropriate for this court to attempt, in an order, to in any way define or limit the jurisdiction of higher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therefore making an order in the form proposed by the applicant, with two exceptions. First, the order should reflect the limited nature of this court's approval of counsel fees and disbursements. Secondly, the paragraph referring to the effect of an appeal of the order will be excised. Should counsel wish to include a differently worded paragraph dealing with the severability of different parts of my judgment, but not purporting to limit the powers of an appeal court, I am prepared to consider their submissions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GROBERMAN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january 24,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in the second sentence of paragraph 24 should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 court confident that the proposed settlement is the product of a reasonable negotiating process, in which the parties have reached an agreement withouth collusion and without extraneous facts motivating the negotiators?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fourth bullet in paragraph 28 should read as follows:</w:t>
      </w:r>
      <w:r>
        <w:rPr>
          <w:rFonts w:ascii="arial" w:eastAsia="arial" w:hAnsi="arial" w:cs="arial"/>
          <w:sz w:val="20"/>
          <w:lang w:val="en-US" w:eastAsia="en-US" w:bidi="ar-SA"/>
        </w:rPr>
        <w:cr/>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sufficient information been provided to the members of the class represented by representative plaintiffs, and, if so, are they generally favourably disposed to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last sentence in paragraph 68 should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amount that will be recovered by the British Columbia class is uncertain, it is clear that the aggregate amount being sought for counsel fees will be far less than 1/3 of the total amount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sentence of paragraph 71 should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counsel undertook significant risks in taking the case on.</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9"/>
          <w:headerReference w:type="default" r:id="rId980"/>
          <w:footerReference w:type="even" r:id="rId981"/>
          <w:footerReference w:type="default" r:id="rId982"/>
          <w:headerReference w:type="first" r:id="rId983"/>
          <w:footerReference w:type="first" r:id="rId9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5" w:history="1">
        <w:r>
          <w:rPr>
            <w:rFonts w:ascii="arial" w:eastAsia="arial" w:hAnsi="arial" w:cs="arial"/>
            <w:b/>
            <w:bCs/>
            <w:i/>
            <w:color w:val="0077CC"/>
            <w:kern w:val="32"/>
            <w:sz w:val="28"/>
            <w:szCs w:val="32"/>
            <w:u w:val="single"/>
            <w:shd w:val="clear" w:color="auto" w:fill="FFFFFF"/>
            <w:lang w:val="en-US" w:eastAsia="en-US" w:bidi="ar-SA"/>
          </w:rPr>
          <w:t>Murao v. Blackcomb Skiing Enterprises Limited Partnership, [2003] B.C.J. No. 2953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2 - 6, 9 - 13, 16, 17, 19, 20, 23 - 27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30, July 2 - 4 and 7 - 12,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S002178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2953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1961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B.C.L.R. (4th) 392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1961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Travis Murao, plaintiff, and Blackcomb Skiing Enterprises Limited Partnership, The Board of School Trustees, School District No. 38 (Richmond), Yumi Yang, Sara Haave, Charlie Phipps and Graham Harkley,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7" w:name="Keywords_36"/>
      <w:bookmarkEnd w:id="267"/>
      <w:r>
        <w:rPr>
          <w:rFonts w:ascii="arial" w:eastAsia="arial" w:hAnsi="arial" w:cs="arial"/>
          <w:b/>
          <w:color w:val="000000"/>
          <w:sz w:val="20"/>
          <w:lang w:val="en-US" w:eastAsia="en-US" w:bidi="ar-SA"/>
        </w:rPr>
        <w:t>Evidence — Relevant facts, relevance and materiality — Relevance of evidence offered-- Documentary evidence — Witnesses — Admissibility — Witnesses, examination — Cross-examination — Adverse party — What constitutes — Range of examination.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8" w:name="Case Summary_35"/>
            <w:bookmarkEnd w:id="2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parties for certain evidentiary rulings. Murao was rendered a quadriplegic after he fell and fractured his neck while he participated in a school snowboarding outing. He brought an action against Blackcomb Resort, the supervising teachers and the School District. Ten days before the trial, Murao settled his claim against Blackcomb and discontinued the action against it. The trial proceeded against the teachers and the District. Murao applied to tender a seven-page document that contained the safety guideline manual for ski and snowboard education programs in Ontario. He claimed that it was relevant to the standard of care expected of teachers on school outings. He sought admission of evidence by Jackson, a high school teacher. Jackson taught at a different high school in the same district as the school attended by Murao. He would testify about the procedure he followed when he supervised school ski trips in the 1980s. Murao called one of the teachers, Phipps, as an adverse party. He wanted the court to limit the kinds of questions that the defendants could ask Phipps under cross-examination. The defendants wanted Blackcomb to be declared an adverse party so that its employees could be cross-examined. Murao claimed that if not for his injuries, he could have become a lawyer or a teacher. His capacity to achieve these goals was significantly reduced because of fatigue he suffered from his injuries. The defendants wanted to lead evidence from a lawyer and a teacher who were both quadriplegic and had sufficient stamina to work full-time.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9" w:name="Holdings of Court_33"/>
            <w:bookmarkEnd w:id="269"/>
            <w:r>
              <w:rPr>
                <w:rFonts w:ascii="arial" w:eastAsia="arial" w:hAnsi="arial" w:cs="arial"/>
                <w:color w:val="000000"/>
                <w:sz w:val="20"/>
                <w:lang w:val="en-US" w:eastAsia="en-US" w:bidi="ar-SA"/>
              </w:rPr>
              <w:t>HELD: Applications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manual was not admissible. It was not evidence of the general and accepted practice of teachers on school snowboarding outings. It merely contained the guidelines recommended by an insurer. There was no evidence that it was adopted by Ontario teachers. Jackson's evidence did not show that his procedure reflected the general and accepted practice in the 1980s or in 2000. The defendants could cross-examine Phipps and ask him the type of questions normally asked under cross-examination. Blackcomb was no longer a party to the action. Therefore, its employees could not be called as adverse parties. The employees were the defendants' witnesses. They could only be cross-examined if they were found to be hostile. The evidence by the lawyer and the teacher was not allowed as it constituted evidence of the personal experiences of other persons.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0" w:name="Legislation Cited_22"/>
      <w:bookmarkEnd w:id="2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6"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40(17), 40(20), 40(21).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1" w:name="Counsel_44"/>
      <w:bookmarkEnd w:id="2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7"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Murphy Q.C. and M. McMillan, for the plaintiff. C. Forth and L. Wood, for the defendants, The Board of School Trustees, School District No. 38 (Richmond), Yumi Yang, Sara Haave, Charlie Phipps and Graham Harkley.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2" w:name="Judgment_42"/>
      <w:bookmarkEnd w:id="272"/>
      <w:r>
        <w:pict>
          <v:line id="_x0000_s1228"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RULINGS MADE DURING THE COURSE OF TRIAL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3" w:name="SINCLAIR PROWSE J."/>
            <w:bookmarkEnd w:id="273"/>
            <w:r>
              <w:rPr>
                <w:rFonts w:ascii="arial" w:eastAsia="arial" w:hAnsi="arial" w:cs="arial"/>
                <w:b/>
                <w:color w:val="000000"/>
                <w:sz w:val="30"/>
                <w:lang w:val="en-US" w:eastAsia="en-US" w:bidi="ar-SA"/>
              </w:rPr>
              <w:t>SINCLAIR PROWSE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2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pertains to a student who was rendered a quadriplegic on January 20, 2000, when he fell and fractured his neck while snowboarding during an extracurricular school outing.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this action, the Plaintiff claimed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owner/operator of the ski resort (namely, Blackcomb Skiing Enterprises Limited Partnership) (Blackcomb); the wilful misconduct of the supervising teachers (namely, Yumi Yang, Sara Haave, Charlie Phipps, and Graham Harkley) (the Teachers); and/or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School District (namely, The Board of School Trustees, School District No. 38 (Richmond)) (the School District), caused or materially contributed to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Days before the commencement of this trial, the Plaintiff settled his claims with Blackcomb and discontinued his action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which proceeded before a Jury, pertained to the Plaintiff's claims against the Teachers and the School District. Both liability and damages were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During that trial, a number of procedural and evidentiary applications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 respect to five of those applications, upon rendering my decision I advised the parties that I would provide them with written reasons later. These are those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applications are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Plaintiff to have the OSBIE documents admitted into evidence.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Plaintiff to have the testimony of Robert Jackson admitted as evidence.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Plaintiff regarding the extent of the Defendant's cross-examination of an adverse party under Rule 40(20), that party having been called to testify by the Plaintiff pursuant to Rule 40(17).</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Defendants that they be permitted to treat Blackcomb as an adverse party and to cross-examine witnesses pursuant to Rule 40(20).</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Defendants to call two witnesses (who are both quadriplegic) to give evidence of their experience as a teacher and a lawyer, respectively.</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Plaintiff To Have The OSBIE Documents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this application, the Plaintiff seeks to tender documents entitled the "OSBIE Ski Package" on the basis that they are relevant to the standard of care expected of supervising teachers on school outings.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OSBIE Ski Package is a 7-page document setting out the Safety Guideline Manual for Ski and Snowboard Education Programs. As the document discloses, this "manual was a joint venture between OSBIE [the Ontario School Boards' Insurance Exchange] and the Ontario Ski Resorts Association ...". The manual dates back to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far as the governing legal principles are concerned, the general principle governing the admissibility of evidence is that the evidence be relevant and that it not be excluded by any rule of evidence. See: Anderson v. Maple Ridge District </w:t>
      </w:r>
      <w:hyperlink r:id="rId986" w:history="1">
        <w:r>
          <w:rPr>
            <w:rFonts w:ascii="arial" w:eastAsia="arial" w:hAnsi="arial" w:cs="arial"/>
            <w:i/>
            <w:color w:val="0077CC"/>
            <w:sz w:val="20"/>
            <w:u w:val="single"/>
            <w:shd w:val="clear" w:color="auto" w:fill="FFFFFF"/>
            <w:lang w:val="en-US" w:eastAsia="en-US" w:bidi="ar-SA"/>
          </w:rPr>
          <w:t>(1992), 71 B.C.L.R. (2d) 68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standard of care applicable to the Teachers is certainly an issue in this case. (To prove the claims against the Teachers, the Plaintiff must prove that their conduct was a very marked departure from the requisite standard of care. To prove the claim against the School District, the Plaintiff must establish that the conduct of one or more of the Teachers fell below that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issues on this application therefore are whether the proposed evidence is relevant to the determination of that issue and, if so, whether it is excluded by any rule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standard of care to be exercised by school authorities in providing for the supervision and protection of students for whom they are responsible is that of the careful or prudent parent. See: Myers et al. v. Peel County Board of Education et al. </w:t>
      </w:r>
      <w:hyperlink r:id="rId987" w:history="1">
        <w:r>
          <w:rPr>
            <w:rFonts w:ascii="arial" w:eastAsia="arial" w:hAnsi="arial" w:cs="arial"/>
            <w:i/>
            <w:color w:val="0077CC"/>
            <w:sz w:val="20"/>
            <w:u w:val="single"/>
            <w:shd w:val="clear" w:color="auto" w:fill="FFFFFF"/>
            <w:lang w:val="en-US" w:eastAsia="en-US" w:bidi="ar-SA"/>
          </w:rPr>
          <w:t>(1981), 123 D.L.R. (3d) 1</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Evidence of conformity to or departure from the general and accepted practice in given circumstances has been held to normally be admissible as prima facie evidence that there was adherence to this standard of care or that it was breached. See: Dziwenka et al. v. Queen and Mapplebrock and Broughton et al., </w:t>
      </w:r>
      <w:hyperlink r:id="rId988" w:history="1">
        <w:r>
          <w:rPr>
            <w:rFonts w:ascii="arial" w:eastAsia="arial" w:hAnsi="arial" w:cs="arial"/>
            <w:i/>
            <w:color w:val="0077CC"/>
            <w:sz w:val="20"/>
            <w:u w:val="single"/>
            <w:shd w:val="clear" w:color="auto" w:fill="FFFFFF"/>
            <w:lang w:val="en-US" w:eastAsia="en-US" w:bidi="ar-SA"/>
          </w:rPr>
          <w:t>[1971] 1 W.W.R. 195</w:t>
        </w:r>
      </w:hyperlink>
      <w:r>
        <w:rPr>
          <w:rFonts w:ascii="arial" w:eastAsia="arial" w:hAnsi="arial" w:cs="arial"/>
          <w:color w:val="000000"/>
          <w:sz w:val="20"/>
          <w:lang w:val="en-US" w:eastAsia="en-US" w:bidi="ar-SA"/>
        </w:rPr>
        <w:t xml:space="preserve"> (Alta. S.C. - A.D.), James et al. v. River East School Division No. 9 et al. </w:t>
      </w:r>
      <w:hyperlink r:id="rId989" w:history="1">
        <w:r>
          <w:rPr>
            <w:rFonts w:ascii="arial" w:eastAsia="arial" w:hAnsi="arial" w:cs="arial"/>
            <w:i/>
            <w:color w:val="0077CC"/>
            <w:sz w:val="20"/>
            <w:u w:val="single"/>
            <w:shd w:val="clear" w:color="auto" w:fill="FFFFFF"/>
            <w:lang w:val="en-US" w:eastAsia="en-US" w:bidi="ar-SA"/>
          </w:rPr>
          <w:t>(1975), 58 D.L.R. (3d) 311</w:t>
        </w:r>
      </w:hyperlink>
      <w:r>
        <w:rPr>
          <w:rFonts w:ascii="arial" w:eastAsia="arial" w:hAnsi="arial" w:cs="arial"/>
          <w:color w:val="000000"/>
          <w:sz w:val="20"/>
          <w:lang w:val="en-US" w:eastAsia="en-US" w:bidi="ar-SA"/>
        </w:rPr>
        <w:t xml:space="preserve"> (Man. Q.B.) and McDaniel et al. v. Vancouver General Hospital, </w:t>
      </w:r>
      <w:hyperlink r:id="rId990" w:history="1">
        <w:r>
          <w:rPr>
            <w:rFonts w:ascii="arial" w:eastAsia="arial" w:hAnsi="arial" w:cs="arial"/>
            <w:i/>
            <w:color w:val="0077CC"/>
            <w:sz w:val="20"/>
            <w:u w:val="single"/>
            <w:shd w:val="clear" w:color="auto" w:fill="FFFFFF"/>
            <w:lang w:val="en-US" w:eastAsia="en-US" w:bidi="ar-SA"/>
          </w:rPr>
          <w:t>[1934] 3 W.W.R. 619</w:t>
        </w:r>
      </w:hyperlink>
      <w:r>
        <w:rPr>
          <w:rFonts w:ascii="arial" w:eastAsia="arial" w:hAnsi="arial" w:cs="arial"/>
          <w:color w:val="000000"/>
          <w:sz w:val="20"/>
          <w:lang w:val="en-US" w:eastAsia="en-US" w:bidi="ar-SA"/>
        </w:rPr>
        <w:t xml:space="preserve"> (J.C.P.C.).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Although as was recognized in Myers at p. 10, this standard cannot be applied in the same manner and to the same extent in every case "because of the greater variety of activities conducted in schools, with probably larger groups of students using more complicated and more dangerous equipment than formerly ..." and that the appropriate standard of care will vary depending on the surrounding circumstances (including but not restricted to a consideration of such circumstances as "the number of students being supervised at any given time, the nature of the exercise or activity in progress, the age and the degree of skill and training which the students may have received in connection with such activity, the nature and condition of the equipment in use at the time, and the competency and capacity of the students involved"), this recognition does not change the nature of the evidence admissible to prove the appropriate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That is, neither Myers nor any of the other authorities presented in this hearing authorize the admission of an individual practice or recommendation to prove the appropriate standard of care. Rather, in all of the cases relied upon the evidence admitted to prove the appropriate standard of care in the circumstances was restricted to evidence of the general and accepted practice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Applying this principle to this application, the proposed evidence is not admissible because it is not evidence of the general and accepted practice of teachers on school snowboarding outings, even if it is assumed that the general and accepted practice of supervising teachers in Ontario is the same on these outings as it is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Rather, the OSBIE documents go no further than setting out the guidelines recommended by an insurer. There was nothing in them that shows that the recommendations have been adopted by the Ontario School Board or that they have been generally followed by teachers in the Ontario schools.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counsel for the Plaintiff clarified during this hearing, the proposed evidence is restricted to the OSBIE documents alone. That is, the Plaintiff did not and does not intend to call any additional evidence (such as a witness) to prove that these recommendations are the general and accepted practice in Ontario for school snowboard outings.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Given these circumstances, the OSBIE documents are not admissible. This application is dismissed.</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Plaintiff To Have The Testimony Of Robert Jackson Admitted 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Jackson was a high school teacher for 31 1/2 years. He taught at a different high school in the same school district as the high school attended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a teacher, for eight years in the 1980s he supervised a number of school ski trips. These trips were to Manning Park, a different resort than the resort where the Plaintiff's injury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legal principles governing the admissibility of this evidence are the same as the principles governing the admissibility of the OSBIE documents. That is, does the proposed evidence of Mr. Jackson (evidence of the procedures that he followed when conducting school ski trips in the 1980s) constitute evidence of the general and accepted practice followed in school snowboarding outings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did not prove that this proposed testimony fell within that admissible category. That is, the evidence went no further than showing that this was the procedure that Mr. Jackson followed. It did not show that his procedure reflected the general and accepted practice in the 1980s or in 2000. Rather, it simply showed the procedure followed by one individual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Given these conclusions, this evidence is not admissible. This application is dismissed.</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Plaintiff Regarding The Extent Of The Defendant's Cross-Examination Of An Adverse Party Under Rule 40(20), That Party Having Been Called To Testify By The Plaintiff Pursuant To Rule 40(17)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Pursuant to Rule 40(17), the Plaintiff called the Defendant Charlie Phipps as an adverse party during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this application, the Plaintiff sought an order that the Defendants be limited in the type of questions that they could put to Mr. Phipps during their "cross-examination" of him. In particular, the Plaintiff requested an order that the Defendants be limited to the type of questions that they would be entitled to ask in direct examination rather than the type of questions that can be put in a conventional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Neither the plain wording of the rule itself nor the case law support the Plaintiff's position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That is, Rule 40(20)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party calling a witness in accordance with subrule (17.1) or (17.2) is entitled to cross examine the witness generally on one or more issues. Cross-examination of the witness by </w:t>
      </w:r>
      <w:r>
        <w:rPr>
          <w:rFonts w:ascii="arial" w:eastAsia="arial" w:hAnsi="arial" w:cs="arial"/>
          <w:b/>
          <w:color w:val="000000"/>
          <w:sz w:val="20"/>
          <w:lang w:val="en-US" w:eastAsia="en-US" w:bidi="ar-SA"/>
        </w:rPr>
        <w:t>counsel for the adverse party</w:t>
      </w:r>
      <w:r>
        <w:rPr>
          <w:rFonts w:ascii="arial" w:eastAsia="arial" w:hAnsi="arial" w:cs="arial"/>
          <w:color w:val="000000"/>
          <w:sz w:val="20"/>
          <w:lang w:val="en-US" w:eastAsia="en-US" w:bidi="ar-SA"/>
        </w:rPr>
        <w:t xml:space="preserve"> shall be confined to explanation of matters brought out in the examination in chief. Cross-examination of the witness by other parties may be general or limited, as the court may direct...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the plain wording of this rule shows, the only restriction on the cross-examination of counsel for the adverse party pertains to the breadth of the cross-examination, not to the type of questions that may be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Skender v. Barker </w:t>
      </w:r>
      <w:hyperlink r:id="rId991" w:history="1">
        <w:r>
          <w:rPr>
            <w:rFonts w:ascii="arial" w:eastAsia="arial" w:hAnsi="arial" w:cs="arial"/>
            <w:i/>
            <w:color w:val="0077CC"/>
            <w:sz w:val="20"/>
            <w:u w:val="single"/>
            <w:shd w:val="clear" w:color="auto" w:fill="FFFFFF"/>
            <w:lang w:val="en-US" w:eastAsia="en-US" w:bidi="ar-SA"/>
          </w:rPr>
          <w:t>(1987), 24 C.P.C. (2d) 147</w:t>
        </w:r>
      </w:hyperlink>
      <w:r>
        <w:rPr>
          <w:rFonts w:ascii="arial" w:eastAsia="arial" w:hAnsi="arial" w:cs="arial"/>
          <w:color w:val="000000"/>
          <w:sz w:val="20"/>
          <w:lang w:val="en-US" w:eastAsia="en-US" w:bidi="ar-SA"/>
        </w:rPr>
        <w:t xml:space="preserve"> (B.C.S.C.) at p. 171, in describing this rule the court held that Rule 40(17):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seems to contemplate the right of a party to call the adverse party as a witness and conduct an examination in the nature of leading questions or cross-examination. Thereafter, </w:t>
      </w:r>
      <w:r>
        <w:rPr>
          <w:rFonts w:ascii="arial" w:eastAsia="arial" w:hAnsi="arial" w:cs="arial"/>
          <w:b/>
          <w:color w:val="000000"/>
          <w:sz w:val="20"/>
          <w:lang w:val="en-US" w:eastAsia="en-US" w:bidi="ar-SA"/>
        </w:rPr>
        <w:t>counsel for the party who gave that evidence may re-examine the party/witness by cross-examination</w:t>
      </w:r>
      <w:r>
        <w:rPr>
          <w:rFonts w:ascii="arial" w:eastAsia="arial" w:hAnsi="arial" w:cs="arial"/>
          <w:color w:val="000000"/>
          <w:sz w:val="20"/>
          <w:lang w:val="en-US" w:eastAsia="en-US" w:bidi="ar-SA"/>
        </w:rPr>
        <w:t xml:space="preserve">. Finally, counsel for the party who first called the witness for cross-examination may conduct a kind of re-examination on any new matters </w:t>
      </w:r>
      <w:r>
        <w:rPr>
          <w:rFonts w:ascii="arial" w:eastAsia="arial" w:hAnsi="arial" w:cs="arial"/>
          <w:b/>
          <w:color w:val="000000"/>
          <w:sz w:val="20"/>
          <w:lang w:val="en-US" w:eastAsia="en-US" w:bidi="ar-SA"/>
        </w:rPr>
        <w:t>brought out in the previous cross-examination by counsel for the party/witness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other words, counsel for the adverse party has the right to cross-examine his/her own client in the conventional manner. That counsel is not limited in the type of questions that can be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relied on two cases in this application - namely, Power Consolidated (China) Pulp Inc. v. B.C. Resources Investment Corp., </w:t>
      </w:r>
      <w:hyperlink r:id="rId992" w:history="1">
        <w:r>
          <w:rPr>
            <w:rFonts w:ascii="arial" w:eastAsia="arial" w:hAnsi="arial" w:cs="arial"/>
            <w:i/>
            <w:color w:val="0077CC"/>
            <w:sz w:val="20"/>
            <w:u w:val="single"/>
            <w:shd w:val="clear" w:color="auto" w:fill="FFFFFF"/>
            <w:lang w:val="en-US" w:eastAsia="en-US" w:bidi="ar-SA"/>
          </w:rPr>
          <w:t>[1990] B.C.J. No. 2963</w:t>
        </w:r>
      </w:hyperlink>
      <w:r>
        <w:rPr>
          <w:rFonts w:ascii="arial" w:eastAsia="arial" w:hAnsi="arial" w:cs="arial"/>
          <w:color w:val="000000"/>
          <w:sz w:val="20"/>
          <w:lang w:val="en-US" w:eastAsia="en-US" w:bidi="ar-SA"/>
        </w:rPr>
        <w:t xml:space="preserve"> (S.C.); and Mooney v. Orr, Jr., </w:t>
      </w:r>
      <w:hyperlink r:id="rId993" w:history="1">
        <w:r>
          <w:rPr>
            <w:rFonts w:ascii="arial" w:eastAsia="arial" w:hAnsi="arial" w:cs="arial"/>
            <w:i/>
            <w:color w:val="0077CC"/>
            <w:sz w:val="20"/>
            <w:u w:val="single"/>
            <w:shd w:val="clear" w:color="auto" w:fill="FFFFFF"/>
            <w:lang w:val="en-US" w:eastAsia="en-US" w:bidi="ar-SA"/>
          </w:rPr>
          <w:t>[1994] B.C.J. No. 2007</w:t>
        </w:r>
      </w:hyperlink>
      <w:r>
        <w:rPr>
          <w:rFonts w:ascii="arial" w:eastAsia="arial" w:hAnsi="arial" w:cs="arial"/>
          <w:color w:val="000000"/>
          <w:sz w:val="20"/>
          <w:lang w:val="en-US" w:eastAsia="en-US" w:bidi="ar-SA"/>
        </w:rPr>
        <w:t xml:space="preserve"> (S.C.). These cases dealt with a different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Specifically, these cases pertained to whether the potential witness fell within the ambit of the adverse party rule and therefore whether "the party calling the witness" could cross-examine and the extent of that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These cases did not pertain to the issue raised in the present application - namely, the ambit of the cross-examination of "counsel for the adverse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Given all of the conclusions set out above, this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the Defendants is permitted to cross-examine Mr. Phipps and ask him the type of question conventionally asked in cross-examination, the only restriction on that cross-examination being that it be confined to an explanation of the matters brought out in examination-in-chief.</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Defendants That They Be Permitted To Treat Blackcomb As An Adverse Party And Cross-Examine Witnesses Pursuant To Rule 40(20)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From the outset of this action, the position of the Defendants has been that if they were found liable (and they contend that they should not be), that their liability should be apportioned modestly, the primary liability resting with Blackcomb and/or the Plaintiff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To prove the liability of Blackcomb, the Defendants intend to call employees of Blackcomb as witnesses in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this application, the Defendants sought an order prior to calling these witnesses that they be considered as "adverse parties" called pursuant to Rule 40(17), thereby permitting counsel for the Defendants to cross-examine them without first proving them hostile, pursuant to Rule 40(20).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was touched on earlier in this Judgment, Blackcomb is no longer a party to this action, the Plaintiff having settled his claims and discontinued the action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Rule 40(17) applies to "adverse parties" or representatives of adverse parties, the issue is whether the general powers of the court under Rule 40(21) extend to permitting former adverse parties to be called as adverse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Although Rule 40(21) provides the court with the authority to give directions regarding the ambit of the examination or cross-examination of witnesses, it does not grant the court the jurisdiction to extend the application of Rule 40(17) to "former" adverse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Given these findings, as Blackcomb is no longer a party, its employees cannot be called as adverse parties under Rule 40(17) and therefore cannot be cross-examined under Rule 40(20).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Rather, if the Defendants call the proposed Blackcomb witnesses, those witnesses will be considered as witnesses for the Defendants. Counsel for the Defendants will not be entitled to cross-examine any of these witnesses until that witness is proven to be hostile, if that ever happens.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For all of these reasons, this application is dismissed.</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Defendants To Call Two Witnesses (Who Are Both Quadriplegic) To Give Evidence Of Their Experience As A Teacher And A Lawyer,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This application pertained to the Plaintiff's claim for loss in his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particular, the Plaintiff claims that, but for his injury, there was a real possibility that he would go to law school and become a lawyer or, alternatively, that he would become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a result of his injuries (particularly the ongoing fatigue), the Plaintiff claims that his capacity to achieve these goals has been significantly reduced. That is, he submits because of this fatigue he may not be able to go and/or complete law school and if he is able to complete it, there is a real likelihood that he will not have the stamina to work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far as teaching is concerned, the Plaintiff contends that because of ongoing fatigue, there is a real likelihood he will not have the stamina to work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this application, the Defendants seek to lead evidence from a lawyer and a teacher both of whom are quadriplegic and work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issue is whether this evidence is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contend that it is admissible because it will provide a basis on which the Jury can determine upon which expert opinion to rely. (The Plaintiff's expert opined that the Plaintiff may have difficulty completing law school and maintaining full-time employment either as a teacher or a lawyer because of fatigue, while the Defendants' expert opined that it is more likely that he would not experience these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support of this application, the Defendants relied on Southern Canada Power Co. v. Canada, </w:t>
      </w:r>
      <w:hyperlink r:id="rId994" w:history="1">
        <w:r>
          <w:rPr>
            <w:rFonts w:ascii="arial" w:eastAsia="arial" w:hAnsi="arial" w:cs="arial"/>
            <w:i/>
            <w:color w:val="0077CC"/>
            <w:sz w:val="20"/>
            <w:u w:val="single"/>
            <w:shd w:val="clear" w:color="auto" w:fill="FFFFFF"/>
            <w:lang w:val="en-US" w:eastAsia="en-US" w:bidi="ar-SA"/>
          </w:rPr>
          <w:t>[1936] S.C.R. 4</w:t>
        </w:r>
      </w:hyperlink>
      <w:r>
        <w:rPr>
          <w:rFonts w:ascii="arial" w:eastAsia="arial" w:hAnsi="arial" w:cs="arial"/>
          <w:color w:val="000000"/>
          <w:sz w:val="20"/>
          <w:lang w:val="en-US" w:eastAsia="en-US" w:bidi="ar-SA"/>
        </w:rPr>
        <w:t>, (varied on other grounds, [1937] 3 All E.R. 923 (J.C.P.C.)) a case in which the court held at p. 14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carefully reviewed and considered the evidence of all the expert witnesses and finding marked differences of opinion among them, he turned to the great mass of lay evidence and then accepted the theory of those experts that was consistent with the evidence of those lay witnesses whose evidence he accepted because of their practical experience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case does not go so far as to permit the court to admit evidence that would otherwise be inadmissible because it might support one expert theory over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Rather, in Southern Canada Power Co., supra, the issue was the cause of a sudden washout of a railway line. During the course of the trial, a number of lay witnesses testified as to their observations of the river at the time of spring floods. After reviewing the conflicting expert opinions on the cause of this washout, the trial judge accepted the expert opinion that was consistent with the observations of the lay witnesses. The lay witness evidence was admissible because it was the personal observations of these witnesses of the river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proposed evidence is not this type of lay evidence. That is, the proposed evidence is not of the observations of witnesses of the Plaintiff and of the stamina that he has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Rather, the proposed evidence is evidence of the personal experiences of two individuals with respect to the fact that they personally have sufficient stamina to enable them to secure and maintain full-time employment, although quadriplegic, as a lawyer and a teacher, respectively. There was no authority presented in this hearing that held that this type of evidence (that is, evidence of the personal experience of another person)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For these reasons, the proposed evidence is not admissible. This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SINCLAIR PROWSE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5"/>
          <w:headerReference w:type="default" r:id="rId996"/>
          <w:footerReference w:type="even" r:id="rId997"/>
          <w:footerReference w:type="default" r:id="rId998"/>
          <w:headerReference w:type="first" r:id="rId999"/>
          <w:footerReference w:type="first" r:id="rId10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01" w:history="1">
        <w:r>
          <w:rPr>
            <w:rFonts w:ascii="arial" w:eastAsia="arial" w:hAnsi="arial" w:cs="arial"/>
            <w:b/>
            <w:bCs/>
            <w:i/>
            <w:color w:val="0077CC"/>
            <w:kern w:val="32"/>
            <w:sz w:val="28"/>
            <w:szCs w:val="32"/>
            <w:u w:val="single"/>
            <w:shd w:val="clear" w:color="auto" w:fill="FFFFFF"/>
            <w:lang w:val="en-US" w:eastAsia="en-US" w:bidi="ar-SA"/>
          </w:rPr>
          <w:t>Pan Pacific Specialties Ltd. v. Shandong Machinery and Equipment I/E Corp., [2001] B.C.J. No. 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Koenigsberg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8 and 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C980319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85 B.C.L.R. (3d) 362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193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Pan Pacific Specialties Ltd., plaintiff, and Shandong Machinery and Equipment I/E Corp., Tri-Strong Union Company, International Commercial Bank of Cathay (Canada), defendants, and International Commercial Bank of Cathay (Canada),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4" w:name="Keywords_37"/>
      <w:bookmarkEnd w:id="274"/>
      <w:r>
        <w:rPr>
          <w:rFonts w:ascii="arial" w:eastAsia="arial" w:hAnsi="arial" w:cs="arial"/>
          <w:b/>
          <w:color w:val="000000"/>
          <w:sz w:val="20"/>
          <w:lang w:val="en-US" w:eastAsia="en-US" w:bidi="ar-SA"/>
        </w:rPr>
        <w:t>Injunctions — Setting aside injunctions — Grounds — No justifiable right — Lack of jurisdiction — Ex parte injunctions.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5" w:name="Case Summary_36"/>
            <w:bookmarkEnd w:id="2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seller, Shandong Machinery and Equipment I/E Corp., for an order setting aside an ex parte interlocutory injunction. Shandong agreed to sell Chinese garlic to Pan Pacific Specialties. Pan Pacific agreed to pay for the garlic with an irrevocable and divisible letter of credit, issued to the benefit of Shandong. The letter of credit contained an undertaking by the issuing bank to honour Shandong's drafts in sight upon receipt of several documents. Shandong delivered several shipments of the garlic and delivered the required documents to the issuing bank. Following receipt of the initial shipments, but before any payment was made by the issuing bank, Pan Pacific requested that the bank withhold payment to Shandong. Pan Pacific subsequently issued a writ of summons and a statement of claim against Shandong. Pan Pacific alleged breach of contract and equitable fraud. Pan Pacific also obtained an ex parte injunction that restrained the issuing bank from making payment under the letter of credit. Shandong was served with the interlocutory injunction, the writ of summons and the statement of claim via facsimile. A default judgment was obtained against Shandong and the letter of credit was cancelled. The default judgment was subsequently set aside on the grounds that Pan Pacific was not entitled to serve Shandong ex juris, that its purported method of service was invalid and that Shandong had not attorned to the jurisdiction of the courts of British Columbia. Shandong sought an order setting aside the ex parte interlocutory injunction.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6" w:name="Holdings of Court_34"/>
            <w:bookmarkEnd w:id="27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ex parte interlocutory injunction was set aside. There was no justifiable right between Pan Pacific and the issuing bank in any jurisdiction. The justifiable right in the case was between Pan Pacific and Shandong. Therefore, at the time that the injunction was obtained, there was no basis for the Court to take jurisdiction and the ex parte injunction was a nullity.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7" w:name="Legislation Cited_23"/>
      <w:bookmarkEnd w:id="2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1"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45(5).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Frustrated Contract Act, </w:t>
      </w:r>
      <w:hyperlink r:id="rId1002" w:history="1">
        <w:r>
          <w:rPr>
            <w:rFonts w:ascii="arial" w:eastAsia="arial" w:hAnsi="arial" w:cs="arial"/>
            <w:i/>
            <w:color w:val="0077CC"/>
            <w:sz w:val="20"/>
            <w:u w:val="single"/>
            <w:shd w:val="clear" w:color="auto" w:fill="FFFFFF"/>
            <w:lang w:val="en-US" w:eastAsia="en-US" w:bidi="ar-SA"/>
          </w:rPr>
          <w:t>R.S.B.C. 1996, c. 166, s. 4</w:t>
        </w:r>
      </w:hyperlink>
      <w:r>
        <w:rPr>
          <w:rFonts w:ascii="arial" w:eastAsia="arial" w:hAnsi="arial" w:cs="arial"/>
          <w:color w:val="000000"/>
          <w:sz w:val="20"/>
          <w:lang w:val="en-US" w:eastAsia="en-US" w:bidi="ar-SA"/>
        </w:rPr>
        <w:t>(b).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8" w:name="Counsel_45"/>
      <w:bookmarkEnd w:id="2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2"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appeared for the plaintiff. B.C. Elwood, for the defendants, Shandong Machinery and Equipment I/E Corp. and Tri-Strong-Union Company. S.P. Strukoff, for the defendant, International Commercial Bank of Cathay (Canada).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9" w:name="Judgment_43"/>
      <w:bookmarkEnd w:id="279"/>
      <w:r>
        <w:pict>
          <v:line id="_x0000_s1233" style="position:absolute;z-index:25184768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January 16, 2001.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0" w:name="KOENIGSBERG J."/>
            <w:bookmarkEnd w:id="280"/>
            <w:r>
              <w:rPr>
                <w:rFonts w:ascii="arial" w:eastAsia="arial" w:hAnsi="arial" w:cs="arial"/>
                <w:b/>
                <w:color w:val="000000"/>
                <w:sz w:val="30"/>
                <w:lang w:val="en-US" w:eastAsia="en-US" w:bidi="ar-SA"/>
              </w:rPr>
              <w:t>KOENIGSBERG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Shandong Machinery and Equipment I/E Corp., Tri-Strong Union Company ("Shandong") for an order setting aside an ex parte interlocutory injunction and a declaration on a set of issues in Shandong's counterclaim against the defendant International Commercial Bank of Cathay (Canada) (the "issuing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this application, Shandong seeks:</w:t>
      </w:r>
      <w:r>
        <w:rPr>
          <w:rFonts w:ascii="arial" w:eastAsia="arial" w:hAnsi="arial" w:cs="arial"/>
          <w:sz w:val="20"/>
          <w:lang w:val="en-US" w:eastAsia="en-US" w:bidi="ar-SA"/>
        </w:rPr>
        <w:cr/>
      </w:r>
    </w:p>
    <w:p>
      <w:pPr>
        <w:numPr>
          <w:numId w:val="2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pursuant to Rule 45(5) setting aside the ex parte order of the Honourable Mr. Justice Cohen made 22 January 1998 (the "interlocutory injunction");</w:t>
      </w:r>
    </w:p>
    <w:p>
      <w:pPr>
        <w:numPr>
          <w:numId w:val="2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pursuant to Rule 18A that:</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Shandong's alleged failure to comply with the terms of a Letter of Credit dated 8 July 1997 (the "Letter of Credit") is not a defence to an action on the Letter of Credit or the drafts thereunder;</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the interlocutory injunction nor the default judgment dated 9 September 1998 (the "default judgment") is a defence to an action on the Letter of Credit or the drafts thereunder;</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Shandong's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a defence to an action on the Letter of Credit or the drafts thereunder;</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issuing bank is not entitled to set-off against its liability, if any, under the Letter of Credit or the drafts thereunder;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bank seeks from this Court, among other things, a declaration that its liability under the Letter of Credit contract is nil because its failure to pay out on the Letter of Credit was precluded by two orders of this Court. First, the ex parte interlocutory injunction and second the default judgment a term of which was to cancel the Letter of Credit. Having obeyed the injunction and acted upon the default judgment by not only cancelling the Letter of Credit but also releasing Pan Pacific from its obligations under it, the bank says it acted to its detriment and it should not be held liable to Shandong. At issue says the bank is the integrity of Court orders since the bank was obliged to obey them and the Court ought not only enforce its orders the Court ought not penalize a party for obeying its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agree that this matter involves points of law which may be appropriately dealt with by this 18A application. Shandong's position is that the issuing bank has no defence requiring a full trial on any of these issues. The essential facts may be found on undisputed evidence, consisting primarily of the Letter of Credit and certain shipping documents. The dispute revolves primarily around a point of law concerning the effect of the two Court orders: the interlocutory injunction, which the plaintiff Pan Pacific Specialities Ltd. ("Pan Pacific") obtained on 22 January 1998, and the default judgment, which Pan Pacific obtained on 9 September 1998. The first order restrained "further payments" under the Letter of Credit, and the second order effected a cancellation of the Letter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Shandong's position is that Pan Pacific obtained the interlocutory injunction and default judgment in breach of several procedural and substantive rules. On 10 September 1999, Mr. Justice Ralph declared the default judgment a nullity, and ordered that it be set aside. The issue for this Court is the effect in law of the default judgment, having now been declared a nullity, on the obligations of the issuing bank under the Letter of Credit, which Pan Pacific and the issuing bank cancelled shortly after Pan Pacific obtained the default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Shandong submits that the result in law of the Court's declaration that the default judgment was a nullity is that the default judgment and its execution were acts of Pan Pacific, and not judicial acts of the Court. While the issuing bank may turn to Pan Pacific for having wrongfully executed void proceedings, Shandong submits, the issuing bank cannot raise the default judgment as a defence to an action on the Letter of Credit or the drafts negotiated thereunder now that the default judgment has been set aside ab initio. Moreover, on the facts of this case, the drafts which Shandong negotiated against the Letter of Credit are each in-and-of-themselves enforceable obligations, and the issuing bank's failures to pay on the drafts in a timely manner were each a breach of the Letter of Credit for which Shandong may claim damages, regardless of the issuing bank's alleged reliance on the two Court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Shandong further submits that in the event this Court finds that the Court orders provide the issuing bank with a defence to all or part of Shandong's claim on the Letter of Credit, that defence must await the trial of this matter, which is currently set for six days beginning 12 February 2001. Shandong alleges that the issuing bank and Pan Pacific conspired to use the Court's process to cancel the Letter of Credit and convert the goods which Shandong shipped to Pan Pacific for their mutual benefit. Proof of the conspiracy, proof that the issuing bank was a joint tort-feasor with Pan Pacific or proof that the issuing bank was aware of the irregularities in these proceedings would vitiate the defence based on the Court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Shandong is a Chinese corporation. Pan Pacific is a British Columbia company, now bankrupt (on 18 July 2000, after this application was first set, a Receiving Order over Pan Pacific was made by this Court on the application of the Royal Bank of Canada). The issuing bank is an international bank headquartered in Taiwan with a branch in Vancouver. The International Commercial branch that supported the Letter of Credit was located in Vancouver, and was thus at all material times resident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an agreement between Shandong and Pan Pacific, evidenced by a sales confirmation dated 14 May 1997 and amended from time to time until 17 December 1997 (the "Sales Agreement"), Shandong agreed to sell, and Pan Pacific agreed to buy, 989 metric tons of China garlic for $818,000 USD, free on board Qingdao, China. (FOB - Free on Board is a defined term under the International Chamber of Commerce "Incoterms", meaning the seller fulfils its obligations when goods pass over the ship's rail at the named port of shipment.)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Pan Pacific agreed in the Sales Agreement to pay for the garlic with an irrevocable and divisible Letter of Credit negotiable by sight draft.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8 July 1997, the issuing bank issued an irrevocable and divisible Letter of Credit on Pan Pacific's application to the benefit of Shandong - the previously defined Letter of Credit - incorporating the terms of the International Chamber of Commerce Uniform Customs and Practice for Documentary Credits, 1993 Revision, ICC Publication No. 500 ("UCP 500"). Thereafter, and from time to time until 17 December 1997, the issuing bank amended the Letter of Credit with the agreement of Pan Pacific and Shandong.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Letter of Credit as finally amended contained and evidenced an undertaking by the issuing bank to honour Shandong's drafts on sight, upon receipt of:</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signed commercial invoices in three copies;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full sets of clean on board ocean bills of lading made out to the order of the issuing bank;</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packing lists in three copies;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phytosanitary certificates in three copies;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certificates of origin in three copies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(collectively, the "required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Letter of Credit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Shipment must not be earlier than 971220 [i.e. December 20, 1997] or later than 980131 [i.e. January 31,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negotiation bank must forward all documents by one registered mail to us at 1250-1095 West Pender Street, Vancouver,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19 December 1997, Shandong delivered on board the SS "OOCL Shanghai" at Qingdao, China, 138 metric tons of China garlic with a value of $114,540 USD (the "first shipment"), and obtained the required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22 December 1997, Shandong delivered on board the SS "Good Well" at Qingdao, China, 184 metric tons of China garlic with a value of $152,720 USD (the "second shipment"), and obtained the required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24 December 1997, the Industrial and Commercial Bank of China (the "negotiating bank") delivered the required documents in support of the first and second shipments, together with a draft in the amount of $267,260 USD, to the issuing bank at its branch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2 January 1998, Shandong delivered on board the SS "AL. Strength" at Qingdao, China, 207 metric tons of China garlic with a value of $171,810 USD (the "third shipment"), and obtained the requirement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5 January 1998, the issuing bank accepted the required documents in support of the first and second shipments, but did not remit the requested funds to the negotiating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9 January 1998, Shandong delivered on board the SS "Hare Internum" at Qingdao, China, 207 metric tons of China garlic with a value of $170,430 USD (the "fourth shipment"), and obtained the required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9 January 1998, Pan Pacific took possession of the first and second shipments in Vancouver on the strength of bills of lading bearing the endorsement of the issuing bank. Upon taking possession of the goods, Pan Pacific objected to the quality of the garlic. It is in contention whether Pan Pacific advised Shandong by fax not to ship any more garlic.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12 and 13 January 1998, the negotiating bank delivered the required documents in support of the Third and Fourth shipments, together with drafts in the amounts of $171,810, USD and $170,430 USD to the issuing bank at its Vancouver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16 January 1998, the issuing bank accepted the required documents in support of the third and fourth shipments, but did not remit the requested funds to the negotiating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Following receipt of the initial shipments, but before any payment was made by the issuing bank under the Letter of Credit, Pan Pacific requested that the bank withhold payment to Shandong. However, the bank informed Pan Pacific that it would have no recourse but to pay out on the Letter of Credit if properly drawn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20 January 1998, Shandong delivered on board the SS "Eagle Union" at Qingdao, China, 46 metric tons of China garlic with a value of $37,490 USD (the "fifth shipment"), and obtained the required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21 January 1998, the managing director of Pan Pacific, Benjamin Min Chiang, deposed, in support of an ex parte application for an order restraining payment by the issuing bank on the Letter of Credit, that Shandong had, as of that date, drawn down on the Letter of Credit in the amount of $267,260 USD. Although the issuing bank had accepted the documents and draft in support of a draw of $267,260 USD, it had not paid any funds to the negotiating bank or Shandong.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affidavit sworn 21 January 1998, Mr. Chiang further deposed that he had been advised by the issuing bank that it was required to pay out a "further" amount of $342,240 USD by 23 January 1998 for the third and fourth shipments, and that the bank had no recourse but to pay if the Letter of Credit was properly drawn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22 January 1998, Pan Pacific issued a writ of summons and statement of claim naming Shandong and the issuing bank as defendants. In the statement of claim, Pan Pacific alleged breach of contract and "equitable fraud" by Shandong, but no cause of action against the issuing bank. On the same date Pan Pacific also obtained an ex parte injunction from Mr. Justice Cohen, which restrained the issuing bank from making payment under the Letter of Credit. The Order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the defendant International Commercial Bank of Cathay (Canada) not payout any further sums in respect of the Letter of Credit posted to the benefit of the defendant Shandong and that it instead either: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extend the Letter of Credit payable to Shandong and not pay out same to any person until further order from this court</w:t>
      </w:r>
      <w:r>
        <w:rPr>
          <w:rFonts w:ascii="arial" w:eastAsia="arial" w:hAnsi="arial" w:cs="arial"/>
          <w:color w:val="000000"/>
          <w:sz w:val="20"/>
          <w:lang w:val="en-US" w:eastAsia="en-US" w:bidi="ar-SA"/>
        </w:rPr>
        <w:t xml:space="preserve"> or the agreement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upon performing any one of the acts set out above, the said bank shall have no further liability to pay out sums under the said Letter of Credit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the defendant Shandong shall have liberty to set aside this order upon 24 hours notice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Pan Pacific delivered a copy of the interlocutory injunction to the issuing bank at 4:10 p.m. on the day it obtained the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24 January 1998, the negotiating bank delivered the required documents in support of the fifth shipment, together with a draft in the amount of $37,490 USD, to the issuing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26 January 1998, Pan Pacific's counsel sent the interlocutory injunction, the writ of summons and the statement of claim to Shandong in China via facsimile in readable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26 January 1998, the issuing bank responded for the first time to the negotiating bank's request for payment. The issuing bank advised that it had received "a Court order from the Supreme Court of British Columbia, No. 980319 to extend payment of the Letter of Credit...and not pay out same to any person until further order of the Court or the agreement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27 January 1998, the issuing bank advised counsel for Pan Pacific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discussing with Mr. Chiang of Pan Pacific, we decided to extend the payment of the Letter of Credit No. VM97-636 in favour of Shandong. We hereby confirm that the amount of the Letter of Credit being USD 609,500 (USD 267,260, USD 171,810 and USD 170,430) will be held by the bank and the bank will not pay out same to any person or cancel the Letter of Credit until further order of the Court or agreement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3 February 1998, the issuing bank accepted the required documents in support of the fifth shipment, but did not remit the requested funds to the negotiating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Shandong acknowledged receipt of a readable fax on 27 January 1998. Shandong indicated by several faxes between 24 January and 26 February 1998 that having consulted a lawyer specializing in international trade, that Shandong had not been properly served, that the dispute as they understood it did not belong in a B.C. Court but rather should and could be resolved by the parties in good faith negotiation and that the Letter of Credit agreement provided for arbitration or other resolution of dispute according to International Chamber of Commerce Publication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Pan Pacific through its local counsel persisted in sending correspondence to Shandong requesting and demanding that it conform to B.C. Rules of Court and file an appearance and statement of defence. He urged them to retain local counsel. At no time did he attempt or make proper service of any proceedings on Shandong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11 February 1998, the issuing bank advised the negotiating bank, in response to a further demand for payment,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Payments of the above bills have been held by the bank only in compliance with the injunction order from the Supreme Court of British Columbia, Canada. If further Court order is received by us or agreement of the concerned parties is reached, payments will be released immediately. ...Furthermore, we undertake to pay you deferred payment interest from date of receipt of documents to date of payment at current US prime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21 February 1998, Shandong delivered on board the SS "Alligator Columbus" at Qingdao, China, 207 metric tons of China garlic with a value of $170,040 USD (the "sixth shipment"), and obtained the required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26 February 1998, the negotiating bank delivered the required documents in support of the sixth shipment, together with a draft for $170,040 USD, to the issuing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21 January, 30 January, 19 February and 20 March 1998, Pan Pacific took possession of the Third, Fourth, Fifth and sixth shipments, respectively, on the strength of a "letter of guarantee" from the issuing bank. On dates unknown to Shandong, the issuing bank endorsed the remaining four bills of lading over to Pan Pacific, who surrendered the shipping documents to the shipper, obtained the goods and sold the garlic. Neither the issuing bank nor Pan Pacific advised Shandong of these transactions nor listed the letters of guarantee or bills of lading in their original Lists of Documents. Shandong obtained copies of the endorsed bills of lading after it attempted unsuccessfully to sue the shipper in China for wrongful delivery of goods without bills of lading.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5 March 1998, the issuing bank notified the negotiating bank that Shandong should initiate legal proceedings to protect their interests. The fax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[PAN PACIFIC] HAS INITIATED LEGAL ACTION AGAINST [SHANDONG] BOTH THE ISSUING BANK AND THE NEGOTIATING BANK ARE NOT IN A POSITION TO INVOLVE AT THIS STAGE. WE SUGGEST THAT [SHANDONG] SHOULD UNDERGO LEGAL PROCEDURE IN ORDER TO PROTECT THEIR OWN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TO YOU ONCE AGAIN THAT WE ONLY ACT ACCORDING TO LOCAL LAW WHICH CAN BY NO MEANS BE VIOLATED.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July 1998, a Shandong representative travelled to Vancouver to resolve the dispute between Shandong and Pan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early August 1998, the plaintiff faxed to Shandong an application for default judgment. The notice of motion stated that the plaintiff sought cancellation of the Letter of Credit. On 10 August 1998 a lawyer in China sent a memorandum to counsel for Pan Pacific regarding the application. In reply on 10 August 1998 counsel for Pan Pacific sent a fax which confirmed "our many attempts to have you seek local counsel," and included a copy of the notice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9 September 1998, Pan Pacific obtained default judgment against Shandong as follows (the "default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the Letter of Credit issued by the [Issuing bank] in favour of [Shandong] on behalf of [Pan Pacific] in the original amended amount of $818,000(US) be and is hereby cancelled.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the balance of the plaintiff's application for monetary damages against the defendant Shandong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the time it applied for default judgment cancelling the Letter of Credit, Pan Pacific had realized through sales of the garlic shipped to it by Shandong approximately $600,000 CDN, and anticipated realizing an additional $200,000 CDN through sales of the garlic which remained in inventory. Also, at the time, Pan Pacific applied for default judgment cancelling the Letter of Credit, the issuing bank had not honoured any of the drafts negotiated against the Letter of Credit or made any objection to any of the required documents. In fact, the bank had released the required documents to Pan Pacific enabling it to take possession of the garlic and sell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Pan Pacific appeared before Mr. Justice Ralph in chambers to obtain the default judgment. The issuing bank did not appear. Pan Pacific did not provide the Court with a praecipe endorsed by the Registrar, as required by Rule 25, indicating that no statement of defence had been filed. The Court was advised that Shandong had sent a "Statement of the Defendant's Case". The "Statement" advised that the jurisdiction of the B.C. Court was challenged. Pan Pacific repeated before Mr. Justice Ralph what was represented before Mr. Justice Cohen that Shandong had drawn $267,260 USD against the Letter of Credit. In an affidavit sworn in support of Pan Pacific's application, Mr. Chiang referred to his company's "losses". No mention was made that Pan Pacific had not paid for any of the garlic. The bank did not appear on the motion, nor did it take any position. The bank was served with the materials and did not provide any material to the Court to correct any inaccuracy such as that it had in fact paid nothing on the drafts for any shipments.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Pan Pacific obtained the default judgment, the issuing bank cancelled the Letter of Credit without remitting any funds or returning any documents to Shandong. Thereafter, Pan Pacific took no steps to assess its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Pan Pacific did not serve the default judgment on Shandong until 2 February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26 March 1999, Shandong, through Vancouver counsel, made demand on the issuing bank for the value of the Letter of Credit, citing the numerous irregularities with the default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29 March 1999, Shandong brought an application, through Vancouver counsel, to set aside the default judgment. Shandong's application came on before Mr. Justice Ralph on 30 April 1999. By order dated 10 September 1999, Mr. Justice Ralph declared that the default judgment was a nullity and ordered that it be set aside. In written reasons for judgment, His Lordship held that:</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Pan Pacific was not entitled to serve Shandong ex juris with these proceedings pursuant to Rule 13(1)(para 30);</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Pan Pacific's purported method of service on Shandong in China was invalid (para 42);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Shandong had not attorned to the jurisdiction of the Courts of British Columbia (para 48-50).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12 October 1999, Shandong filed and delivered a statement of defence and counterclaim, in which it alleges that:</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Shandong delivered goods in accordance with the Sales Agreement to the shipper at Qingdao, China, and fully performed its obligations under the FOB contract with Pan Pacific;</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Pan Pacific failed to pay Shandong the agreed price of the goods, and therefore breached the Sales Agreement and converted the goods to its own use;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issuing bank failed to perform its obligation under the Letter of Credit to honour the drafts negotiated on sight or return the original documents to Shandong;</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Pan Pacific and the issuing bank conspired to delay payment under the Letter of Credit until Pan Pacific could obtain an ex parte interlocutory injunction freezing the Letter of Credit and, once Pan Pacific obtained a default judgment cancelling the Letter of Credit, to retain Pan Pacific's wrongful profit for their mutual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18 July 2000, after Shandong commenced this application, a Receiving Order was made by the British Columbia Supreme Court against Pan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are two time periods relevant to the issues in this application: first, the calls on the Letter of Credit prior to the issuing and, second, the serving of the injunction and subsequent to its being in effect. The Letter of Credit was issued on 8 July 1997 and amended from time-to-time until 17 December 1997. The bank was to pay out to Shandong "on sight" upon receipt of stipulated documents. The bank had seven days from receipt of the stipulated documents to refuse or accept them. It is agreed that the bank, accepted the documents in relation to all shipments and in relation to all documents which were tendered by Shandong. It is also agreed that the bank, once having accepted the documents, released them to Pan Pacific allowing Pan Pacific to take possession of the garlic.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will deal with the facts relating to shipments prior to the obtaining of the ex parte injunction. Shandong delivered the first and second shipments to the shipper on 19 and 22 December respectively. It delivered the required documents in relation to both shipments together with a draft in the amount of $267,260 USD to the issuing bank on 24 December 1997. On 5 January 1998 the bank accepted the required documents and released them to the buyer. On 9 January 1998 the buyer, Pan Pacific took possession of the first and second shipments. The bank did not pay Shandong on that draft between 5 January and 22 January 1998, the date upon which Pan Pacific obtained the ex parte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Shandong delivered the third shipment to the shipper on 2 January 1998. On 12 January 1998 Shandong delivered the required documents in support of the third shipment together with a draft in the amount of $170,810 USD to the issuing bank. On 9 January 1998 Shandong delivered the fourth shipment to the shipper and on 13 January 1998 delivered the required documents together with a draft in the amount of 171,430 USD to the issuing bank for the fourth shipment. On 16 January 1998 the issuing bank accepted the documents in support of the third and fourth shipments. On 21 January 1998 Pan Pacific took possession of the third shipment.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 EX PARTE INTERLOCUTORY INJUNCTION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seeks to have the injunction set aside on two main grounds. First, that the Court had no jurisdiction to grant the injunction. The defendant submits that there was and is no lis between the bank and Pan Pacific. Although Pan Pacific named the bank as a defendant in the writ and statement of claim, no cause of action was alleged against it. In a similar fact situation, the Ontario Court of Appeal in Ash v. Corp. of Lloyd's (1992), 7 C.P.C. (3d) 364 (Ont. C.A.) set aside an injunction obtained against an Ontario bank in relation to a Letter of Credit to the benefit of Lloyds of London. In that case, the plaintiff alleged actual fraud against Lloyds, which is not the case here, but no cause of action against the bank. The plaintiff had obtained the injunction on the basis that the injunction was necessary to prevent Lloyd's from receiving the benefits of its alleged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para 15 of the Ontario Court of Appeal decision Carthy, J.A.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cannot jump from his [Le Dain J.'s] reasons in [Angelica-Whitewear Ltd. v. Bank of Nova Scotia, </w:t>
      </w:r>
      <w:hyperlink r:id="rId1003" w:history="1">
        <w:r>
          <w:rPr>
            <w:rFonts w:ascii="arial" w:eastAsia="arial" w:hAnsi="arial" w:cs="arial"/>
            <w:i/>
            <w:color w:val="0077CC"/>
            <w:sz w:val="20"/>
            <w:u w:val="single"/>
            <w:shd w:val="clear" w:color="auto" w:fill="FFFFFF"/>
            <w:lang w:val="en-US" w:eastAsia="en-US" w:bidi="ar-SA"/>
          </w:rPr>
          <w:t>[1987] 1 S.C.R. 59</w:t>
        </w:r>
      </w:hyperlink>
      <w:r>
        <w:rPr>
          <w:rFonts w:ascii="arial" w:eastAsia="arial" w:hAnsi="arial" w:cs="arial"/>
          <w:color w:val="000000"/>
          <w:sz w:val="20"/>
          <w:lang w:val="en-US" w:eastAsia="en-US" w:bidi="ar-SA"/>
        </w:rPr>
        <w:t>] to an assertion that an interlocutory injunction is available as a self-supporting cause of action. There must be a lis between the parties which is deserving of a trial before there can be anything that is interlocutory in the proceedings leading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was concluded by Mr. Justice Ralph when declaring the default judgment obtained by the plaintiff a nullity, this Court had no basis upon which to take jurisdiction over the underlying dispute between Pan Pacific and Shandong. The only basis upon which this Court could take jurisdiction would be to find a ground for service. Mr. Justice Ralph found, after reviewing all of the possible grounds for granting an order for service ex juris under Rule 13(1) that no such grounds existed. He concluded at paragraph 30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it is my conclusion that Pan Pacific has not made out a good arguable case for any of its claimed grounds for jurisdiction and that it is by no means clear that there is a real and substantial connection between Shandong and this province. As a result, Pan Pacific was not entitled to serve Shandong ex juris without leave. It follows that the default judgment of September 9 must be rendered a nullity and set aside as of right: McLean v. Retail Solutions Inc. </w:t>
      </w:r>
      <w:hyperlink r:id="rId1004" w:history="1">
        <w:r>
          <w:rPr>
            <w:rFonts w:ascii="arial" w:eastAsia="arial" w:hAnsi="arial" w:cs="arial"/>
            <w:i/>
            <w:color w:val="0077CC"/>
            <w:sz w:val="20"/>
            <w:u w:val="single"/>
            <w:shd w:val="clear" w:color="auto" w:fill="FFFFFF"/>
            <w:lang w:val="en-US" w:eastAsia="en-US" w:bidi="ar-SA"/>
          </w:rPr>
          <w:t>(1989), 37 B.C.L.R. (2d) 131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Mr. Justice Ralph's reasons cannot be limited to a mere finding that Pan Pacific did not comply with the formal rules with respect to service ex juris. Since valid service is the only basis on which this Court can take jurisdiction over a defendant with no presence in British Columbia, service grounds jurisdiction, and invalid service is equivalent to no jurisdiction. (See William v. Lake Babine Indian Band </w:t>
      </w:r>
      <w:hyperlink r:id="rId1005" w:history="1">
        <w:r>
          <w:rPr>
            <w:rFonts w:ascii="arial" w:eastAsia="arial" w:hAnsi="arial" w:cs="arial"/>
            <w:i/>
            <w:color w:val="0077CC"/>
            <w:sz w:val="20"/>
            <w:u w:val="single"/>
            <w:shd w:val="clear" w:color="auto" w:fill="FFFFFF"/>
            <w:lang w:val="en-US" w:eastAsia="en-US" w:bidi="ar-SA"/>
          </w:rPr>
          <w:t>(1999), 30 C.P.C. (4th) 156</w:t>
        </w:r>
      </w:hyperlink>
      <w:r>
        <w:rPr>
          <w:rFonts w:ascii="arial" w:eastAsia="arial" w:hAnsi="arial" w:cs="arial"/>
          <w:color w:val="000000"/>
          <w:sz w:val="20"/>
          <w:lang w:val="en-US" w:eastAsia="en-US" w:bidi="ar-SA"/>
        </w:rPr>
        <w:t xml:space="preserve"> (B.C.S.C.), para. 37.) It is, in the words of Southin J.A., "simply arrogant" and contrary to "the commercial interest of Canada as a trading nation" to assume jurisdiction over a foreign merchant without establishing a real and substantial connection to this province. (See Northern Sales Co. v. Government Trading Corp. of Iran </w:t>
      </w:r>
      <w:hyperlink r:id="rId1006" w:history="1">
        <w:r>
          <w:rPr>
            <w:rFonts w:ascii="arial" w:eastAsia="arial" w:hAnsi="arial" w:cs="arial"/>
            <w:i/>
            <w:color w:val="0077CC"/>
            <w:sz w:val="20"/>
            <w:u w:val="single"/>
            <w:shd w:val="clear" w:color="auto" w:fill="FFFFFF"/>
            <w:lang w:val="en-US" w:eastAsia="en-US" w:bidi="ar-SA"/>
          </w:rPr>
          <w:t>(1991), 81 D.L.R. (4th) 316</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issuing bank argues that the Court does not need jurisdiction over the cause of action to grant an injunction. This is a correct statement of the law, but only so far as it goes. As a superior court of inherent jurisdiction, the B.C. Supreme Court has the power to grant an injunction where there is a justiciable right between the parties, even though that right might not be finally determined by the B.C. Supreme Court. (See Brotherhood of Maintenance of Way Employees Canadian Pacific System Federation v. Canadian Pacific Ltd. </w:t>
      </w:r>
      <w:hyperlink r:id="rId1007" w:history="1">
        <w:r>
          <w:rPr>
            <w:rFonts w:ascii="arial" w:eastAsia="arial" w:hAnsi="arial" w:cs="arial"/>
            <w:i/>
            <w:color w:val="0077CC"/>
            <w:sz w:val="20"/>
            <w:u w:val="single"/>
            <w:shd w:val="clear" w:color="auto" w:fill="FFFFFF"/>
            <w:lang w:val="en-US" w:eastAsia="en-US" w:bidi="ar-SA"/>
          </w:rPr>
          <w:t>[1996] 2 S.C.R. 495</w:t>
        </w:r>
      </w:hyperlink>
      <w:r>
        <w:rPr>
          <w:rFonts w:ascii="arial" w:eastAsia="arial" w:hAnsi="arial" w:cs="arial"/>
          <w:color w:val="000000"/>
          <w:sz w:val="20"/>
          <w:lang w:val="en-US" w:eastAsia="en-US" w:bidi="ar-SA"/>
        </w:rPr>
        <w:t xml:space="preserve">, at paras. 16-17). The classic example of an injunction of this nature is an injunction granted by a superior court at the request of one of the parties to a labour dispute over which an arbitration panel has exclusive jurisdiction under a collective bargaining agreement. Another example is a Mareva injunction granted by a superior court to restrain the defendant from removing assets from the jurisdiction of the Court pending the final determination of proceedings against that defendant in another jurisdiction. (See United States v. Friedland </w:t>
      </w:r>
      <w:hyperlink r:id="rId1008" w:history="1">
        <w:r>
          <w:rPr>
            <w:rFonts w:ascii="arial" w:eastAsia="arial" w:hAnsi="arial" w:cs="arial"/>
            <w:i/>
            <w:color w:val="0077CC"/>
            <w:sz w:val="20"/>
            <w:u w:val="single"/>
            <w:shd w:val="clear" w:color="auto" w:fill="FFFFFF"/>
            <w:lang w:val="en-US" w:eastAsia="en-US" w:bidi="ar-SA"/>
          </w:rPr>
          <w:t>(1996), 6 C.P.C. (4th) 29</w:t>
        </w:r>
      </w:hyperlink>
      <w:r>
        <w:rPr>
          <w:rFonts w:ascii="arial" w:eastAsia="arial" w:hAnsi="arial" w:cs="arial"/>
          <w:color w:val="000000"/>
          <w:sz w:val="20"/>
          <w:lang w:val="en-US" w:eastAsia="en-US" w:bidi="ar-SA"/>
        </w:rPr>
        <w:t xml:space="preserve"> (B.C.S.C.) at para. 19). The difficulty, however, is that in this case, there was, as found by Mr. Justice Ralph, no lis between Pan Pacific and the issuing bank, the party against whom the injunction was granted, in any jurisdiction. Put another way, there was no justiciable right as between Pan Pacific and the issuing bank, anywhere, on which to ground an injunction. The lis in this case, as pleaded by Pan Pacific, was between Pan Pacific and Shandong; but the interlocutory injunction was obtained by Pan Pacific against the issuing bank, not Shandong. Where the Court issues an injunction against a defendant in aid of proceedings involving that person in another jurisdiction, the domestic Court must still have in personam jurisdiction over the defendant against whom the wrong is alleged in the foreign forum. This is clear from the passage from the House of Lords decision in Channel Tunnel Group Ltd. v. Balfour Beatty Construction Ltd., [1993] 2 W.L.R. 262 quoted in Brotherhood of Maintenance of Way Employees, supra, by the Supreme Court of Canada at page 505: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has power to grant interlocutory relief based on a cause of action recognized by English law against the defendant duly served where such relief is ancillary to a final order whether to be granted by the English Court or some other Court or arbitral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While this Court clearly had inherent jurisdiction over the issuing bank, it had no in personam jurisdiction over Shandong, the defendant against whom the wrong was alleged. And as found by Mr. Justice Ralph, Shandong, the alleged defendant could not be "duly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Thus, at the time the injunction was obtained, there was no basis at all for the Court to take jurisdiction, rendering the ex parte injunction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second ground upon which the defendant relies to have the Court set aside the injunction is that the Court was not provided full disclosure and there was misrepresentation of material facts in the affidavit before the Court upon which the plaintiff relied.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clear from the affidavit relied upon by the plaintiff before Mr. Justice Cohen and the Order itself that the Court was indeed misled into thinking that monies had already been paid out on the Letter of Credit. This amounts to misrepresentation of relevant facts before the Court. Further, the non-disclosure of the terms of the Letter of Credit set out above were quite material. The Court did not know that the plaintiff was taking possession of the garlic shipments despite having apparently told the defendant to stop shipping and the bank to stop paying. Nor was the Court told that the plaintiff was, in fact, selling the garlic. These facts might very well have given the Chambers judge pause in granting an injunction on the material before him on the basis of an allegation of equitable fraud. The very fact that equitable fraud, not fraud, was alleged as the basis for altering the terms of a Letter of Credit and the non-disclosure and misrepresentation of the facts, indicate the danger of seeking to obtain an ex parte injunction. Where as here, it was provided that the defendant could have the injunction set aside on 24 hours notice, which is the usual safeguard upon which the Court relies to ensure minimum damage should a decision granting an ex parte injunction be found to be unjustified or wrong, is of little comfort when the defendant is a foreign company and proper service is at the least a time-consuming endeavour and at worst as here, not available under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If I am wrong that the injunction is a nullity, then I set it aside on the basis that it was obtained on less than full and frank disclosure and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 THE COURT ORDERS PROVIDE A DEFENCE TO THE BANK'S OBLIGATION UNDER THE LETTER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thrust of the bank's case does not depend, however, on whether the injunction is a nullity or set aside. The bank's position is that at the time those Court orders were in force each had to be obeyed and the bank's obedience to those orders should be a defence to any claim under the Letter of Credit. The bank says that it had no choice but to freeze payments pursuant to the injunction under the Letter of Credit and then subsequently it had no choice but to cancel the Letter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bank argues it should be protected from liability under the Letter of Credit because it was prevented from meeting its obligations to pay under that instrument by the order of this Court. Further the bank says the failure of Shandong to act in a timely manner to set aside the injunction both before and after the granting of the default judgment and even after the default judgment was declared a nullity should be a strong consideration in the Court declining to exercise any equitable jurisdiction to grant Shandong specific performance. It was not until many months after the default judgment was declared a nullity that Pan Pacific was declared bankrupt. That act of bankruptcy says the bank, however, is the reason the Court cannot just unwind the transaction and declare the Letter of Credit revived and that the bank must now, when it cannot obtain recourse to Pan Pacific as provided under the agreement, perform its obligations thereunder.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concedes the injunction did effectively stop the bank from paying while it was outstanding, at least in regard to shipments made subsequent to the granting of the injunction; however says the plaintiff, the bank is bound to pay, if and when the injunction is lifted, because of the nature of a Letter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Both sides to this dispute agree that the two fundamental features of an irrevocable Letter of Credit are first, that an irrevocable Letter of Credit represents the undertaking of the issuing bank to honour the beneficiary's draft when it is accompanied by documents apparently conforming with the terms of the Letter of Credit. And second, the issuing bank's obligation is independent of the performance of the underlying contract between the buyer and the seller. A Letter of Credit is not subject to claims or defences arising from the separate contracts between the buyer and seller or the buyer and the issuing bank. In the words of Mr. Justice LeDain in Angelica-Whitewear, supra, at page 107: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issuing bank cannot be permitted to wait until actual performance of the underlying contract of sale to determine whether it should accept the documents and pay the draft. Its obligation and authority to pay are determined at the time of the tender by what appears, upon reasonably careful examination, on the face of the documents. As indicated above, the principles of autonomy and strict documentary compliance require that the issuing bank disregard the facts concerning the performance of the underlying contract (except, of course, in the case of fraud of which it has notice), whether existing at the time of tender or afterwards. Payment is made for documents and not for goods, and the buyer is entitled to receive conforming documents before the actual arrival of the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no question that the bank was bound to obey the Court orders. However, nowhere in the injunction order does it prohibit the bank from either refusing the documents subsequently supplied by Shandong because it could no longer accept them or from, after accepting them to refuse to release them to Pan Pacific. The release of the documents which, under the terms of the Letter of Credit and by the law which pertains thereto, obligated the bank to pay. While it could not pay while the injunction was outstanding it clearly contemplated that it would be paying when the injunction which was interlocutory in any event was no longer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bank decided, for apparently commercial reasons, to release the documents to Pan Pacific allowing the buyer to take possession of the garlic and to sell it. The commercial reasons may very well have been valid and prudent. As the bank pointed out in argument, it would have no recourse against Pan Pacific if the injunction was lifted, and it had to pay Shandong. Pan Pacific had no obligation to reimburse the bank unless it received the documents allowing it to take possession. The bank pointed out that garlic is perishable.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This position taken by the bank is similar to the position it took when it agreed to issue the Letter of Credit in the first place. It assessed the risk of Pan Pacific not being in a position to reimburse it for payment and decided to accept that risk. Likewise, when it decided to release the documents to Pan Pacific, in the circumstances, it accepted the risk that Pan Pacific might not be in a position to reimburse it when it had to pay out on the Letter of Credit. The bank, of course, by its action, removed any recourse Shandong might have if the bank had refused the documents in the circumstances and returned them to Shandong. The bank also, by its actions in accepting the documents and releasing them to Pan Pacific, created a crystallized irrevocable obligation to pay to Shandong on each and every shipment for which it accepted and released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bank acknowledged, while the injunction was outstanding and before the default judgment rendered the Letter of Credit cancelled, that it was abiding by the injunction to extend the Letter of Credit and to hold the monies owing under it, and would, indeed, pay interest thereon. That was its position as put forward to the negotiating bank and, of course was a correct position in law. Unfortunately for Shandong, Pan Pacific obtained a default judgment the effect of which was to cancel the Letter of Credit. Although, the bank was not obliged to, it not only cancelled the Letter of Credit, it severed its banking relationship with Pan Pacific. Shortly after receiving notification of the default judgment, Shandong attorned to this jurisdiction and had the default judgment set aside as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my view, the effect of that was to revive the Letter of Credit since it was only cancelled in conformity with the Court ordered default judgment and to continue the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bank's position then at this point is that its obedience to Court orders has put it in a position where it has acted in conformity with those orders and now it would be unjust to revive its obligations since Pan Pacific is now bankrupt and the bank no longer has recourse to it for reimbursement if it meets its own obligations. A significant factor for consideration says the bank is that Shandong, even after urging by the bank, did not come to the British Columbia Supreme Court and seek to have the injunction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should not go unremarked that the bank had notice, upon being served with the documents following the obtaining of the ex parte injunction that the Court had been advised that the Letter of Credit had been drawn down for $267,260 USD. The bank knew this was not true. Thus, the bank must have known that when the injunction prohibited any further payment it was not intended to cover the monies already drawn down. The bank chose to read the injunction as prohibiting any payment on the Letter of Credit and refused to pay that which it knew or should have known was not intended by the Court to be prohibited.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Numerous arguments were made by both sides analyzing this problem from a variety of points of view. For instance, was the injunction a novus actus interviens? Was the contract frustrated? Each analysis founders on the peculiar and unique facts of this case. Each case which appears to be of assistance is distinguishable in substance on its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my view, on the evidence before me, once the default judgment was declared a nullity and I found the injunction to be a nullity, (the same argument would pertain if the injunction was merely set aside on grounds of inadequate disclosure and misrepresentation) the Letter of Credit and more particularly the obligation for the bank to pay out under it is revived. The case of Singer v. J.H. Ashdown Hardware Co., </w:t>
      </w:r>
      <w:hyperlink r:id="rId1009" w:history="1">
        <w:r>
          <w:rPr>
            <w:rFonts w:ascii="arial" w:eastAsia="arial" w:hAnsi="arial" w:cs="arial"/>
            <w:i/>
            <w:color w:val="0077CC"/>
            <w:sz w:val="20"/>
            <w:u w:val="single"/>
            <w:shd w:val="clear" w:color="auto" w:fill="FFFFFF"/>
            <w:lang w:val="en-US" w:eastAsia="en-US" w:bidi="ar-SA"/>
          </w:rPr>
          <w:t>[1953] 2 D.L.R. 625</w:t>
        </w:r>
      </w:hyperlink>
      <w:r>
        <w:rPr>
          <w:rFonts w:ascii="arial" w:eastAsia="arial" w:hAnsi="arial" w:cs="arial"/>
          <w:color w:val="000000"/>
          <w:sz w:val="20"/>
          <w:lang w:val="en-US" w:eastAsia="en-US" w:bidi="ar-SA"/>
        </w:rPr>
        <w:t xml:space="preserve"> (S.C.C.) is most apt in this regard although the facts of that case are distinguishable on many points. At pages 627 and 628 Mr. Justice Kerwin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words "until set aside" are significant and in general the rule is subject to that condition. In principal I would think that must be so and it has been held that </w:t>
      </w:r>
      <w:r>
        <w:rPr>
          <w:rFonts w:ascii="arial" w:eastAsia="arial" w:hAnsi="arial" w:cs="arial"/>
          <w:b/>
          <w:color w:val="000000"/>
          <w:sz w:val="20"/>
          <w:lang w:val="en-US" w:eastAsia="en-US" w:bidi="ar-SA"/>
        </w:rPr>
        <w:t>if such a judgment is properly set aside, it is as if it had never existed - Goodrich v. Bodurtha</w:t>
      </w:r>
      <w:r>
        <w:rPr>
          <w:rFonts w:ascii="arial" w:eastAsia="arial" w:hAnsi="arial" w:cs="arial"/>
          <w:color w:val="000000"/>
          <w:sz w:val="20"/>
          <w:lang w:val="en-US" w:eastAsia="en-US" w:bidi="ar-SA"/>
        </w:rPr>
        <w:t xml:space="preserve"> (1856), 72 Mass. (6 Gray) 323 referred to by Ridell J. in Re Harper and Township of East Flamborough </w:t>
      </w:r>
      <w:hyperlink r:id="rId1010" w:history="1">
        <w:r>
          <w:rPr>
            <w:rFonts w:ascii="arial" w:eastAsia="arial" w:hAnsi="arial" w:cs="arial"/>
            <w:i/>
            <w:color w:val="0077CC"/>
            <w:sz w:val="20"/>
            <w:u w:val="single"/>
            <w:shd w:val="clear" w:color="auto" w:fill="FFFFFF"/>
            <w:lang w:val="en-US" w:eastAsia="en-US" w:bidi="ar-SA"/>
          </w:rPr>
          <w:t>(1914), 32 O.L.R. 490</w:t>
        </w:r>
      </w:hyperlink>
      <w:r>
        <w:rPr>
          <w:rFonts w:ascii="arial" w:eastAsia="arial" w:hAnsi="arial" w:cs="arial"/>
          <w:color w:val="000000"/>
          <w:sz w:val="20"/>
          <w:lang w:val="en-US" w:eastAsia="en-US" w:bidi="ar-SA"/>
        </w:rPr>
        <w:t xml:space="preserve"> and Partington v. Hawthorne(1888), 52 J.P. 807.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judgment be set aside properly and without consent as I hold to have occurred in the present case, there is an exception to the general rule which although binding by precedent was founded upon a fiction and should be restricted and not enlarged. The judgment having been set aside, there is no more than one judgment on one entire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Justice Cartwright wrote a concurring judgment at page 648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to this if the matter were devoid of authority I would have thought that upon the judgment against one of several co-contractors being set aside it would cease to operate as a bar to an action against the others, that upon being set aside it ceases to exist and therefore to have any effect thereafter, </w:t>
      </w:r>
      <w:r>
        <w:rPr>
          <w:rFonts w:ascii="arial" w:eastAsia="arial" w:hAnsi="arial" w:cs="arial"/>
          <w:b/>
          <w:color w:val="000000"/>
          <w:sz w:val="20"/>
          <w:u w:val="single"/>
          <w:lang w:val="en-US" w:eastAsia="en-US" w:bidi="ar-SA"/>
        </w:rPr>
        <w:t>although it could in some circumstances provide a justification for an act done in reliance upon it between the time of its being given and being set aside</w:t>
      </w:r>
      <w:r>
        <w:rPr>
          <w:rFonts w:ascii="arial" w:eastAsia="arial" w:hAnsi="arial" w:cs="arial"/>
          <w:color w:val="000000"/>
          <w:sz w:val="20"/>
          <w:lang w:val="en-US" w:eastAsia="en-US" w:bidi="ar-SA"/>
        </w:rPr>
        <w:t>, as for example in the case of Williams v. Smith (1863), 14 C.B.N.S. 596.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Singer, supra, it is notable that the Court was not dealing with a finding that the judgment set aside was a nullity. The Singer case in my view has been applied on its broader principles relied upon by Shandong in Donald Berman Enterprises Ltd. v. 365946 B.C. Ltd. (c.o.b. The Mighty $1, Store Plus), </w:t>
      </w:r>
      <w:hyperlink r:id="rId1011" w:history="1">
        <w:r>
          <w:rPr>
            <w:rFonts w:ascii="arial" w:eastAsia="arial" w:hAnsi="arial" w:cs="arial"/>
            <w:i/>
            <w:color w:val="0077CC"/>
            <w:sz w:val="20"/>
            <w:u w:val="single"/>
            <w:shd w:val="clear" w:color="auto" w:fill="FFFFFF"/>
            <w:lang w:val="en-US" w:eastAsia="en-US" w:bidi="ar-SA"/>
          </w:rPr>
          <w:t>[2000] B.C.J. No. 1258</w:t>
        </w:r>
      </w:hyperlink>
      <w:r>
        <w:rPr>
          <w:rFonts w:ascii="arial" w:eastAsia="arial" w:hAnsi="arial" w:cs="arial"/>
          <w:color w:val="000000"/>
          <w:sz w:val="20"/>
          <w:lang w:val="en-US" w:eastAsia="en-US" w:bidi="ar-SA"/>
        </w:rPr>
        <w:t xml:space="preserve"> (C.A.) a decision of the B.C.C.A., Madam Justice Ryan said this in relation to the setting aside of a default judgment, at paragraph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effect of an order setting aside a default judgment</w:t>
      </w:r>
      <w:r>
        <w:rPr>
          <w:rFonts w:ascii="arial" w:eastAsia="arial" w:hAnsi="arial" w:cs="arial"/>
          <w:color w:val="000000"/>
          <w:sz w:val="20"/>
          <w:lang w:val="en-US" w:eastAsia="en-US" w:bidi="ar-SA"/>
        </w:rPr>
        <w:t xml:space="preserve">, however, does not end the dispute but </w:t>
      </w:r>
      <w:r>
        <w:rPr>
          <w:rFonts w:ascii="arial" w:eastAsia="arial" w:hAnsi="arial" w:cs="arial"/>
          <w:b/>
          <w:color w:val="000000"/>
          <w:sz w:val="20"/>
          <w:lang w:val="en-US" w:eastAsia="en-US" w:bidi="ar-SA"/>
        </w:rPr>
        <w:t>restores the parties to their original position</w:t>
      </w:r>
      <w:r>
        <w:rPr>
          <w:rFonts w:ascii="arial" w:eastAsia="arial" w:hAnsi="arial" w:cs="arial"/>
          <w:color w:val="000000"/>
          <w:sz w:val="20"/>
          <w:lang w:val="en-US" w:eastAsia="en-US" w:bidi="ar-SA"/>
        </w:rPr>
        <w:t>. Although the "right" of the successful plaintiff to judgment has been set aside, judgment in the plaintiff's favour has not been finally refused, and the dispute between the parties remains unresolved.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analysis of the facts of the case before me in the context of the law regarding letters of credit raises for resolution what would make an excellent law school exam question, in this sense, there are many interesting and excellent arguments which have been made - but the fact situation remains resistant to a compelling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do not intend to discuss each of the well-researched and argued submissions made -- neither those of Shandong arguing for strict adherence to the legal rules applicable to letters of credit as they apply to international trade, nor will I discuss the many arguments for the application of equitable rules to the bank's position given that it was obeying Court orders. I have considered all of the excellent submissions made in both oral and written argument. After wandering down many beckoning paths of legal analysis, the doctrine of frustration appears to me to be the most applicable to the facts as I understand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Here the fact situation comes closest to cases of delay amounting to commercial frustration as discussed by G.H.L. Friedman in The Law of Contract, Second Edition, pages 606 to 608: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Various events may occur subsequently upon the making of a contract, interfere with its proper performance, and cause delays. There might be: physical manifestations, such as storms, floods, etc.; human activity such as strikes; governmental regulation which prevents continuation with the work in question; or the outbreak of war which makes it impossible to deliver goods from one country to another, or, as resulted from the events of 1956, closes a normal shipping route, such as the Suez Canal, with all the ensuing delays that came about from that historic event. If such an event holds up performance of the contract for a limited period, the contract may not be frustrated, even if the length of the period is unforeseeable or incalculable. An infinite delay, or one which would mean that the performance of the contract would not occur on the contracted date, has frequently been held to result in frustration. Indeed, as noted earlier, such instances were the paradigm cases of "frustration", as contrasted with impossibility. They have lent their name to the whole doctrine.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seem, therefore, that the effect of delay is dependent upon: (1) what were the terms and obligations of the contract; (2) how serious was the delay; and (3) whether its effect is to render the original contract futile, or change its nature so that it is now something utterly different, if performed, from what was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However, that doctrine is only available in relation to shipments five and six for the reasons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Factually, the acceptance of documents by the bank in relation to shipments five and six occurred on 3 February and 9 March 1998 respectively. The injunction was the cause of non-payment on those drafts until the obtaining of the default judgment on 9 September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that the bank's severing of its banking relationship with Pan Pacific following the Court ordered cancellation of the Letter of Credit was, although not made necessary by the Court order, nevertheless reasonable. On 10 September 1999 the default judgment was declared a nullity the effect of which was to revive the contract. Pan Pacific became insolvent on 18 July 2000. Although this application had been commenced several months before its insolvency, at least at that point in time, if not earlier, the contract became impossible of performance. One essential part of the Letter of Credit is the recourse of reimbursement by the purchaser which the bank has upon payment to the beneficiary. Thus, there can be no ordering of specific performance because the parties, upon revival of the Letter of Credit and the setting aside of the injunction cannot be put in the same position in which they were prior to the Court ordered intervening events. Thus, the contract created by the Letter of Credit was incapable of performance, that is, not merely temporarily suspended, as was the case until 9 September 1998, but impossible of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At paragraphs 14 to 19 pages 8 and 9 of these reasons, the facts in relation to shipments one through four are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Those facts can be summarized as follows: the bank's obligation crystallized upon acceptance of the documents provided by Shandong. Acceptance of such documents according to the terms of the Letter of Credit - including the release of the documents to Pan Pacific obligated the bank to honour Shandong's drafts on sight upon receipt of specific required documents. By 16 January 1998 the issuing bank had accepted the required documents in support of the third and fourth shipments. The bank was obligated to pay "on sight". Having accepted the documents six days prior to being served with the injunction, the bank was in breach of its obligations to pay in a timely manner the drafts in relation to shipments one to four.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Thus, it cannot be said that the cause of the bank's inability to honour its obligation or comply with the terms of the contract by which it was bound was the injunction and then the subsequent default judgment. The cause was the bank's own failure to meet the strict obligations imposed upon it by the Letter of Credit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first four shipments and the drafts for payment of them were not only not impossible of payment but were not paid because of the breach of its contractual obligations by the bank. The last two shipments and the drafts in respect of them were rendered frustrated by delay rendering the contract upon which they were based impossible of performance because the nature of the contract was changed radically by the supervening events. In relation to the first four shipments, the law of frustration is of no assistance to the bank. The principle preventing its application is set out succinctly in R.M. Goode, Commercial Law (1985), at p. 136-137: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Self induced frustration does not terminate a contract, so that, for example, a party who fails to take proper steps to apply for an export license cannot rely on the failure to obtain the license as a frustrating event, and supervening impossibility that would have been avoided if the party invoking it had not previously broken the contract will not ground a plea of frustration.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 have not analysed the effect of s. 4(b) of the Frustrated Contract Act, </w:t>
      </w:r>
      <w:r>
        <w:rPr>
          <w:rFonts w:ascii="arial" w:eastAsia="arial" w:hAnsi="arial" w:cs="arial"/>
          <w:i/>
          <w:color w:val="000000"/>
          <w:sz w:val="20"/>
          <w:lang w:val="en-US" w:eastAsia="en-US" w:bidi="ar-SA"/>
        </w:rPr>
        <w:t>R.S.B.C. 1996, c. 166</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If a part of any contract to which this Act applies is wholly performed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before the parties are discharged, or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for the payment in respect of that part of the contract of sums that are or can be ascertained under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that part may be severed from the remainder of the contract, that part must, for this Act, be treated as a separate contract that has not been frustrated or avoided, and this Act, excepting this section, is applicable only to the remainder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Act was alluded to by the defendant Shandong. It appears to me that it provides, where it applies, for what I have found to be the result by applying the common law. That is, that the last two shipments may be severed from the first four and treated separately for the purposes of any analysis of the application of the doctrine of frustration.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bank submits that the Court ought to consider, in relation to any remedy sought by Shandong, that it bears responsibility in whole or in part for any consequences it suffered from Pan Pacific obtaining the ex parte injunction and the default judgment because it failed to act in a timely way to seek redress. Specifically, the bank relies on the failure of Shandong to move to set aside the injunction which on its terms it could have on 24 hours notice. Shandong was urged to attorn to the B.C. Court's jurisdiction or at least to enter an appearance for the purposes of contesting the Court's jurisdiction to grant the injunction or the default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While one is struck by what in hindsight appears a simple remedy in law, that is, appear and seek to have the injunction set aside, as already found by this Court neither of those orders was properly obtained. It was and is very likely that the proper forum for resolution of any dispute in relation to the sales contract between Pan Pacific and Shandong was not British Columbia. Thus, the actions and non-action of Shandong in protesting to both Pan Pacific's counsel by fax and letter and to the Court by various correspondence but failing to retain counsel in B.C. were not only not avoidance but were likely correct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 does not lie in the mouth of Pan Pacific nor in that of the bank to say, we improperly brought you before the Courts in B.C. and you should bear the consequences of failing to properly attorn to the jurisdiction. The bank is not entirely innocent in the impropriety of obtaining these orders. It is true it did not appear before the Court and make submissions and directly join in allowing misrepresentation and non-disclosure to ground the granting of the orders. But, it was a party and was served with the mistaken materials and rather than bringing any misrepresentations to the attention of the Court, it took full advantage of those mistakes and chose not to pay out even on the first two shipments which the Court had been told had been "drawn down". The same submissions and misrepresentation were put before the judge granting the default judgment and again the bank did nothing although it had notice of the mistakes or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bank pleaded two defences to the Letter of Credit itself. Neither was pressed by counsel for the bank in argument but they were not abandoned either. The defences were: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Shandong failed to comply with mandatory shipping dates and other strict requirements in the Letter of Credit, and hence was not entitled to call upon such letters of credit;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 the garlic shipment was defective and was of little or no value, and the Defendant's loss is limited to such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Dealing with the first defence, the short answer to that allegation is that if there was a failure of strict compliance with the terms of the Letter of Credit as alleged, the appropriate time and the only time for complaint in regard to such breaches is when the "required documents" are tendered. The bank could have refused to accept the documents and if it had within the stipulated seven days of receiving them, the remedy of non-payment would have been available. However, the bank accepted the documents and has no right now to complain. The parties are bound by the terms of the Letter of Credit to Article 14 of the UCP 500 which contains rules respecting exactly this situation. Those rules are clear and applicable:</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applicable]</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receipt of the documents the Issuing Bank and/or Confirming Bank, if any, or a Nominated Bank acting on their behalf, must determine on the basis of the documents alone whether or not they appear on their face to be in compliance with the terms and conditions of the Credit. If the documents appear on their face not to be in compliance with the terms and conditions of the Credit, such banks may refuse to take up the documents.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Issuing Bank determines that the documents appear on their face to not be in compliance with the terms and conditions of the Credit, it may in its sole judgment approach the Applicant for a waiver of the discrepancy(ies). This does not, however, extend the period mentioned in sub-Article 13(b).</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If the Issuing Bank and/or Confirming Bank, if any, or a Nominated Bank acting on their behalf, decides to refuse the documents, it must give notice to that effect by telecommunication or, if that is not possible, by other expeditious means, without delay but no later than the close of the seventh banking day following the day of receipt of the documents. Such notice shall be given to the bank from which it received the documents, or to the Beneficiary, if it received the documents directly from him.</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notice must state all discrepancies in respect of which the bank refuses the documents and must also state whether it is holding the documents at the disposal of, or is returning them to, the presenter.</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Issuing Bank and/or Confirming Bank, if any, shall then be entitled to claim from the remitting bank refund, with interest, of any reimbursement which has been made to that bank.</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If the Issuing Bank and/or Confirming Bank, if any, fails to act in accordance with the provisions of this Article and/or fails to hold the documents at the disposal of, or return them to the presenter, the Issuing Bank and/or Confirming Bank, if any, shall be precluded from claiming that the documents are not in compliance with the terms and conditions of the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Article 8 of the 1977 revision of the UCP, which was in substance similar to UCP 500 (the 1993 revision), was considered by Anderson J. in Banco Nacional de Cuba v. Bank of Nova Scotia </w:t>
      </w:r>
      <w:hyperlink r:id="rId1012" w:history="1">
        <w:r>
          <w:rPr>
            <w:rFonts w:ascii="arial" w:eastAsia="arial" w:hAnsi="arial" w:cs="arial"/>
            <w:i/>
            <w:color w:val="0077CC"/>
            <w:sz w:val="20"/>
            <w:u w:val="single"/>
            <w:shd w:val="clear" w:color="auto" w:fill="FFFFFF"/>
            <w:lang w:val="en-US" w:eastAsia="en-US" w:bidi="ar-SA"/>
          </w:rPr>
          <w:t>(1988), 4 O.R. (3d) 100</w:t>
        </w:r>
      </w:hyperlink>
      <w:r>
        <w:rPr>
          <w:rFonts w:ascii="arial" w:eastAsia="arial" w:hAnsi="arial" w:cs="arial"/>
          <w:color w:val="000000"/>
          <w:sz w:val="20"/>
          <w:lang w:val="en-US" w:eastAsia="en-US" w:bidi="ar-SA"/>
        </w:rPr>
        <w:t xml:space="preserve"> (H.C.J.); affirmed on other grounds, (Ont.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argument of Scotiabank [a confirming bank] on this point is very simple. It is submitted that, under Article 8 of the UCP, BNC, as the issuing bank, was obliged to examine the documents within a reasonable time to determine whether they appeared on their face to be in accordance with the terms and conditions of the credit. </w:t>
      </w:r>
      <w:r>
        <w:rPr>
          <w:rFonts w:ascii="arial" w:eastAsia="arial" w:hAnsi="arial" w:cs="arial"/>
          <w:b/>
          <w:color w:val="000000"/>
          <w:sz w:val="20"/>
          <w:lang w:val="en-US" w:eastAsia="en-US" w:bidi="ar-SA"/>
        </w:rPr>
        <w:t>If BNC intended to claim, on the basis of the documents alone, that the documents did not comply, it was obliged to give notice of that claim to Scotiabank, without delay, stating the reasons for the claim. In addition, BNC was obliged under Article 8 to return the documents to Scotiabank or hold them at Scotiabank's disposal</w:t>
      </w:r>
      <w:r>
        <w:rPr>
          <w:rFonts w:ascii="arial" w:eastAsia="arial" w:hAnsi="arial" w:cs="arial"/>
          <w:color w:val="000000"/>
          <w:sz w:val="20"/>
          <w:lang w:val="en-US" w:eastAsia="en-US" w:bidi="ar-SA"/>
        </w:rPr>
        <w:t>. Failure to comply with Article 8, it is submitted, precludes BNC as the issuing bank from claiming that payment made under the LC was improper. The obligations of the issuing bank under Article 8 are clear and explicit and are confirmed in the evidence of Davis.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realm of documentary credits is, in many respects, a world apart, technical and conventional, and those who would move within it have their courses determined and constrained by its technicalities and conventions as closely as the players in a game of chess. </w:t>
      </w:r>
      <w:r>
        <w:rPr>
          <w:rFonts w:ascii="arial" w:eastAsia="arial" w:hAnsi="arial" w:cs="arial"/>
          <w:b/>
          <w:color w:val="000000"/>
          <w:sz w:val="20"/>
          <w:lang w:val="en-US" w:eastAsia="en-US" w:bidi="ar-SA"/>
        </w:rPr>
        <w:t>Upon remittance of the documents to it by Scotiabank, BNC failed to make the moves required by Article 8. That failure precludes success in this action</w:t>
      </w:r>
      <w:r>
        <w:rPr>
          <w:rFonts w:ascii="arial" w:eastAsia="arial" w:hAnsi="arial" w:cs="arial"/>
          <w:color w:val="000000"/>
          <w:sz w:val="20"/>
          <w:lang w:val="en-US" w:eastAsia="en-US" w:bidi="ar-SA"/>
        </w:rPr>
        <w:t>. If the defence under Article 8 seems barren and technical, it is not a whit more so than the claim against which it is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Thus, there is no merit whatsoever to this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issuing bank's second defence based on alleged defects in the quality of the garlic when it arrived in Vancouver violates the autonomy principle in UCP 500 and the common law. Bankers deal in documents, not goods. An issuing bank cannot set up a breach of the underlying sales agreement as a reason to dishonour a draft drawn on the Letter of Credit. The autonomy principle is fundamental to the commercial efficacy of letters of credit and cannot be disregarded.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the words of Lambert, J.A., dissenting on other grounds in Michael Doyle &amp; Associates Ltd. v. Bank of Montreal, </w:t>
      </w:r>
      <w:hyperlink r:id="rId1013" w:history="1">
        <w:r>
          <w:rPr>
            <w:rFonts w:ascii="arial" w:eastAsia="arial" w:hAnsi="arial" w:cs="arial"/>
            <w:i/>
            <w:color w:val="0077CC"/>
            <w:sz w:val="20"/>
            <w:u w:val="single"/>
            <w:shd w:val="clear" w:color="auto" w:fill="FFFFFF"/>
            <w:lang w:val="en-US" w:eastAsia="en-US" w:bidi="ar-SA"/>
          </w:rPr>
          <w:t>[1982] 6 W.W.R. 24</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w:t>
      </w:r>
      <w:r>
        <w:rPr>
          <w:rFonts w:ascii="arial" w:eastAsia="arial" w:hAnsi="arial" w:cs="arial"/>
          <w:b/>
          <w:color w:val="000000"/>
          <w:sz w:val="20"/>
          <w:lang w:val="en-US" w:eastAsia="en-US" w:bidi="ar-SA"/>
        </w:rPr>
        <w:t>the whole theory of a commercial letter of credit is that when the seller parts with documents of title to the goods he will receive in exchange some form of irrevocable commitment of the issuing bank.</w:t>
      </w:r>
      <w:r>
        <w:rPr>
          <w:rFonts w:ascii="arial" w:eastAsia="arial" w:hAnsi="arial" w:cs="arial"/>
          <w:color w:val="000000"/>
          <w:sz w:val="20"/>
          <w:lang w:val="en-US" w:eastAsia="en-US" w:bidi="ar-SA"/>
        </w:rPr>
        <w:t xml:space="preserve"> (p. 500).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about April 20, the first shipment arrived in Holland. On an inspection of the shipment there, it was considered by [the applicant] Landa to be a poor quality and not up to sample. Questions have arisen between [the beneficiary] Doyle Ltd. as seller and Landa as buyer about the packing of the herring and its transportation to Holland. </w:t>
      </w:r>
      <w:r>
        <w:rPr>
          <w:rFonts w:ascii="arial" w:eastAsia="arial" w:hAnsi="arial" w:cs="arial"/>
          <w:b/>
          <w:color w:val="000000"/>
          <w:sz w:val="20"/>
          <w:lang w:val="en-US" w:eastAsia="en-US" w:bidi="ar-SA"/>
        </w:rPr>
        <w:t>But in accordance with the whole system under which letters of credit operate, those questions have nothing to do with the bank issuing the credit or the intermediary bank. In this case, they must be solved between Doyle Ltd. and Landa</w:t>
      </w:r>
      <w:r>
        <w:rPr>
          <w:rFonts w:ascii="arial" w:eastAsia="arial" w:hAnsi="arial" w:cs="arial"/>
          <w:color w:val="000000"/>
          <w:sz w:val="20"/>
          <w:lang w:val="en-US" w:eastAsia="en-US" w:bidi="ar-SA"/>
        </w:rPr>
        <w:t>. (p. 504)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Bankers do not judge the extent to which the documents are adequate as a protection for the buyer or the seller. </w:t>
      </w:r>
      <w:r>
        <w:rPr>
          <w:rFonts w:ascii="arial" w:eastAsia="arial" w:hAnsi="arial" w:cs="arial"/>
          <w:b/>
          <w:color w:val="000000"/>
          <w:sz w:val="20"/>
          <w:lang w:val="en-US" w:eastAsia="en-US" w:bidi="ar-SA"/>
        </w:rPr>
        <w:t>Any defects in the product, or any failure of the product to meet the description in the documents, must be a matter between the buyer and the seller</w:t>
      </w:r>
      <w:r>
        <w:rPr>
          <w:rFonts w:ascii="arial" w:eastAsia="arial" w:hAnsi="arial" w:cs="arial"/>
          <w:color w:val="000000"/>
          <w:sz w:val="20"/>
          <w:lang w:val="en-US" w:eastAsia="en-US" w:bidi="ar-SA"/>
        </w:rPr>
        <w:t>. The only concern of the banks is whether the documents, on their face, comply with the documents described in the credit (p. 506)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does not follow that if an alleged defect in the quality of the garlic which may constitute a breach of the underlying separate contract is not a matter for the bank in regard to payment on the Letter of Credit, as a fundamental part of the law of letters of credit - it surely cannot become a defence because of the circumstances of this case. I note that if the sole basis of the claim of equitable fraud is the allegedly poor quality garlic - that is no defence to an obligation to pay on this Letter of Credit either. If it was not available to Pan Pacific then it is not available to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bank, however, in the alternative, seeks a set-off either at common law or an equitable set-off. The beneficiary's recovery against the issuing bank under a Letter of Credit is in no way limited to the market value of the goods or services delivered pursuant the underlying contract. The issuing bank, however, claims a set-off against any liability under the Letter of Credit equal to the amount by which the value of the goods delivered were less than the value of the goods contracted for. A set-off in these circumstances is not only contrary to the autonomy principle, but also unsupported by the authorities concerning set-offs generally. A set-off will only be awarded where the defendant has a claim against the plaintiff arising from the same contract or an interrelated contract between the same parties. In a transaction secured by Letter of Credit, the inter-connectedness necessary for a set-off is absent. In my view, because of the overriding principles invoked by the parties by providing for a Letter of Credit they chose to be bound by the autonomy principle. There can be no set-off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If the issuing bank had paid promptly in relation to the first four shipments, which it acknowledged to its customer Pan Pacific and the negotiating bank that it was bound to do, then there would have been no issue of non-payment and certainly no issue of set-off. Thus, in my view, the bank cannot avail itself of the principles of equitable set-off as set out in Coba Industries Ltd. v. Millie's Holdings (Canada) Ltd. </w:t>
      </w:r>
      <w:hyperlink r:id="rId1014" w:history="1">
        <w:r>
          <w:rPr>
            <w:rFonts w:ascii="arial" w:eastAsia="arial" w:hAnsi="arial" w:cs="arial"/>
            <w:i/>
            <w:color w:val="0077CC"/>
            <w:sz w:val="20"/>
            <w:u w:val="single"/>
            <w:shd w:val="clear" w:color="auto" w:fill="FFFFFF"/>
            <w:lang w:val="en-US" w:eastAsia="en-US" w:bidi="ar-SA"/>
          </w:rPr>
          <w:t>[1985] B.C.J. No. 1994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bank has no equitable ground for being protected from payment out in full on the first four shipments. Any such equitable ground must go to the very root of the plaintiff's claim before a set-off will be allowed. Exactly the opposite is the case here - the very root of the plaintiff's claim is payment on an irrevocable Letter of Credit the terms of which in relation to the bank it properly complied with. It was the bank's tardiness in payment that resulted in non-payment of the first four shipments and it did not and could not have denied payment when due because of any alleged defect in the quality of the goods sold pursuant to the contract between Pan Pacific and Shandong.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result and in summary, I make the following orders:</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 parte injunction ordered by this Court on 22 January 1998 is set aside and declared a nullity.</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make the following declarations: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Shandong's alleged failure to comply with the terms of the Letter of Credit as amended 17 December 1997 is not a defence to an action on the Letter of Credit or the drafts issued thereunder;</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the interlocutory injunction of 22 January 1998 nor the default judgment dated 9 September 1998 is a defence to an action on the drafts issued in relation to the first four shipments of garlic under the Letter of Credit;</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combination of the interlocutory injunction and the default judgment are a defence to an action on the drafts issued under the Letter of Credit for shipments five and six;</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Shandong's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a defence to any action on the Letter of Credit or the drafts thereunder;</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issuing bank is not entitled to a set-off against its liability under the Letter of Credit or the drafts thereunder.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Shandong will have its costs of this trial at Level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KOENIGSBERG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January 16,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recent Reasons for Judgment issued January 10, 2001 the reasons indicate Mr. Mancuso appeared on behalf of the plaintiff, Pan Pacific Specialties Ltd. No one appeared on behalf of the plaintiff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KOENIGSBERG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4"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5"/>
          <w:headerReference w:type="default" r:id="rId1016"/>
          <w:footerReference w:type="even" r:id="rId1017"/>
          <w:footerReference w:type="default" r:id="rId1018"/>
          <w:headerReference w:type="first" r:id="rId1019"/>
          <w:footerReference w:type="first" r:id="rId10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1" w:history="1">
        <w:r>
          <w:rPr>
            <w:rFonts w:ascii="arial" w:eastAsia="arial" w:hAnsi="arial" w:cs="arial"/>
            <w:b/>
            <w:bCs/>
            <w:i/>
            <w:color w:val="0077CC"/>
            <w:kern w:val="32"/>
            <w:sz w:val="28"/>
            <w:szCs w:val="32"/>
            <w:u w:val="single"/>
            <w:shd w:val="clear" w:color="auto" w:fill="FFFFFF"/>
            <w:lang w:val="en-US" w:eastAsia="en-US" w:bidi="ar-SA"/>
          </w:rPr>
          <w:t>Pepper's Produce Ltd. v. Medallion Realty Ltd., [2013] B.C.J. No. 2773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25-28, July 17-19, October 31 and November 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S090003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2773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2314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Pepper's Produce Ltd., Plaintiff, and Medallion Realty Ltd. dba Sutton Group, Medallion Realty, Anna Wai Shan Cheng and Geoffrey Boe Kay 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5"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1" w:name="Keywords_38"/>
      <w:bookmarkEnd w:id="281"/>
      <w:r>
        <w:rPr>
          <w:rFonts w:ascii="arial" w:eastAsia="arial" w:hAnsi="arial" w:cs="arial"/>
          <w:b/>
          <w:color w:val="000000"/>
          <w:sz w:val="20"/>
          <w:lang w:val="en-US" w:eastAsia="en-US" w:bidi="ar-SA"/>
        </w:rPr>
        <w:t>Professional responsibility — Regulated occupations — Dealings with customers or clients — Duty of care — Standard of care — Occupations — Real estate — Action by Pepper's Produce to recover amounts paid for equipment it bought for its business dismissed — Pepper's Produce agreed to buy a grocery store business but refused to complete the transaction — It submitted that the defendant realtors, limited dual agents for both buyer and seller, induced it to finalize the purchase agreement before it had acquired a lease for the business premises — The realtors breached the standard of care by failing to recommend against removing the last subject until a new lease or proper assignment was in place — However, Pepper's Produce failed to prove its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Real estate agents and brokers — Agent's duties to principal — Action by Pepper's Produce to recover amounts paid for equipment it bought for its business dismissed — Pepper's Produce agreed to buy a grocery store business but refused to complete the transaction — It submitted that the defendant realtors, limited dual agents for both buyer and seller, induced it to finalize the purchase agreement before it had acquired a lease for the business premises — The realtors breached the standard of care by failing to recommend against removing the last subject until a new lease or proper assignment was in place — However, Pepper's Produce failed to prove its loss.</w:t>
      </w:r>
    </w:p>
    <w:p>
      <w:pPr>
        <w:jc w:val="both"/>
        <w:rPr>
          <w:rFonts w:ascii="arial" w:eastAsia="arial" w:hAnsi="arial" w:cs="arial"/>
          <w:sz w:val="20"/>
          <w:lang w:val="en-US" w:eastAsia="en-US" w:bidi="ar-SA"/>
        </w:rPr>
      </w:pPr>
      <w:bookmarkStart w:id="282" w:name="Legislation Cited_24"/>
      <w:bookmarkEnd w:id="2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6"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 and Equity Act, </w:t>
      </w:r>
      <w:hyperlink r:id="rId1022" w:history="1">
        <w:r>
          <w:rPr>
            <w:rFonts w:ascii="arial" w:eastAsia="arial" w:hAnsi="arial" w:cs="arial"/>
            <w:i/>
            <w:color w:val="0077CC"/>
            <w:sz w:val="20"/>
            <w:u w:val="single"/>
            <w:shd w:val="clear" w:color="auto" w:fill="FFFFFF"/>
            <w:lang w:val="en-US" w:eastAsia="en-US" w:bidi="ar-SA"/>
          </w:rPr>
          <w:t>RSBC 1996, CHAPTER 253, s. 59</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3" w:name="Counsel_46"/>
      <w:bookmarkEnd w:id="2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7"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Representative for the Plaintiff: Leon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Scott B. Twining, Lindsay D. Williams,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4" w:name="Judgment_44"/>
      <w:bookmarkEnd w:id="284"/>
      <w:r>
        <w:pict>
          <v:line id="_x0000_s1238"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5" w:name="N.H. SMITH J._0"/>
            <w:bookmarkEnd w:id="285"/>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company agreed to buy a grocery store business, but later refused to complete the transaction. It says the defendant realtors, who acted as limited dual agents for both buyer and seller, induced it to finalize the purchase agreement before it had acquired a lease for the business premises. As a result, the plaintiff says, it was unable to use new equipment it bought for use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business at issue was the Terra Nova Market, operated in Richmond by Gaotam Enterprises Ltd. ("Gaotam"). The plaintiff Pepper's Produce Ltd. also operated a grocery business in Richmond. Stephen Wong is the principal of the plaintiff company and Leon Lam, who represented the plaintiff at trial, is a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Terra Nova Market was advertised for sale in or about April 2008, with the defendant Anna Wai Shan Cheng as the listing realtor. Mr. Wong responded to the advertisement and dealt with Ms. Cheng's colleague, the defendant Geoffrey Boe Kay Ng. Mr. Ng's dealings with the vendor were through Guang Wei (James) Tan, a Gaotam employee. Mr. Tan was neither an officer nor director of Gaotam, but one of the company's principals ultimately signed the contract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Gaotam was the assignee of a lease dated June 1, 2005. It was a term of the lease that it could not be assigned without the written consent of the landlord. Based on information he had received from Mr. Tan, Mr. Ng told Mr. Wong there were four years left on the lease. In fact, there were only two years left. Mr. Wong testified that he never saw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April 29, 2008, the plaintiff presented a written offer to purchase the business for $35,000. On May 12, 2008, a price of $57,000 was agreed to. Mr. Wong paid a deposit of $5,000 on that day, with a further $10,000 to be paid on subject removal and the balance of the purchase price on June 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contract of purchase and sale contained four subject clauses, including one that it was "subject to the Landlord approving the Purchaser to assume the existing lease by May 17, 2008." That subject condition had been amended twice during negotiations. The original version, as it read on April 29, 2008, was: "Subject to the landlord approving the buyer to take over the existing lease by May 26th, 2008." That was amended to read: "Subject to the landlord and the buyer entering into a satisfactory new lease by May 26th, 2008." The final version restored the original wording, but with an earlier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the final form of the contract called for assumption of the existing lease, Mr. Wong testified that he was not interested in an assumption and at all times wanted a new lease. He said he did he did not understand that the final version of the agreement only called for an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May 14, 2008, Mr. Wong signed an addendum to the contract of purchase and sale, removing all subjects except the one requiring the landlord's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Tan arranged for Mr. Wong to meet with the landlord, Keith Chu, and that meeting took place in a coffee shop on May 15, 2008. Mr. Tan, Ms. Cheng and Mr. Ng were also present. During the trial, Mr. Lam, on behalf of the plaintiff, suggested that the person introduced to Mr. Wong as the landlord may have been an imposter, but there is no evidence to support that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 to Mr. Ng, Mr. Wong and Mr. Chu verbally agreed at that May 15 meeting on the terms of a new lease. Mr. Wong said Mr. Chu was agreeable to entering into a new lease, but terms were not finalized. Mr. Chu did not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same day that he met with Mr. Chu, Mr. Wong signed a further addendum to the contract of purchase and sale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Buyer is removing all subjects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other terms and conditions remain the same.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now a firm and binding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Wong testified that he signed that addendum at Mr. Ng's request and relied on Mr. Ng's assurance that a new lease would be provided. Mr. Wong's solicitor subsequently drafted a new lease, but Mr. Chu never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the completion date arrived, the plaintiff had neither a new lease nor a written approval for assignment of the existing lease. The plaintiff refused to complete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failure of the transaction resulted in provincial court proceedings in which Gaotam and/or its principal sought to retain the plaintiff's deposit. That proceeding was dismissed, apparently because the plaintiff's claim against Gaotam for return of the deposit was also part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Pursuant to a settlement with Gaotam, the plaintiff has now received a refund of the $15,000 deposit that it paid, plus a further $10,000. However, the plaintiff says that before realizing it could not complete the transaction, it spent $31,000 for equipment to be used in the business and seeks to recover that amount from the defendants. The plaintiff says it had no other use for the equipment and eventually had to dispose of it after incurring storage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trial, Mr. Lam repeatedly emphasized some issues that I do not consider relevant. The agreement of purchase and sale referred to the vendor as "Gao Tam" (two words) instead of "Gaotam." As I understand the plaintiff's position, it alleges this made the contract an unenforceable agreement with a non-existent company. The plaintiff also says the agreement was made with Mr. Tan, who had no authority to contract on behalf of the company, and that Mr. Ng failed to satisfy himself that he was dealing with an authorized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the misnomer to be a simple spelling error of no significance. I also find that that although Mr. Tan had no authority to bind the company, the contract was subsequently ratified. In any event, the enforceability of the contract is not in issue in this action. Gaotam was at all times willing to complete the transaction and the plaintiff's refusal to complete was not based on either of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relevant issue is whether Mr. Ng had a duty to advise Mr. Wong against removing the final subject condition when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Clearly, the business would have little or no value if the new owner did not acquire the right to continue operations in the existing location. When Mr. Wong removed the last subject clause, the plaintiff had not yet acquired that right. It had neither a new lease nor a written consent to assume the existing one. By removing the last subject clause, the plaintiff was assuming liability to pay $57,000 for a business it might be unable to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Mr. Ng may have understood that Mr. Wong and Mr. Chu had verbally agreed to enter into a new lease. But as a realtor, Mr. Ng knew or ought to have known that, if the lease was to be for a term of more than three years, only a written document would make the agreement binding. Section 59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reads in part.</w:t>
      </w:r>
      <w:r>
        <w:rPr>
          <w:rFonts w:ascii="arial" w:eastAsia="arial" w:hAnsi="arial" w:cs="arial"/>
          <w:sz w:val="20"/>
          <w:lang w:val="en-US" w:eastAsia="en-US" w:bidi="ar-SA"/>
        </w:rPr>
        <w:cr/>
      </w:r>
    </w:p>
    <w:p>
      <w:pPr>
        <w:numPr>
          <w:numId w:val="2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does not apply to</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 to grant a lease of land for a term of 3 years or less ...</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 respecting land or a disposition of land is not enforceable unless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in a writing signed by the party to be charged or by that party's agent, both an indication that it has been made and a reasonable indication of the subject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duty owed by a real estate agent was discussed by Lysyk J. in </w:t>
      </w:r>
      <w:r>
        <w:rPr>
          <w:rFonts w:ascii="arial" w:eastAsia="arial" w:hAnsi="arial" w:cs="arial"/>
          <w:i/>
          <w:color w:val="000000"/>
          <w:sz w:val="20"/>
          <w:lang w:val="en-US" w:eastAsia="en-US" w:bidi="ar-SA"/>
        </w:rPr>
        <w:t>Sedgemore v. Block Bros. Realty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(1985), 39 R.P.R. 38</w:t>
      </w:r>
      <w:r>
        <w:rPr>
          <w:rFonts w:ascii="arial" w:eastAsia="arial" w:hAnsi="arial" w:cs="arial"/>
          <w:color w:val="000000"/>
          <w:sz w:val="20"/>
          <w:lang w:val="en-US" w:eastAsia="en-US" w:bidi="ar-SA"/>
        </w:rPr>
        <w:t xml:space="preserve"> (S.C.). At para. 30, he adopted the following passage from </w:t>
      </w:r>
      <w:r>
        <w:rPr>
          <w:rFonts w:ascii="arial" w:eastAsia="arial" w:hAnsi="arial" w:cs="arial"/>
          <w:i/>
          <w:color w:val="000000"/>
          <w:sz w:val="20"/>
          <w:lang w:val="en-US" w:eastAsia="en-US" w:bidi="ar-SA"/>
        </w:rPr>
        <w:t>Forster, Real Estate Agency Law</w:t>
      </w:r>
      <w:r>
        <w:rPr>
          <w:rFonts w:ascii="arial" w:eastAsia="arial" w:hAnsi="arial" w:cs="arial"/>
          <w:color w:val="000000"/>
          <w:sz w:val="20"/>
          <w:lang w:val="en-US" w:eastAsia="en-US" w:bidi="ar-SA"/>
        </w:rPr>
        <w:t xml:space="preserve"> (1984) (p. 243):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well established that real estate brokers who elect to provide information and advice to the third parties with whom they may have dealings must exercise reasonable care and skill in the performance of their undertaking in ensuring the completeness and accuracy of such information and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Russell v. Wispinski</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(1996), 13 B.C.L.R. (2d) 196</w:t>
        </w:r>
      </w:hyperlink>
      <w:r>
        <w:rPr>
          <w:rFonts w:ascii="arial" w:eastAsia="arial" w:hAnsi="arial" w:cs="arial"/>
          <w:color w:val="000000"/>
          <w:sz w:val="20"/>
          <w:lang w:val="en-US" w:eastAsia="en-US" w:bidi="ar-SA"/>
        </w:rPr>
        <w:t xml:space="preserve"> (S.C.), Locke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real estate agent in this province must be qualified and licensed. He and his brethren have a statutory monopoly with all the advantages and burdens that that status bestows. He, in my view holds himself out as having some special skills and not the least of this is some ability to draft legally enforceable documents relating to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my view, the duty referred to in </w:t>
      </w:r>
      <w:r>
        <w:rPr>
          <w:rFonts w:ascii="arial" w:eastAsia="arial" w:hAnsi="arial" w:cs="arial"/>
          <w:i/>
          <w:color w:val="000000"/>
          <w:sz w:val="20"/>
          <w:lang w:val="en-US" w:eastAsia="en-US" w:bidi="ar-SA"/>
        </w:rPr>
        <w:t>Russell</w:t>
      </w:r>
      <w:r>
        <w:rPr>
          <w:rFonts w:ascii="arial" w:eastAsia="arial" w:hAnsi="arial" w:cs="arial"/>
          <w:color w:val="000000"/>
          <w:sz w:val="20"/>
          <w:lang w:val="en-US" w:eastAsia="en-US" w:bidi="ar-SA"/>
        </w:rPr>
        <w:t xml:space="preserve"> must extend to ensuring that the client understands the effect of those documents when asked to sign them, particularly when they may not be in the clients'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realtor, as an agent for the vendor or the purchaser, owes fiduciary duties to the client. That relationship is normally inconsistent with acting for both parties in a transaction. However, the parties may agree that the realtor can act for both of them, provided the agent makes "full and fair disclosure of all material circumstances and of everything known to him respecting the subject matter of the contract which would be likely to influence the conduct of the principal" (</w:t>
      </w:r>
      <w:r>
        <w:rPr>
          <w:rFonts w:ascii="arial" w:eastAsia="arial" w:hAnsi="arial" w:cs="arial"/>
          <w:i/>
          <w:color w:val="000000"/>
          <w:sz w:val="20"/>
          <w:lang w:val="en-US" w:eastAsia="en-US" w:bidi="ar-SA"/>
        </w:rPr>
        <w:t>Raso v. Dionigi</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(1993), 12 O.R. (3d) 580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there was a limited dual agency agreement in which both the buyer and seller acknowledged that the realtor was acting for both sides. That contract required the realtor to deal impartially with the parties and to keep certain information obtained from each party confidential. Specifically, the agent was not to disclose the price either party would ultimately be prepared to agree to and was not to disclose either party's motivation to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While the terms of the document may have limited, to some extent, the normal obligations of the realtor to one party or other, I find nothing that excludes the basic duty to fully discuss the terms and effect of a contract and to at least point out terms that that are clearly not in a party's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say there is no expert evidence on the standard of care of a realtor acting under a limited joint agency agreement and submit the court cannot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absence of such evidence. As authority for that proposition, the defendants rely on </w:t>
      </w:r>
      <w:r>
        <w:rPr>
          <w:rFonts w:ascii="arial" w:eastAsia="arial" w:hAnsi="arial" w:cs="arial"/>
          <w:i/>
          <w:color w:val="000000"/>
          <w:sz w:val="20"/>
          <w:lang w:val="en-US" w:eastAsia="en-US" w:bidi="ar-SA"/>
        </w:rPr>
        <w:t>Krawchuk v. Scherbak</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2011 ONCA 352</w:t>
        </w:r>
      </w:hyperlink>
      <w:r>
        <w:rPr>
          <w:rFonts w:ascii="arial" w:eastAsia="arial" w:hAnsi="arial" w:cs="arial"/>
          <w:color w:val="000000"/>
          <w:sz w:val="20"/>
          <w:lang w:val="en-US" w:eastAsia="en-US" w:bidi="ar-SA"/>
        </w:rPr>
        <w:t>, where the Ontario Court of Appeal held that the trial judge had erred in concluding that he could identify the applicable standard of care without the benefit of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Krawchuk</w:t>
      </w:r>
      <w:r>
        <w:rPr>
          <w:rFonts w:ascii="arial" w:eastAsia="arial" w:hAnsi="arial" w:cs="arial"/>
          <w:color w:val="000000"/>
          <w:sz w:val="20"/>
          <w:lang w:val="en-US" w:eastAsia="en-US" w:bidi="ar-SA"/>
        </w:rPr>
        <w:t xml:space="preserve"> was an action by a purchaser in relation to a house that had structural defects. The trial judge dismissed the claim against a realtor, who had accepted and repeated to the purchaser the vendors' representations that any problems had been satisfactorily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Although there was no expert evidence, the Court of Appeal substituted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realtor. The Court said at para. 154: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Whatever the standard of care, given the obvious defects in this house, Ms. Weddell had to either further verify the assurances herself or recommend, in the strongest terms, that Ms. Krawchuk get an independent inspection either before submitting an offer or by making the offer conditional on a satisfactory inspection. The failure to do either was an egregious 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Ng had no duty to obtain a lease on behalf of the plaintiff. That was clearly the job of the plaintiff's solicitor, who appears to have attempted to do so. However, I find that a reasonable realtor would be expected to recommend against removing the last subject until a new lease or a proper assignment was in place and to advise Mr. Wong that a purely verbal agreement with the landlord was insufficient.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failing to give that advice, I find that Mr. Ng breached the applicable standard of care. This finding flows from basic principles of agency and contract and requires no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If the plaintiff had lost its deposit as a result of its refusal to complete the purchase, the defendants would be liable for that amount, along with any consequential damages. However, as said above, the plaintiff recovered its deposit in settlement with the vendor, along with an additional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says that, in expectation of operating and expanding the business it bought equipment for which it had no other use and which it could not resell. This claim was added to the pleadings after the plaintiff settled with Gaotam. The statement of claim also refers to a number of other alleged losses, such as loss of future income to be derived from the business, which were not supported by any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claim for equipment purchases is supported only by an invoice, dated May 20, 2008, from Extra Gift Exchange Inc. That invoice lists a number of items with a total price of $31,073.28.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Lam, who represented the plaintiff at trial, became a director of the company on April 8, 2008. The notice of change of directors gives as his address the same one that appears on the invoice as the address of Extra Gift Exchange. Mr. Lam said that he owns a one per cent interest in the strata lot where Extra Gift Exchange operates and that he operates a separate business, called Richmond Liquidation Sales, at the same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Extra Gift Exchange, Richmond Liquidation Sales 2and Mr. Lam were plaintiffs in an unrelated action against a number of defendants. In reasons for judgment dated March 28, 2007, Sinclair Prowse J. said that Mr. Lam was the president and sole shareholder of Extra Gift Exchange and that he and Extra Gift Exchange jointly carry on business as Richmond Liquidation Sales (</w:t>
      </w:r>
      <w:r>
        <w:rPr>
          <w:rFonts w:ascii="arial" w:eastAsia="arial" w:hAnsi="arial" w:cs="arial"/>
          <w:i/>
          <w:color w:val="000000"/>
          <w:sz w:val="20"/>
          <w:lang w:val="en-US" w:eastAsia="en-US" w:bidi="ar-SA"/>
        </w:rPr>
        <w:t>Extra Gift Exchange Inc., et al v. Ernest &amp; Twins Ventures (PP) Ltd., et al</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2007 BCSC 426</w:t>
        </w:r>
      </w:hyperlink>
      <w:r>
        <w:rPr>
          <w:rFonts w:ascii="arial" w:eastAsia="arial" w:hAnsi="arial" w:cs="arial"/>
          <w:color w:val="000000"/>
          <w:sz w:val="20"/>
          <w:lang w:val="en-US" w:eastAsia="en-US" w:bidi="ar-SA"/>
        </w:rPr>
        <w:t>). It appears from those reasons that the matter was argued by Mr. Lam on behalf of all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cross-examination at this trial, Mr. Lam said the court's reference to him as president and sole shareholder of Extra Gift Exchange was a mistake and the judgment was set aside on appeal. In fact, an appeal was dismissed as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decision of Sinclair Prowse J. came on a motion to strike the plaintiffs' pleadings, which was largely successful. Court records indicate that the portion of the plaintiffs' claim that survived was more recently dismissed by Fenlon J. for want of prosecution. Mr. Lam and Extra Gift are parties to an active appeal against that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absence of some further evidence beyond Mr. Lam's bald statement, I am not prepared to accept that the court erred in referring to him as the owner of Extra Gift Exchange. Even if he is not the owner of that company, he clearly has a close association with it, as indicated by the shared business premises and the common interest in previous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only evidence of the plaintiffs' damages is therefore an invoice to the plaintiff company, of which Mr. Lam is a director, from another company with which Mr. Lam had an ongoing business association, if not an ownership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no documentary evidence that the plaintiff paid the amount set out in the invoice or, any other amount. There are no cancelled cheques -- Mr. Wong says he made a series of cash payments, including some after the transaction with Gaotam failed to complete. There are no bank records showing cash withdrawals to make those payments -- Mr. Wong says he simply used cash received in his existing business. There are no receipts from Extra Gift Exchange for the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those circumstances, I cannot accept the invoice, standing alone, as evidence of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arms-length transaction in which the plaintiff actually paid the amount it now claims. On a balance of probabilities, I find the plaintiff has failed to prove this loss. There is no evidence of any other loss that the plaintiff failed to recover through its settlement with Gaotam.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and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Although I find Mr. Ng failed to meet the standard of care expected of realtor in the circumstances, the plaintiff has failed to prove any loss caused by that failure. The plaintiff's claim is therefore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9"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27"/>
          <w:headerReference w:type="default" r:id="rId1028"/>
          <w:footerReference w:type="even" r:id="rId1029"/>
          <w:footerReference w:type="default" r:id="rId1030"/>
          <w:headerReference w:type="first" r:id="rId1031"/>
          <w:footerReference w:type="first" r:id="rId10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33" w:history="1">
        <w:r>
          <w:rPr>
            <w:rFonts w:ascii="arial" w:eastAsia="arial" w:hAnsi="arial" w:cs="arial"/>
            <w:b/>
            <w:bCs/>
            <w:i/>
            <w:color w:val="0077CC"/>
            <w:kern w:val="32"/>
            <w:sz w:val="28"/>
            <w:szCs w:val="32"/>
            <w:u w:val="single"/>
            <w:shd w:val="clear" w:color="auto" w:fill="FFFFFF"/>
            <w:lang w:val="en-US" w:eastAsia="en-US" w:bidi="ar-SA"/>
          </w:rPr>
          <w:t>Phantom Mortgage Corp. v. Kyle, [2015] B.C.J. No. 1111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J.L. Dorgan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 and March 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14-4163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1111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931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Phantom Mortgage Corporation, Plaintiff, and Maria Kyle, 0824064 B.C. Ltd. doing business as Dominion Lending Centres Vintage Financial, Salvatore Atanasio Martorana and Maria Gaetana Martorana,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0"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6" w:name="Keywords_39"/>
      <w:bookmarkEnd w:id="286"/>
      <w:r>
        <w:rPr>
          <w:rFonts w:ascii="arial" w:eastAsia="arial" w:hAnsi="arial" w:cs="arial"/>
          <w:b/>
          <w:color w:val="000000"/>
          <w:sz w:val="20"/>
          <w:lang w:val="en-US" w:eastAsia="en-US" w:bidi="ar-SA"/>
        </w:rPr>
        <w:t>Civil litigation — Civil procedure — Pleadings — Striking out pleadings or allegations — Failure to disclose a cause of action or defence — Application by Martonara defendants to strike plaintiff's claim against them dismissed — Plaintiff sought declaration against Martoranas as to parties' respective fractional interests in a mortgage — Martoranas did not contest the parties' fractional interests in the mortgage — Although plaintiff's claim for declaratory relief, as presently drafted, did not allege a dispute or disagreement as to the parties' fractional interests in the mortgage, the proposed amendments arguably gave rise to asserted rights or a dispute in respect of which declaratory relief could be sought.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7" w:name="Case Summary_37"/>
            <w:bookmarkEnd w:id="2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Martonara defendants to strike the plaintiff's claim against them. The plaintiff sought a declaration against the Martoranas as to the parties' respective fractional interests in a mortgage. As the Martoranas did not contest the parties' fractional interests in the mortgage, they argued that there was no cause of action for a declaration. The plaintiff argued that it could not seek a declaration against the Martoranas in the foreclosure proceeding, as the proceeds of the mortgage were not allocated among them as joint petitioners. The plaintiff also sought to make amendments to the claim against the Martonaras.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8" w:name="Holdings of Court_35"/>
            <w:bookmarkEnd w:id="28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claim for declaratory relief, as presently drafted, was inadequately pleaded against the Martoranas. The pleadings did not allege a dispute or disagreement as to the parties' fractional interests in the mortgage or a right as against the Martoranas that was in jeopardy. The claim for a declaration against the Martoranas would thus appear too speculative or unripe to entertain at this stage. The mere fact that the Martoranas opposed the plaintiff's claim for declaratory relief did not necessarily imply that the Martoranas disputed the nature or extent of the plaintiff's interest in the mortgage. It was, however, possible to resurrect the cause of action through amendment. The plaintiff's proposed amendments broadened the scope of the declaratory relief sought to encompass its rights under an agreement with the Martoranas generally. These proposed amendments arguably gave rise to asserted rights or a dispute in respect of which declaratory relief could be sought.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9" w:name="Legislation Cited_25"/>
      <w:bookmarkEnd w:id="2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1"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9-5(1)(a)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0" w:name="Counsel_47"/>
      <w:bookmarkEnd w:id="29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2"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D.T. Juteau.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Salvatore Atanasio Martorana and Maria Gaetana Martorana: P.G. Guy.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1" w:name="Judgment_45"/>
      <w:bookmarkEnd w:id="291"/>
      <w:r>
        <w:pict>
          <v:line id="_x0000_s1243"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2" w:name="J.L. DORGAN J."/>
            <w:bookmarkEnd w:id="292"/>
            <w:r>
              <w:rPr>
                <w:rFonts w:ascii="arial" w:eastAsia="arial" w:hAnsi="arial" w:cs="arial"/>
                <w:b/>
                <w:color w:val="000000"/>
                <w:sz w:val="30"/>
                <w:lang w:val="en-US" w:eastAsia="en-US" w:bidi="ar-SA"/>
              </w:rPr>
              <w:t>J.L. DORGAN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Salavatore Atanasio Martorana and Maria Gaetana Martorana, bring this application pursuant to Rule 9-5(1)(a) to strike the plaintiff's Notice of Civil Claim insofar as it applies to them. The plaintiff seeks a declaration against the Martoranas as to the parties' respective fractional interests in a mortgage, as well as an order for interest and costs. As the Martoranas do not contest the parties' fractional interests in the mortgage, they submit there is no cause of action for a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Notice of Civil Claim pleads the following facts, which, for the determination of an application to strike, are presumed to be true:</w:t>
      </w:r>
      <w:r>
        <w:rPr>
          <w:rFonts w:ascii="arial" w:eastAsia="arial" w:hAnsi="arial" w:cs="arial"/>
          <w:sz w:val="20"/>
          <w:lang w:val="en-US" w:eastAsia="en-US" w:bidi="ar-SA"/>
        </w:rPr>
        <w:cr/>
      </w:r>
    </w:p>
    <w:p>
      <w:pPr>
        <w:numPr>
          <w:numId w:val="2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Martoranas are the parents of the defendant, Maria Kyle, and co-mortgage holders with the plaintiff.</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2011, the defendant, Maria Kyle, approached Ron Hampton, agent for the plaintiff, with a mortgage opportunity with a borrower. It is alleged that Ms. Kyle represented to Ron Hampton that the mortgage was a "good one"; that her parents, the Martoranas, were putting up funds to partially fund the mortgage and were "very conservative investors"; and that the risk in the investment was minimal.</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15, 2011, Ron Hampton's predecessor company and the Martoranas registered a mortgage against a property, described 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CA2145231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Registered Owner of Charge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Salvatore Atanasio Martorana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Maria Gaetana Martorana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an undivided 110/185 interest as joint tenants CA 2145231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Bear Properties Ltd. Incorporation No. BC626573 as to an undivided 75/185 interest CA 2145231</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of the mortgage provided that a $20,000 holdback would be retained, advanced only upon verification that the house to be built on the property had been lowered and secured to the foundation, and inspected and approved by the lender.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Ron Hampton advanced an additional $65,000 on the mortgage, and on December 16, 2011, he and the Martoranas registered a modification to the mortgage to reflect this contribution. The predecessor company's interest was increased to 140/250 and the Martoranas' interest was left at 110/250.</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along with the Martoranas subsequently foreclosed on the borrower, obtaining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and judgment against the borrower in the amount of $249,247.47, plus costs.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the date of the claim, the property was listed for sale at below the amount presently owing and has not sold. There will be a significant shortfall from the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makes extensive claims in breach of contract, negligent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Maria Kyle and the numbered company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claim against the Martoranas, in contrast, is relatively brief. At paras. 30-32 of its Notice of Civil Claim, the plaintiff pleads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1:</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STATEMENT OF 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Claim against the Martoranas</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Martoranas hold a 110/250 interest in the Mortgage. The Plaintiff holds a 140/250 interest in the Mortgage.</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Martoranas and the Plaintiff jointly obtained judgment on the Mortgage in the Petition.</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requires a declaration from the court as to the value of the shortfall owed to it personally, taking into account its interest as against the Martoranas, including the fractional interest in costs and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respect to the relief sought against the Martoranas, the Notice of Civil Claim specifies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2:</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RELIEF SOUGHT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Against the Martoranas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Plaintiff is entitled to a 140/250 interest in any shortfall on the Mortgage, plus a 140/250 interest in any accrued interest and costs;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Order Interest;</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action; and</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deems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does not disclose a legal basis for declaratory relief in its Notice of Civil Claim. The plaintiff submits that declaratory relief is grounded in the inherent jurisdiction of the court, which need not be specifically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noted, the Martoranas do not dispute the plaintiff's assertion of the parties' respective fractional interests in the mortgage. They submit there is no factual or legal basis provided as a foundation for the relief claimed against them, and as a result there is nothing to found a cause of action for declaratory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submits that it cannot seek a declaration against the Martoranas in the foreclosure proceeding, as the proceeds of the mortgage are not allocated among them as joint petitioners. As the plaintiff and the Martoranas rank equally on the mortgage, the plaintiff submits that it requires a court declaration to ascertain its rights against Ms. Kyle and enforce its losses against third parties. The plaintiff submits that it must know the "extent of its loss," which is "necessarily a function of its proportional share" in the mortgage, plus its proportional share in the costs and disbursements of the foreclosure proceeding. As for the claim for interest and costs, the plaintiff submits that it is entitled to both when matters are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submits that the Martoranas have contested its rights by denying what it describes as "a simple and relatively uncontroversial" declaration. According to the plaintiff, the Martoranas' denial of the declaration demonstrates their "unwillingness to cooperate" and "contestation of the division of any recovery" on the mortgage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alternative, the plaintiff submits that it intends to file an amended Notice of Civil Claim which outlines further allegations and more clearly describes its cause of action against the Martoranas. While there is no application to amend before the court, the plaintiff has attached proposed amendments to its materials filed in response to this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proposes to add the following to its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1:</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STATEMENT OF 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Claim against the Martoranas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the Martoranas had an agreement in respect of the Mortgage, including but not limited to:</w:t>
      </w:r>
    </w:p>
    <w:p>
      <w:pPr>
        <w:numPr>
          <w:numId w:val="1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priority held as between all other potential rights holders to the Property;</w:t>
      </w:r>
    </w:p>
    <w:p>
      <w:pPr>
        <w:numPr>
          <w:numId w:val="1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original interest and the subsequent interest in the Mortgage as between them, as alleged;</w:t>
      </w:r>
    </w:p>
    <w:p>
      <w:pPr>
        <w:numPr>
          <w:numId w:val="1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payment of interest to the Plaintiff and the Martoranas;</w:t>
      </w:r>
    </w:p>
    <w:p>
      <w:pPr>
        <w:numPr>
          <w:numId w:val="2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Maria Kyle as agent for their ventures under the agreement; and,</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the foreclosure proceeding in joint names and all costs under that proceeding.</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a declaration of its rights under that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2:</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RELIEF SOUGHT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Against the Martoranas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of the Plaintiff's rights under its agreement with the Martoranas.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following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apply to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3-1</w:t>
      </w:r>
    </w:p>
    <w:p>
      <w:pPr>
        <w:numPr>
          <w:numId w:val="2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of civil claim must do the following:</w:t>
      </w:r>
    </w:p>
    <w:p>
      <w:pPr>
        <w:numPr>
          <w:numId w:val="2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statement of the material facts giving rise to the claim;</w:t>
      </w:r>
    </w:p>
    <w:p>
      <w:pPr>
        <w:numPr>
          <w:numId w:val="2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relief sought by the plaintiff against each named defendant;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summary of the legal basis for the relief sought;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9-5(1)(a)</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20-4</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proceeding is not open to objection on the ground that only a declaratory order is sought, and the court may make binding declarations of right whether or not consequential relief is or could be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There is no significant dispute between the parties as to the law on an application to strike. Two principles govern; first, the application is considered on the basis that the facts as set out in the pleadings are true unless they are manifestly incapable of being proven. Second, it must be "plain and obvious" that the pleadings do not disclose a reasonable cause of action: </w:t>
      </w:r>
      <w:r>
        <w:rPr>
          <w:rFonts w:ascii="arial" w:eastAsia="arial" w:hAnsi="arial" w:cs="arial"/>
          <w:i/>
          <w:color w:val="000000"/>
          <w:sz w:val="20"/>
          <w:lang w:val="en-US" w:eastAsia="en-US" w:bidi="ar-SA"/>
        </w:rPr>
        <w:t>Foote v. Hallen</w:t>
      </w:r>
      <w:r>
        <w:rPr>
          <w:rFonts w:ascii="arial" w:eastAsia="arial" w:hAnsi="arial" w:cs="arial"/>
          <w:color w:val="000000"/>
          <w:sz w:val="20"/>
          <w:lang w:val="en-US" w:eastAsia="en-US" w:bidi="ar-SA"/>
        </w:rPr>
        <w:t xml:space="preserve">, </w:t>
      </w:r>
      <w:hyperlink r:id="rId1034" w:history="1">
        <w:r>
          <w:rPr>
            <w:rFonts w:ascii="arial" w:eastAsia="arial" w:hAnsi="arial" w:cs="arial"/>
            <w:i/>
            <w:color w:val="0077CC"/>
            <w:sz w:val="20"/>
            <w:u w:val="single"/>
            <w:shd w:val="clear" w:color="auto" w:fill="FFFFFF"/>
            <w:lang w:val="en-US" w:eastAsia="en-US" w:bidi="ar-SA"/>
          </w:rPr>
          <w:t>2014 BCSC 564</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Both parties, for their own purposes, raise objection to the Martoranas' Response to Civil Claim being considered as part of this application. As noted, Rule 9-5(2) provides that no </w:t>
      </w:r>
      <w:r>
        <w:rPr>
          <w:rFonts w:ascii="arial" w:eastAsia="arial" w:hAnsi="arial" w:cs="arial"/>
          <w:color w:val="000000"/>
          <w:sz w:val="20"/>
          <w:u w:val="single"/>
          <w:lang w:val="en-US" w:eastAsia="en-US" w:bidi="ar-SA"/>
        </w:rPr>
        <w:t>evidence</w:t>
      </w:r>
      <w:r>
        <w:rPr>
          <w:rFonts w:ascii="arial" w:eastAsia="arial" w:hAnsi="arial" w:cs="arial"/>
          <w:color w:val="000000"/>
          <w:sz w:val="20"/>
          <w:lang w:val="en-US" w:eastAsia="en-US" w:bidi="ar-SA"/>
        </w:rPr>
        <w:t xml:space="preserve"> is admissible on an application to strike brought under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Nothing ultimately turns on this issue, however, as the present application can be decided solely on the basis of the plaintiff's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Whether a claim for declaratory relief constitutes a cause of action was considered in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At para. 12, our Court of Appeal affirmed the trial decision of Brenner C.J., and cited with approval the following passage from his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[98] In the traditional formulation, a cause of action consists of a right, a breach of the right, and consequential damage. But an action seeking declaratory relief may arise precisely because the existence of the right is not yet established: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declaratory judgment is a formal statement by the courts pronouncing upon the existence or non-existence of a legal state of affairs. It declares what the legal position is and what are the rights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Stanley A. De Smith, </w:t>
      </w:r>
      <w:r>
        <w:rPr>
          <w:rFonts w:ascii="arial" w:eastAsia="arial" w:hAnsi="arial" w:cs="arial"/>
          <w:i/>
          <w:color w:val="000000"/>
          <w:sz w:val="20"/>
          <w:lang w:val="en-US" w:eastAsia="en-US" w:bidi="ar-SA"/>
        </w:rPr>
        <w:t>Judicial Review of Administrative Action</w:t>
      </w:r>
      <w:r>
        <w:rPr>
          <w:rFonts w:ascii="arial" w:eastAsia="arial" w:hAnsi="arial" w:cs="arial"/>
          <w:color w:val="000000"/>
          <w:sz w:val="20"/>
          <w:lang w:val="en-US" w:eastAsia="en-US" w:bidi="ar-SA"/>
        </w:rPr>
        <w:t>, 5th ed. (London: Sweet &amp; Maxwell, 1995), at 735.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[99] Wilson J. expanded on the anomalous qualities of the declaratory judgment in </w:t>
      </w:r>
      <w:r>
        <w:rPr>
          <w:rFonts w:ascii="arial" w:eastAsia="arial" w:hAnsi="arial" w:cs="arial"/>
          <w:i/>
          <w:color w:val="000000"/>
          <w:sz w:val="20"/>
          <w:lang w:val="en-US" w:eastAsia="en-US" w:bidi="ar-SA"/>
        </w:rPr>
        <w:t>Operation Dismantle v. The Queen</w:t>
      </w:r>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480: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Borchard, </w:t>
      </w:r>
      <w:r>
        <w:rPr>
          <w:rFonts w:ascii="arial" w:eastAsia="arial" w:hAnsi="arial" w:cs="arial"/>
          <w:i/>
          <w:color w:val="000000"/>
          <w:sz w:val="20"/>
          <w:lang w:val="en-US" w:eastAsia="en-US" w:bidi="ar-SA"/>
        </w:rPr>
        <w:t>Declaratory Judgments</w:t>
      </w:r>
      <w:r>
        <w:rPr>
          <w:rFonts w:ascii="arial" w:eastAsia="arial" w:hAnsi="arial" w:cs="arial"/>
          <w:color w:val="000000"/>
          <w:sz w:val="20"/>
          <w:lang w:val="en-US" w:eastAsia="en-US" w:bidi="ar-SA"/>
        </w:rPr>
        <w:t xml:space="preserve"> (2nd ed. 1941), at p. 27, suggests that declaratory relief in cases which are not susceptible of any other relief is distinctive in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 "injury" or "wrong" need have been actually committed or threatened in order to enable the plaintiff to invoke the judicial process; </w:t>
      </w:r>
      <w:r>
        <w:rPr>
          <w:rFonts w:ascii="arial" w:eastAsia="arial" w:hAnsi="arial" w:cs="arial"/>
          <w:color w:val="000000"/>
          <w:sz w:val="20"/>
          <w:u w:val="single"/>
          <w:lang w:val="en-US" w:eastAsia="en-US" w:bidi="ar-SA"/>
        </w:rPr>
        <w:t>he need merely show that some legal interest or right of his has been placed in jeopardy or grave uncertainty</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Although the plaintiff submits the court has broad discretion to grant declaratory relief, the authorities suggest this discretion is not unfettered: </w:t>
      </w:r>
      <w:r>
        <w:rPr>
          <w:rFonts w:ascii="arial" w:eastAsia="arial" w:hAnsi="arial" w:cs="arial"/>
          <w:i/>
          <w:color w:val="000000"/>
          <w:sz w:val="20"/>
          <w:lang w:val="en-US" w:eastAsia="en-US" w:bidi="ar-SA"/>
        </w:rPr>
        <w:t>Behr v. College of Pharmacists of British Columbia</w:t>
      </w:r>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2005 BCSC 879</w:t>
        </w:r>
      </w:hyperlink>
      <w:r>
        <w:rPr>
          <w:rFonts w:ascii="arial" w:eastAsia="arial" w:hAnsi="arial" w:cs="arial"/>
          <w:color w:val="000000"/>
          <w:sz w:val="20"/>
          <w:lang w:val="en-US" w:eastAsia="en-US" w:bidi="ar-SA"/>
        </w:rPr>
        <w:t xml:space="preserve"> at para. 13. In </w:t>
      </w:r>
      <w:r>
        <w:rPr>
          <w:rFonts w:ascii="arial" w:eastAsia="arial" w:hAnsi="arial" w:cs="arial"/>
          <w:i/>
          <w:color w:val="000000"/>
          <w:sz w:val="20"/>
          <w:lang w:val="en-US" w:eastAsia="en-US" w:bidi="ar-SA"/>
        </w:rPr>
        <w:t>Operation Dismantle v. The Queen</w:t>
      </w:r>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Dickson J. expanded on the nature of declaratory relief at 456-457: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According to Eager, The Declaratory Judgment Action (1971), at p. 5:</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remedy [of declaratory relief] is not generally available where the controversy is not presently existing but merely possible or remote; the action is not maintainable to settle disputes which are contingent upon the happening of some future event which may never take place.</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Conjectural or speculative issues, or feigned disputes or one sided contentions are not the proper subjects for declaratory relief.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Similarly, Sarna has said, "The court does not deal with unripe claims, nor does it entertain proceedings with the sole purpose of remedying only possible conflicts": (The Law of Declaratory Judgments (1978), at p. 179).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None of this is to deny the preventative role of the declaratory judgment.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Nonetheless, the preventative function of the declaratory judgment must be based on more than mere hypothetical consequences; </w:t>
      </w:r>
      <w:r>
        <w:rPr>
          <w:rFonts w:ascii="arial" w:eastAsia="arial" w:hAnsi="arial" w:cs="arial"/>
          <w:color w:val="000000"/>
          <w:sz w:val="20"/>
          <w:u w:val="single"/>
          <w:lang w:val="en-US" w:eastAsia="en-US" w:bidi="ar-SA"/>
        </w:rPr>
        <w:t>there must be a cognizable threat to a legal interest before the courts will entertain the use of its process as a preventive measure</w:t>
      </w:r>
      <w:r>
        <w:rPr>
          <w:rFonts w:ascii="arial" w:eastAsia="arial" w:hAnsi="arial" w:cs="arial"/>
          <w:color w:val="000000"/>
          <w:sz w:val="20"/>
          <w:lang w:val="en-US" w:eastAsia="en-US" w:bidi="ar-SA"/>
        </w:rPr>
        <w:t xml:space="preserve">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Cheslatta Carrier Nation v. British Columbia</w:t>
      </w:r>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2000 BCCA 539</w:t>
        </w:r>
      </w:hyperlink>
      <w:r>
        <w:rPr>
          <w:rFonts w:ascii="arial" w:eastAsia="arial" w:hAnsi="arial" w:cs="arial"/>
          <w:color w:val="000000"/>
          <w:sz w:val="20"/>
          <w:lang w:val="en-US" w:eastAsia="en-US" w:bidi="ar-SA"/>
        </w:rPr>
        <w:t>, the Court of Appeal upheld an order to strike out the plaintiff's Writ and Amended Statement of Claim as failing to disclose a reasonable cause of action. The Court of Appeal found, at para. 17, that the declaration sought "would not serve a legal purpose in terms of resolving a real difficulty, present or threatened," because there was no dispute to be resolved. The Court of Appeal also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Generally, modern courts have continued to adhere to the principle that declaratory actions should not be entertained where the declaration will serve little or no practical purpose or raises a matter of only hypothetical interest. Conversely, where the pleadings disclose a "real difficulty," present or threatened, the action will lie. The first edition of Zamir, The Declaratory Judgment (1962), summarized the law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when a person puts himself to the trouble and expense of litigation, he does it to serve some practical purpose of considerable importance for him. It is true that the mere interest of the plaintiff is not sufficient to warrant a declaration of his rights. Declaratory proceedings, though useful enough in the opinion of the plaintiff, have often been dismissed as being hypothetical ... Thus, where a declaration may only satisfy the plaintiff's curiosity, or give him an extra assurance against a possible challenge or infringement of his rights in the future, it will (if there is no real ground for such a doubt or anxiety) be refused as being hypothetical. But where the court holds that it has jurisdiction and that the plaintiff has established his standing, it will be slow to find that the declaration claimed may not be useful enough to justify its intervention. </w:t>
      </w:r>
      <w:r>
        <w:rPr>
          <w:rFonts w:ascii="arial" w:eastAsia="arial" w:hAnsi="arial" w:cs="arial"/>
          <w:color w:val="000000"/>
          <w:sz w:val="20"/>
          <w:u w:val="single"/>
          <w:lang w:val="en-US" w:eastAsia="en-US" w:bidi="ar-SA"/>
        </w:rPr>
        <w:t>Accordingly, where a real doubt is cast on the plaintiff's rights, ensuing from a dispute between the parties, the court will generally regard the mere removal of that doubt as of sufficient utility</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my view, the plaintiff's claim for declaratory relief, as presently drafted, is inadequately pleaded against the Martoranas.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court will only entertain a claim for declaratory relief where there is a "real issue" between the parties to be resolved. Here, the pleadings do not allege a dispute or disagreement as to the parties' fractional interests in the mortgage, nor a right as against the Martoranas that is in jeopardy. The claim for a declaration against the Martoranas would therefore appear too speculative or unripe to entertain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mere fact that the Martoranas oppose the plaintiff's claim for declaratory relief does not necessarily imply that the Martoranas dispute the nature or extent of the plaintiff's interest in the mortgage. On the contrary, in submissions which I accept, the Martoranas have admitted the plaintiff's assertion as to the parties' fractional interests in the mortgage. The plaintiff and the Martoranas are thus in agreement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makes the further submission that declaratory relief does not depend on a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between the parties and can be granted on purely procedural grounds, citing </w:t>
      </w:r>
      <w:r>
        <w:rPr>
          <w:rFonts w:ascii="arial" w:eastAsia="arial" w:hAnsi="arial" w:cs="arial"/>
          <w:i/>
          <w:color w:val="000000"/>
          <w:sz w:val="20"/>
          <w:lang w:val="en-US" w:eastAsia="en-US" w:bidi="ar-SA"/>
        </w:rPr>
        <w:t>British Columbia Ferry Corp. v. T &amp; N plc</w:t>
      </w:r>
      <w:r>
        <w:rPr>
          <w:rFonts w:ascii="arial" w:eastAsia="arial" w:hAnsi="arial" w:cs="arial"/>
          <w:color w:val="000000"/>
          <w:sz w:val="20"/>
          <w:lang w:val="en-US" w:eastAsia="en-US" w:bidi="ar-SA"/>
        </w:rPr>
        <w:t xml:space="preserve"> </w:t>
      </w:r>
      <w:hyperlink r:id="rId1040" w:history="1">
        <w:r>
          <w:rPr>
            <w:rFonts w:ascii="arial" w:eastAsia="arial" w:hAnsi="arial" w:cs="arial"/>
            <w:i/>
            <w:color w:val="0077CC"/>
            <w:sz w:val="20"/>
            <w:u w:val="single"/>
            <w:shd w:val="clear" w:color="auto" w:fill="FFFFFF"/>
            <w:lang w:val="en-US" w:eastAsia="en-US" w:bidi="ar-SA"/>
          </w:rPr>
          <w:t>(1995), 16 B.C.L.R. (3d) 115</w:t>
        </w:r>
      </w:hyperlink>
      <w:r>
        <w:rPr>
          <w:rFonts w:ascii="arial" w:eastAsia="arial" w:hAnsi="arial" w:cs="arial"/>
          <w:color w:val="000000"/>
          <w:sz w:val="20"/>
          <w:lang w:val="en-US" w:eastAsia="en-US" w:bidi="ar-SA"/>
        </w:rPr>
        <w:t xml:space="preserve"> (C.A.). In this regard, the plaintiff emphasizes that the Martoranas, while co-mortgagees and joint petitioners with the plaintiff, are the parents of Ms. Kyle, the principal defendant to this action, and accordingly have information essential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Cheslatta Carrier Nation</w:t>
      </w:r>
      <w:r>
        <w:rPr>
          <w:rFonts w:ascii="arial" w:eastAsia="arial" w:hAnsi="arial" w:cs="arial"/>
          <w:color w:val="000000"/>
          <w:sz w:val="20"/>
          <w:lang w:val="en-US" w:eastAsia="en-US" w:bidi="ar-SA"/>
        </w:rPr>
        <w:t xml:space="preserve">, which referred to </w:t>
      </w:r>
      <w:r>
        <w:rPr>
          <w:rFonts w:ascii="arial" w:eastAsia="arial" w:hAnsi="arial" w:cs="arial"/>
          <w:i/>
          <w:color w:val="000000"/>
          <w:sz w:val="20"/>
          <w:lang w:val="en-US" w:eastAsia="en-US" w:bidi="ar-SA"/>
        </w:rPr>
        <w:t>British Columbia Ferry Corp.</w:t>
      </w:r>
      <w:r>
        <w:rPr>
          <w:rFonts w:ascii="arial" w:eastAsia="arial" w:hAnsi="arial" w:cs="arial"/>
          <w:color w:val="000000"/>
          <w:sz w:val="20"/>
          <w:lang w:val="en-US" w:eastAsia="en-US" w:bidi="ar-SA"/>
        </w:rPr>
        <w:t xml:space="preserve">, the Court of Appeal found that even if a claim for declaratory relief does not require a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it nevertheless requires a real issue to be resolved by way of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the present pleadings fail to disclose a real issue to be resolved through the declaration sought, there is no reasonable cause of action pleaded against the Martoranas. However, before taking the dramatic step of striking a claim, the court will consider whether it is possible to resurrect the cause of action through amendment: </w:t>
      </w:r>
      <w:r>
        <w:rPr>
          <w:rFonts w:ascii="arial" w:eastAsia="arial" w:hAnsi="arial" w:cs="arial"/>
          <w:i/>
          <w:color w:val="000000"/>
          <w:sz w:val="20"/>
          <w:lang w:val="en-US" w:eastAsia="en-US" w:bidi="ar-SA"/>
        </w:rPr>
        <w:t>International Taoist Church of Canada v. Ching Chung Taoist Association of Hong Kong Limited</w:t>
      </w:r>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submits that its proposed amendments broaden the scope of the declaratory relief sought to encompass its rights under an agreement with the Martoranas generally. In my view, these proposed amendments arguably give rise to asserted rights or a dispute in respect of which declaratory relief could be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a result, the application of the Martoranas is dismissed on condition that the plaintiff amends its Notice of Civil Claim in 30 days, failing which the claims against the Martoranas will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the result of the application in hand, the parties have leave to make further submissions on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J.L. DORGAN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44" style="position:absolute;z-index:25187737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Woods v. Plewes, [2014] B.C.J. No. 350</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Young v. McLellan, [2004] B.C.J. No. 1559</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Brooks v. Habib, [2019] B.C.J. No. 1579</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Carhoun and Sons Enterprises Ltd. v. Canada (Attorney General), [2018] B.C.J. No. 3308</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O'Connor v. Wambera, [2018] B.C.J. No. 1023</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Sohal v. Lezama, [2019] B.C.J. No. 1893</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Bedwell v. McGill, [2003] B.C.J. No. 685</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Bradaric v. Dr. B.B.K. Pirani Inc., 2007 CHFL para. 15,452</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Carlsen v. Southerland, 2005 CHFL para. 15,404</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Forster v. Popper, [2020] B.C.J. No. 254</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Freer (Guardian ad litem of) v. Okanagan/Skaha School District No. 67, [2002] B.C.J. No. 2739</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Funk v. Carter, [2004] B.C.J. No. 1348</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Wang, [2019] B.C.J. No. 2585</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Hamilton v. The Owners, Strata Plan VIS3782, [2019] I.L.R. para. G-2825</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Hussack v. Chilliwack School District No. 33, [2010] I.L.R. para. G-2322</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Konnert v. Buonassisi, [2020] I.L.R. para. M-3188</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Luchak v. Taylor, [2003] B.C.J. No. 74</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 v. Haniak, [2017] B.C.J. No. 635</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Mickelson v. Sodomsky, [2019] B.C.J. No. 919</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Mott v. Welch, [2008] B.C.J. No. 1970</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Rabachuk v. Cooke, [2001] B.C.J. No. 2087</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Weafer (Litigation Guardian of) v. Vancouver Coastal Health Authority et al., 2007 CHFL para. 15,475</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600433 B.C. Ltd. v. XJ Motors Ltd., [2011] B.C.J. No. 1735</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0847395 B.C. Ltd. v. Guilbride Estate, [2009] B.C.J. No. 1266</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Andrushko v. Strata Plan KAS 1041 McIntosh Grove, [2015] B.C.J. No. 2865</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Athwal v. Sidhu, [2002] B.C.J. No. 1596</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 of Montreal v. Tortora, [2009] B.C.J. No. 1789</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 Cusano Contracting Inc. v. Bank of Montreal, [2004] B.C.J. No. 2219</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Beauchamp v. Insurance Corp. of British Columbia, [2004] B.C.J. No. 1962</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Berntt v. Vancouver (City), [2001] B.C.J. No. 2658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Broman v. Machida Mack Shewchuk Meagher LLP, [2010] B.C.J. No. 1010</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Charlie v. Canada Safeway Ltd., [2010] B.C.J. No. 790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Dalhuisen (Guardian ad litem of) v. Maxim's Bakery Ltd., [2002] B.C.J. No. 729</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Dos Santos (Committee of) v. Accord Transportation Ltd., [2002] B.C.J. No. 1013</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Dudas v. Ikea Ltd., [2016] B.C.J. No. 958</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 v. J.E.S., [2002] B.C.J. No. 997</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Farrokhmanesh v. Sahib, [2010] B.C.J. No. 2525</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Galdikas v. Spalding, [2015] B.C.J. No. 805</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Gee v. Elvira, [2001] B.C.J. No. 1705</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Georgialee Lang &amp; Associates v. Wigod, [2003] B.C.J. No. 1792</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Great West Development Marine Corp. v. Canadian Surety Co., [2000] B.C.J. No. 939</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Haynes v. Buott, [2000] B.C.J. No. 630</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Garnier, [2007] B.C.J. No. 389</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Iser (Committee of) v. Canada (Attorney General), [2016] B.C.J. No. 1874</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Jam's International Ventures Ltd. v. Westbank Holdings Ltd., [2002] B.C.J. No. 2894</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Jeffery v. Nortel Networks Corp., [2007] B.C.J. No. 90</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Murao v. Blackcomb Skiing Enterprises Limited Partnership, [2003] B.C.J. No. 2953</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 Pacific Specialties Ltd. v. Shandong Machinery and Equipment I/E Corp., [2001] B.C.J. No. 48</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Pepper's Produce Ltd. v. Medallion Realty Ltd., [2013] B.C.J. No. 2773</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Phantom Mortgage Corp. v. Kyle, [2015] B.C.J. No. 1111</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4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1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1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2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2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2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2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2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2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2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2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2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3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3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3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3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3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3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3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3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3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3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4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4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4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4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4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4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4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4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4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4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5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5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5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5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5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Roman"/>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i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iv."/>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d)"/>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e)"/>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2"/>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4.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6"/>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7"/>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8"/>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9"/>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00000BE"/>
    <w:multiLevelType w:val="multilevel"/>
    <w:tmpl w:val="000000BE"/>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00000BF"/>
    <w:multiLevelType w:val="multilevel"/>
    <w:tmpl w:val="000000BF"/>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00000C0"/>
    <w:multiLevelType w:val="multilevel"/>
    <w:tmpl w:val="000000C0"/>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00000C1"/>
    <w:multiLevelType w:val="multilevel"/>
    <w:tmpl w:val="000000C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00000C2"/>
    <w:multiLevelType w:val="multilevel"/>
    <w:tmpl w:val="000000C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000000C3"/>
    <w:multiLevelType w:val="multilevel"/>
    <w:tmpl w:val="000000C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000000C4"/>
    <w:multiLevelType w:val="multilevel"/>
    <w:tmpl w:val="000000C4"/>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000000C5"/>
    <w:multiLevelType w:val="multilevel"/>
    <w:tmpl w:val="000000C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000000C6"/>
    <w:multiLevelType w:val="multilevel"/>
    <w:tmpl w:val="000000C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000000C7"/>
    <w:multiLevelType w:val="multilevel"/>
    <w:tmpl w:val="000000C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000000C8"/>
    <w:multiLevelType w:val="multilevel"/>
    <w:tmpl w:val="000000C8"/>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000000C9"/>
    <w:multiLevelType w:val="multilevel"/>
    <w:tmpl w:val="000000C9"/>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000000CA"/>
    <w:multiLevelType w:val="multilevel"/>
    <w:tmpl w:val="000000CA"/>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000000CB"/>
    <w:multiLevelType w:val="multilevel"/>
    <w:tmpl w:val="000000CB"/>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000000CC"/>
    <w:multiLevelType w:val="multilevel"/>
    <w:tmpl w:val="000000CC"/>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000000CD"/>
    <w:multiLevelType w:val="multilevel"/>
    <w:tmpl w:val="000000C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000000CE"/>
    <w:multiLevelType w:val="multilevel"/>
    <w:tmpl w:val="000000C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000000CF"/>
    <w:multiLevelType w:val="multilevel"/>
    <w:tmpl w:val="000000CF"/>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000000D0"/>
    <w:multiLevelType w:val="multilevel"/>
    <w:tmpl w:val="000000D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000000D1"/>
    <w:multiLevelType w:val="multilevel"/>
    <w:tmpl w:val="000000D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000000D2"/>
    <w:multiLevelType w:val="multilevel"/>
    <w:tmpl w:val="000000D2"/>
    <w:lvl w:ilvl="0">
      <w:start w:val="1"/>
      <w:numFmt w:val="decimal"/>
      <w:lvlText w:val="28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000000D3"/>
    <w:multiLevelType w:val="multilevel"/>
    <w:tmpl w:val="000000D3"/>
    <w:lvl w:ilvl="0">
      <w:start w:val="1"/>
      <w:numFmt w:val="decimal"/>
      <w:lvlText w:val="that"/>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000000D4"/>
    <w:multiLevelType w:val="multilevel"/>
    <w:tmpl w:val="000000D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000000D5"/>
    <w:multiLevelType w:val="multilevel"/>
    <w:tmpl w:val="000000D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000000D6"/>
    <w:multiLevelType w:val="multilevel"/>
    <w:tmpl w:val="000000D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000000D7"/>
    <w:multiLevelType w:val="multilevel"/>
    <w:tmpl w:val="000000D7"/>
    <w:lvl w:ilvl="0">
      <w:start w:val="1"/>
      <w:numFmt w:val="decimal"/>
      <w:lvlText w:val="58(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000000D8"/>
    <w:multiLevelType w:val="multilevel"/>
    <w:tmpl w:val="000000D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000000D9"/>
    <w:multiLevelType w:val="multilevel"/>
    <w:tmpl w:val="000000D9"/>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000000DA"/>
    <w:multiLevelType w:val="multilevel"/>
    <w:tmpl w:val="000000DA"/>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02A451D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0454982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0621ED13"/>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08F83949"/>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0AB27931"/>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0D612D08"/>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111B131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1741B8FD"/>
    <w:multiLevelType w:val="multilevel"/>
    <w:tmpl w:val="00000001"/>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19A82000"/>
    <w:multiLevelType w:val="multilevel"/>
    <w:tmpl w:val="00000001"/>
    <w:lvl w:ilvl="0">
      <w:start w:val="1"/>
      <w:numFmt w:val="decimal"/>
      <w:lvlText w:val="119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20DF5681"/>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24B980EA"/>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254564DC"/>
    <w:multiLevelType w:val="multilevel"/>
    <w:tmpl w:val="00000001"/>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2557DA54"/>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2807AAD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nsid w:val="2B126DEF"/>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2BDEBAB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3CE13E4F"/>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3DE1C5A8"/>
    <w:multiLevelType w:val="multilevel"/>
    <w:tmpl w:val="00000001"/>
    <w:lvl w:ilvl="0">
      <w:start w:val="1"/>
      <w:numFmt w:val="decimal"/>
      <w:lvlText w:val="V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nsid w:val="41FDA766"/>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43DA1FF7"/>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8">
    <w:nsid w:val="4D0E1C0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533177E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0">
    <w:nsid w:val="55451077"/>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nsid w:val="58A58CC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nsid w:val="58BDE69A"/>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59008393"/>
    <w:multiLevelType w:val="multilevel"/>
    <w:tmpl w:val="00000001"/>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5C282DA0"/>
    <w:multiLevelType w:val="multilevel"/>
    <w:tmpl w:val="00000001"/>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5">
    <w:nsid w:val="5E07B81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6">
    <w:nsid w:val="5E3F6BAF"/>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7">
    <w:nsid w:val="5FB82C7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8">
    <w:nsid w:val="608334FB"/>
    <w:multiLevelType w:val="multilevel"/>
    <w:tmpl w:val="00000001"/>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
    <w:nsid w:val="67C12DF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0">
    <w:nsid w:val="69DA2DA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1">
    <w:nsid w:val="6B1A977E"/>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2">
    <w:nsid w:val="6CF2F703"/>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3">
    <w:nsid w:val="6D7BE91E"/>
    <w:multiLevelType w:val="multilevel"/>
    <w:tmpl w:val="00000001"/>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4">
    <w:nsid w:val="6DF7DFD2"/>
    <w:multiLevelType w:val="multilevel"/>
    <w:tmpl w:val="00000001"/>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5">
    <w:nsid w:val="7825C214"/>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6">
    <w:nsid w:val="7E3DDA1D"/>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252"/>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70"/>
  </w:num>
  <w:num w:numId="73">
    <w:abstractNumId w:val="71"/>
  </w:num>
  <w:num w:numId="74">
    <w:abstractNumId w:val="72"/>
  </w:num>
  <w:num w:numId="75">
    <w:abstractNumId w:val="73"/>
  </w:num>
  <w:num w:numId="76">
    <w:abstractNumId w:val="74"/>
  </w:num>
  <w:num w:numId="77">
    <w:abstractNumId w:val="75"/>
  </w:num>
  <w:num w:numId="78">
    <w:abstractNumId w:val="76"/>
  </w:num>
  <w:num w:numId="79">
    <w:abstractNumId w:val="77"/>
  </w:num>
  <w:num w:numId="80">
    <w:abstractNumId w:val="244"/>
  </w:num>
  <w:num w:numId="81">
    <w:abstractNumId w:val="250"/>
  </w:num>
  <w:num w:numId="82">
    <w:abstractNumId w:val="78"/>
  </w:num>
  <w:num w:numId="83">
    <w:abstractNumId w:val="79"/>
  </w:num>
  <w:num w:numId="84">
    <w:abstractNumId w:val="80"/>
  </w:num>
  <w:num w:numId="85">
    <w:abstractNumId w:val="81"/>
  </w:num>
  <w:num w:numId="86">
    <w:abstractNumId w:val="82"/>
  </w:num>
  <w:num w:numId="87">
    <w:abstractNumId w:val="83"/>
  </w:num>
  <w:num w:numId="88">
    <w:abstractNumId w:val="84"/>
  </w:num>
  <w:num w:numId="89">
    <w:abstractNumId w:val="85"/>
  </w:num>
  <w:num w:numId="90">
    <w:abstractNumId w:val="86"/>
  </w:num>
  <w:num w:numId="91">
    <w:abstractNumId w:val="87"/>
  </w:num>
  <w:num w:numId="92">
    <w:abstractNumId w:val="88"/>
  </w:num>
  <w:num w:numId="93">
    <w:abstractNumId w:val="89"/>
  </w:num>
  <w:num w:numId="94">
    <w:abstractNumId w:val="90"/>
  </w:num>
  <w:num w:numId="95">
    <w:abstractNumId w:val="91"/>
  </w:num>
  <w:num w:numId="96">
    <w:abstractNumId w:val="92"/>
  </w:num>
  <w:num w:numId="97">
    <w:abstractNumId w:val="93"/>
  </w:num>
  <w:num w:numId="98">
    <w:abstractNumId w:val="94"/>
  </w:num>
  <w:num w:numId="99">
    <w:abstractNumId w:val="95"/>
  </w:num>
  <w:num w:numId="100">
    <w:abstractNumId w:val="96"/>
  </w:num>
  <w:num w:numId="101">
    <w:abstractNumId w:val="97"/>
  </w:num>
  <w:num w:numId="102">
    <w:abstractNumId w:val="98"/>
  </w:num>
  <w:num w:numId="103">
    <w:abstractNumId w:val="99"/>
  </w:num>
  <w:num w:numId="104">
    <w:abstractNumId w:val="100"/>
  </w:num>
  <w:num w:numId="105">
    <w:abstractNumId w:val="101"/>
  </w:num>
  <w:num w:numId="106">
    <w:abstractNumId w:val="102"/>
  </w:num>
  <w:num w:numId="107">
    <w:abstractNumId w:val="103"/>
  </w:num>
  <w:num w:numId="108">
    <w:abstractNumId w:val="104"/>
  </w:num>
  <w:num w:numId="109">
    <w:abstractNumId w:val="105"/>
  </w:num>
  <w:num w:numId="110">
    <w:abstractNumId w:val="106"/>
  </w:num>
  <w:num w:numId="111">
    <w:abstractNumId w:val="107"/>
  </w:num>
  <w:num w:numId="112">
    <w:abstractNumId w:val="108"/>
  </w:num>
  <w:num w:numId="113">
    <w:abstractNumId w:val="109"/>
  </w:num>
  <w:num w:numId="114">
    <w:abstractNumId w:val="110"/>
  </w:num>
  <w:num w:numId="115">
    <w:abstractNumId w:val="111"/>
  </w:num>
  <w:num w:numId="116">
    <w:abstractNumId w:val="112"/>
  </w:num>
  <w:num w:numId="117">
    <w:abstractNumId w:val="113"/>
  </w:num>
  <w:num w:numId="118">
    <w:abstractNumId w:val="114"/>
  </w:num>
  <w:num w:numId="119">
    <w:abstractNumId w:val="115"/>
  </w:num>
  <w:num w:numId="120">
    <w:abstractNumId w:val="116"/>
  </w:num>
  <w:num w:numId="121">
    <w:abstractNumId w:val="117"/>
  </w:num>
  <w:num w:numId="122">
    <w:abstractNumId w:val="118"/>
  </w:num>
  <w:num w:numId="123">
    <w:abstractNumId w:val="119"/>
  </w:num>
  <w:num w:numId="124">
    <w:abstractNumId w:val="120"/>
  </w:num>
  <w:num w:numId="125">
    <w:abstractNumId w:val="121"/>
  </w:num>
  <w:num w:numId="126">
    <w:abstractNumId w:val="122"/>
  </w:num>
  <w:num w:numId="127">
    <w:abstractNumId w:val="123"/>
  </w:num>
  <w:num w:numId="128">
    <w:abstractNumId w:val="124"/>
  </w:num>
  <w:num w:numId="129">
    <w:abstractNumId w:val="125"/>
  </w:num>
  <w:num w:numId="130">
    <w:abstractNumId w:val="126"/>
  </w:num>
  <w:num w:numId="131">
    <w:abstractNumId w:val="127"/>
  </w:num>
  <w:num w:numId="132">
    <w:abstractNumId w:val="128"/>
  </w:num>
  <w:num w:numId="133">
    <w:abstractNumId w:val="129"/>
  </w:num>
  <w:num w:numId="134">
    <w:abstractNumId w:val="130"/>
  </w:num>
  <w:num w:numId="135">
    <w:abstractNumId w:val="131"/>
  </w:num>
  <w:num w:numId="136">
    <w:abstractNumId w:val="132"/>
  </w:num>
  <w:num w:numId="137">
    <w:abstractNumId w:val="133"/>
  </w:num>
  <w:num w:numId="138">
    <w:abstractNumId w:val="134"/>
  </w:num>
  <w:num w:numId="139">
    <w:abstractNumId w:val="135"/>
  </w:num>
  <w:num w:numId="140">
    <w:abstractNumId w:val="136"/>
  </w:num>
  <w:num w:numId="141">
    <w:abstractNumId w:val="137"/>
  </w:num>
  <w:num w:numId="142">
    <w:abstractNumId w:val="138"/>
  </w:num>
  <w:num w:numId="143">
    <w:abstractNumId w:val="139"/>
  </w:num>
  <w:num w:numId="144">
    <w:abstractNumId w:val="140"/>
  </w:num>
  <w:num w:numId="145">
    <w:abstractNumId w:val="141"/>
  </w:num>
  <w:num w:numId="146">
    <w:abstractNumId w:val="142"/>
  </w:num>
  <w:num w:numId="147">
    <w:abstractNumId w:val="143"/>
  </w:num>
  <w:num w:numId="148">
    <w:abstractNumId w:val="144"/>
  </w:num>
  <w:num w:numId="149">
    <w:abstractNumId w:val="145"/>
  </w:num>
  <w:num w:numId="150">
    <w:abstractNumId w:val="146"/>
  </w:num>
  <w:num w:numId="151">
    <w:abstractNumId w:val="147"/>
  </w:num>
  <w:num w:numId="152">
    <w:abstractNumId w:val="148"/>
  </w:num>
  <w:num w:numId="153">
    <w:abstractNumId w:val="149"/>
  </w:num>
  <w:num w:numId="154">
    <w:abstractNumId w:val="150"/>
  </w:num>
  <w:num w:numId="155">
    <w:abstractNumId w:val="151"/>
  </w:num>
  <w:num w:numId="156">
    <w:abstractNumId w:val="152"/>
  </w:num>
  <w:num w:numId="157">
    <w:abstractNumId w:val="153"/>
  </w:num>
  <w:num w:numId="158">
    <w:abstractNumId w:val="154"/>
  </w:num>
  <w:num w:numId="159">
    <w:abstractNumId w:val="155"/>
  </w:num>
  <w:num w:numId="160">
    <w:abstractNumId w:val="156"/>
  </w:num>
  <w:num w:numId="161">
    <w:abstractNumId w:val="157"/>
  </w:num>
  <w:num w:numId="162">
    <w:abstractNumId w:val="158"/>
  </w:num>
  <w:num w:numId="163">
    <w:abstractNumId w:val="159"/>
  </w:num>
  <w:num w:numId="164">
    <w:abstractNumId w:val="160"/>
  </w:num>
  <w:num w:numId="165">
    <w:abstractNumId w:val="161"/>
  </w:num>
  <w:num w:numId="166">
    <w:abstractNumId w:val="162"/>
  </w:num>
  <w:num w:numId="167">
    <w:abstractNumId w:val="163"/>
  </w:num>
  <w:num w:numId="168">
    <w:abstractNumId w:val="164"/>
  </w:num>
  <w:num w:numId="169">
    <w:abstractNumId w:val="165"/>
  </w:num>
  <w:num w:numId="170">
    <w:abstractNumId w:val="166"/>
  </w:num>
  <w:num w:numId="171">
    <w:abstractNumId w:val="167"/>
  </w:num>
  <w:num w:numId="172">
    <w:abstractNumId w:val="168"/>
  </w:num>
  <w:num w:numId="173">
    <w:abstractNumId w:val="169"/>
  </w:num>
  <w:num w:numId="174">
    <w:abstractNumId w:val="170"/>
  </w:num>
  <w:num w:numId="175">
    <w:abstractNumId w:val="171"/>
  </w:num>
  <w:num w:numId="176">
    <w:abstractNumId w:val="172"/>
  </w:num>
  <w:num w:numId="177">
    <w:abstractNumId w:val="173"/>
  </w:num>
  <w:num w:numId="178">
    <w:abstractNumId w:val="174"/>
  </w:num>
  <w:num w:numId="179">
    <w:abstractNumId w:val="175"/>
  </w:num>
  <w:num w:numId="180">
    <w:abstractNumId w:val="176"/>
  </w:num>
  <w:num w:numId="181">
    <w:abstractNumId w:val="177"/>
  </w:num>
  <w:num w:numId="182">
    <w:abstractNumId w:val="178"/>
  </w:num>
  <w:num w:numId="183">
    <w:abstractNumId w:val="179"/>
  </w:num>
  <w:num w:numId="184">
    <w:abstractNumId w:val="180"/>
  </w:num>
  <w:num w:numId="185">
    <w:abstractNumId w:val="181"/>
  </w:num>
  <w:num w:numId="186">
    <w:abstractNumId w:val="182"/>
  </w:num>
  <w:num w:numId="187">
    <w:abstractNumId w:val="183"/>
  </w:num>
  <w:num w:numId="188">
    <w:abstractNumId w:val="184"/>
  </w:num>
  <w:num w:numId="189">
    <w:abstractNumId w:val="185"/>
  </w:num>
  <w:num w:numId="190">
    <w:abstractNumId w:val="186"/>
  </w:num>
  <w:num w:numId="191">
    <w:abstractNumId w:val="187"/>
  </w:num>
  <w:num w:numId="192">
    <w:abstractNumId w:val="188"/>
  </w:num>
  <w:num w:numId="193">
    <w:abstractNumId w:val="189"/>
  </w:num>
  <w:num w:numId="194">
    <w:abstractNumId w:val="190"/>
  </w:num>
  <w:num w:numId="195">
    <w:abstractNumId w:val="191"/>
  </w:num>
  <w:num w:numId="196">
    <w:abstractNumId w:val="192"/>
  </w:num>
  <w:num w:numId="197">
    <w:abstractNumId w:val="193"/>
  </w:num>
  <w:num w:numId="198">
    <w:abstractNumId w:val="194"/>
  </w:num>
  <w:num w:numId="199">
    <w:abstractNumId w:val="195"/>
  </w:num>
  <w:num w:numId="200">
    <w:abstractNumId w:val="196"/>
  </w:num>
  <w:num w:numId="201">
    <w:abstractNumId w:val="197"/>
  </w:num>
  <w:num w:numId="202">
    <w:abstractNumId w:val="198"/>
  </w:num>
  <w:num w:numId="203">
    <w:abstractNumId w:val="199"/>
  </w:num>
  <w:num w:numId="204">
    <w:abstractNumId w:val="200"/>
  </w:num>
  <w:num w:numId="205">
    <w:abstractNumId w:val="201"/>
  </w:num>
  <w:num w:numId="206">
    <w:abstractNumId w:val="202"/>
  </w:num>
  <w:num w:numId="207">
    <w:abstractNumId w:val="203"/>
  </w:num>
  <w:num w:numId="208">
    <w:abstractNumId w:val="204"/>
  </w:num>
  <w:num w:numId="209">
    <w:abstractNumId w:val="205"/>
  </w:num>
  <w:num w:numId="210">
    <w:abstractNumId w:val="206"/>
  </w:num>
  <w:num w:numId="211">
    <w:abstractNumId w:val="207"/>
  </w:num>
  <w:num w:numId="212">
    <w:abstractNumId w:val="208"/>
  </w:num>
  <w:num w:numId="213">
    <w:abstractNumId w:val="209"/>
  </w:num>
  <w:num w:numId="214">
    <w:abstractNumId w:val="210"/>
  </w:num>
  <w:num w:numId="215">
    <w:abstractNumId w:val="211"/>
  </w:num>
  <w:num w:numId="216">
    <w:abstractNumId w:val="212"/>
  </w:num>
  <w:num w:numId="217">
    <w:abstractNumId w:val="213"/>
  </w:num>
  <w:num w:numId="218">
    <w:abstractNumId w:val="214"/>
  </w:num>
  <w:num w:numId="219">
    <w:abstractNumId w:val="215"/>
  </w:num>
  <w:num w:numId="220">
    <w:abstractNumId w:val="216"/>
  </w:num>
  <w:num w:numId="221">
    <w:abstractNumId w:val="217"/>
  </w:num>
  <w:num w:numId="222">
    <w:abstractNumId w:val="224"/>
  </w:num>
  <w:num w:numId="223">
    <w:abstractNumId w:val="223"/>
  </w:num>
  <w:num w:numId="224">
    <w:abstractNumId w:val="245"/>
  </w:num>
  <w:num w:numId="225">
    <w:abstractNumId w:val="256"/>
  </w:num>
  <w:num w:numId="226">
    <w:abstractNumId w:val="251"/>
  </w:num>
  <w:num w:numId="227">
    <w:abstractNumId w:val="226"/>
  </w:num>
  <w:num w:numId="228">
    <w:abstractNumId w:val="231"/>
  </w:num>
  <w:num w:numId="229">
    <w:abstractNumId w:val="219"/>
  </w:num>
  <w:num w:numId="230">
    <w:abstractNumId w:val="247"/>
  </w:num>
  <w:num w:numId="231">
    <w:abstractNumId w:val="230"/>
  </w:num>
  <w:num w:numId="232">
    <w:abstractNumId w:val="228"/>
  </w:num>
  <w:num w:numId="233">
    <w:abstractNumId w:val="229"/>
  </w:num>
  <w:num w:numId="234">
    <w:abstractNumId w:val="220"/>
  </w:num>
  <w:num w:numId="235">
    <w:abstractNumId w:val="239"/>
  </w:num>
  <w:num w:numId="236">
    <w:abstractNumId w:val="241"/>
  </w:num>
  <w:num w:numId="237">
    <w:abstractNumId w:val="233"/>
  </w:num>
  <w:num w:numId="238">
    <w:abstractNumId w:val="232"/>
  </w:num>
  <w:num w:numId="239">
    <w:abstractNumId w:val="254"/>
  </w:num>
  <w:num w:numId="240">
    <w:abstractNumId w:val="237"/>
  </w:num>
  <w:num w:numId="241">
    <w:abstractNumId w:val="236"/>
  </w:num>
  <w:num w:numId="242">
    <w:abstractNumId w:val="222"/>
  </w:num>
  <w:num w:numId="243">
    <w:abstractNumId w:val="240"/>
  </w:num>
  <w:num w:numId="244">
    <w:abstractNumId w:val="225"/>
  </w:num>
  <w:num w:numId="245">
    <w:abstractNumId w:val="227"/>
  </w:num>
  <w:num w:numId="246">
    <w:abstractNumId w:val="238"/>
  </w:num>
  <w:num w:numId="247">
    <w:abstractNumId w:val="253"/>
  </w:num>
  <w:num w:numId="248">
    <w:abstractNumId w:val="242"/>
  </w:num>
  <w:num w:numId="249">
    <w:abstractNumId w:val="255"/>
  </w:num>
  <w:num w:numId="250">
    <w:abstractNumId w:val="235"/>
  </w:num>
  <w:num w:numId="251">
    <w:abstractNumId w:val="246"/>
  </w:num>
  <w:num w:numId="252">
    <w:abstractNumId w:val="243"/>
  </w:num>
  <w:num w:numId="253">
    <w:abstractNumId w:val="234"/>
  </w:num>
  <w:num w:numId="254">
    <w:abstractNumId w:val="248"/>
  </w:num>
  <w:num w:numId="255">
    <w:abstractNumId w:val="218"/>
  </w:num>
  <w:num w:numId="256">
    <w:abstractNumId w:val="249"/>
  </w:num>
  <w:num w:numId="257">
    <w:abstractNumId w:val="2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P1-JP4G-61KF-00000-00&amp;context=" TargetMode="External" /><Relationship Id="rId100" Type="http://schemas.openxmlformats.org/officeDocument/2006/relationships/hyperlink" Target="https://advance.lexis.com/api/document?collection=cases-ca&amp;id=urn:contentItem:5F7T-S7N1-F06F-24BC-00000-00&amp;context=" TargetMode="External" /><Relationship Id="rId1000" Type="http://schemas.openxmlformats.org/officeDocument/2006/relationships/footer" Target="footer144.xml" /><Relationship Id="rId1001" Type="http://schemas.openxmlformats.org/officeDocument/2006/relationships/hyperlink" Target="https://advance.lexis.com/api/document?collection=cases-ca&amp;id=urn:contentItem:5F7T-S771-JN14-G2VH-00000-00&amp;context=" TargetMode="External" /><Relationship Id="rId1002" Type="http://schemas.openxmlformats.org/officeDocument/2006/relationships/hyperlink" Target="https://advance.lexis.com/api/document?collection=legislation-ca&amp;id=urn:contentItem:5F41-1FN1-JJK6-S06M-00000-00&amp;context=" TargetMode="External" /><Relationship Id="rId1003" Type="http://schemas.openxmlformats.org/officeDocument/2006/relationships/hyperlink" Target="https://advance.lexis.com/api/document?collection=cases-ca&amp;id=urn:contentItem:5F8T-N3T1-JJSF-23CR-00000-00&amp;context=" TargetMode="External" /><Relationship Id="rId1004" Type="http://schemas.openxmlformats.org/officeDocument/2006/relationships/hyperlink" Target="https://advance.lexis.com/api/document?collection=cases-ca&amp;id=urn:contentItem:5F7T-S6Y1-FJDY-X1KR-00000-00&amp;context=" TargetMode="External" /><Relationship Id="rId1005" Type="http://schemas.openxmlformats.org/officeDocument/2006/relationships/hyperlink" Target="https://advance.lexis.com/api/document?collection=cases-ca&amp;id=urn:contentItem:5F7T-S761-JS5Y-B1KC-00000-00&amp;context=" TargetMode="External" /><Relationship Id="rId1006" Type="http://schemas.openxmlformats.org/officeDocument/2006/relationships/hyperlink" Target="https://advance.lexis.com/api/document?collection=cases-ca&amp;id=urn:contentItem:5F7T-S701-JGPY-X1V9-00000-00&amp;context=" TargetMode="External" /><Relationship Id="rId1007" Type="http://schemas.openxmlformats.org/officeDocument/2006/relationships/hyperlink" Target="https://advance.lexis.com/api/document?collection=cases-ca&amp;id=urn:contentItem:5F8T-N3V1-JF75-M3P3-00000-00&amp;context=" TargetMode="External" /><Relationship Id="rId1008" Type="http://schemas.openxmlformats.org/officeDocument/2006/relationships/hyperlink" Target="https://advance.lexis.com/api/document?collection=cases-ca&amp;id=urn:contentItem:5F81-VJX1-JX3N-B1RC-00000-00&amp;context=" TargetMode="External" /><Relationship Id="rId1009" Type="http://schemas.openxmlformats.org/officeDocument/2006/relationships/hyperlink" Target="https://advance.lexis.com/api/document?collection=cases-ca&amp;id=urn:contentItem:5F8T-N3R1-JNS1-M0RP-00000-00&amp;context=" TargetMode="External" /><Relationship Id="rId101" Type="http://schemas.openxmlformats.org/officeDocument/2006/relationships/hyperlink" Target="https://advance.lexis.com/api/document?collection=cases-ca&amp;id=urn:contentItem:5F7T-S7J1-JYYX-62HT-00000-00&amp;context=" TargetMode="External" /><Relationship Id="rId1010" Type="http://schemas.openxmlformats.org/officeDocument/2006/relationships/hyperlink" Target="https://advance.lexis.com/api/document?collection=cases-ca&amp;id=urn:contentItem:5F8P-SBT1-JWBS-64YY-00000-00&amp;context=" TargetMode="External" /><Relationship Id="rId1011" Type="http://schemas.openxmlformats.org/officeDocument/2006/relationships/hyperlink" Target="https://advance.lexis.com/api/document?collection=cases-ca&amp;id=urn:contentItem:5F7T-S771-JWBS-61X2-00000-00&amp;context=" TargetMode="External" /><Relationship Id="rId1012" Type="http://schemas.openxmlformats.org/officeDocument/2006/relationships/hyperlink" Target="https://advance.lexis.com/api/document?collection=cases-ca&amp;id=urn:contentItem:5F81-VJX1-F5T5-M481-00000-00&amp;context=" TargetMode="External" /><Relationship Id="rId1013" Type="http://schemas.openxmlformats.org/officeDocument/2006/relationships/hyperlink" Target="https://advance.lexis.com/api/document?collection=cases-ca&amp;id=urn:contentItem:5F7T-S6V1-JC0G-622Y-00000-00&amp;context=" TargetMode="External" /><Relationship Id="rId1014" Type="http://schemas.openxmlformats.org/officeDocument/2006/relationships/hyperlink" Target="https://advance.lexis.com/api/document?collection=cases-ca&amp;id=urn:contentItem:5F7T-S6W1-JYYX-61DY-00000-00&amp;context=" TargetMode="External" /><Relationship Id="rId1015" Type="http://schemas.openxmlformats.org/officeDocument/2006/relationships/header" Target="header145.xml" /><Relationship Id="rId1016" Type="http://schemas.openxmlformats.org/officeDocument/2006/relationships/header" Target="header146.xml" /><Relationship Id="rId1017" Type="http://schemas.openxmlformats.org/officeDocument/2006/relationships/footer" Target="footer145.xml" /><Relationship Id="rId1018" Type="http://schemas.openxmlformats.org/officeDocument/2006/relationships/footer" Target="footer146.xml" /><Relationship Id="rId1019" Type="http://schemas.openxmlformats.org/officeDocument/2006/relationships/header" Target="header147.xml" /><Relationship Id="rId102" Type="http://schemas.openxmlformats.org/officeDocument/2006/relationships/hyperlink" Target="https://advance.lexis.com/api/document?collection=cases-ca&amp;id=urn:contentItem:5PVF-9W91-JP4G-63P6-00000-00&amp;context=" TargetMode="External" /><Relationship Id="rId1020" Type="http://schemas.openxmlformats.org/officeDocument/2006/relationships/footer" Target="footer147.xml" /><Relationship Id="rId1021" Type="http://schemas.openxmlformats.org/officeDocument/2006/relationships/hyperlink" Target="https://advance.lexis.com/api/document?collection=cases-ca&amp;id=urn:contentItem:5F7T-S7P1-JG02-S4CH-00000-00&amp;context=" TargetMode="External" /><Relationship Id="rId1022" Type="http://schemas.openxmlformats.org/officeDocument/2006/relationships/hyperlink" Target="https://advance.lexis.com/api/document?collection=legislation-ca&amp;id=urn:contentItem:5F41-1FG1-F4NT-X0C2-00000-00&amp;context=" TargetMode="External" /><Relationship Id="rId1023" Type="http://schemas.openxmlformats.org/officeDocument/2006/relationships/hyperlink" Target="https://advance.lexis.com/api/document?collection=cases-ca&amp;id=urn:contentItem:5F7T-S6X1-JXNB-632M-00000-00&amp;context=" TargetMode="External" /><Relationship Id="rId1024" Type="http://schemas.openxmlformats.org/officeDocument/2006/relationships/hyperlink" Target="https://advance.lexis.com/api/document?collection=cases-ca&amp;id=urn:contentItem:5F81-VJX1-JP9P-G47R-00000-00&amp;context=" TargetMode="External" /><Relationship Id="rId1025" Type="http://schemas.openxmlformats.org/officeDocument/2006/relationships/hyperlink" Target="https://advance.lexis.com/api/document?collection=cases-ca&amp;id=urn:contentItem:5F81-VJY1-JPGX-S4KN-00000-00&amp;context=" TargetMode="External" /><Relationship Id="rId1026" Type="http://schemas.openxmlformats.org/officeDocument/2006/relationships/hyperlink" Target="https://advance.lexis.com/api/document?collection=cases-ca&amp;id=urn:contentItem:5F7T-S7F1-F7VM-S4F6-00000-00&amp;context=" TargetMode="External" /><Relationship Id="rId1027" Type="http://schemas.openxmlformats.org/officeDocument/2006/relationships/header" Target="header148.xml" /><Relationship Id="rId1028" Type="http://schemas.openxmlformats.org/officeDocument/2006/relationships/header" Target="header149.xml" /><Relationship Id="rId1029" Type="http://schemas.openxmlformats.org/officeDocument/2006/relationships/footer" Target="footer148.xml" /><Relationship Id="rId103" Type="http://schemas.openxmlformats.org/officeDocument/2006/relationships/hyperlink" Target="https://advance.lexis.com/api/document?collection=cases-ca&amp;id=urn:contentItem:5F7T-S7M1-JNCK-22RP-00000-00&amp;context=" TargetMode="External" /><Relationship Id="rId1030" Type="http://schemas.openxmlformats.org/officeDocument/2006/relationships/footer" Target="footer149.xml" /><Relationship Id="rId1031" Type="http://schemas.openxmlformats.org/officeDocument/2006/relationships/header" Target="header150.xml" /><Relationship Id="rId1032" Type="http://schemas.openxmlformats.org/officeDocument/2006/relationships/footer" Target="footer150.xml" /><Relationship Id="rId1033" Type="http://schemas.openxmlformats.org/officeDocument/2006/relationships/hyperlink" Target="https://advance.lexis.com/api/document?collection=cases-ca&amp;id=urn:contentItem:5G68-9741-FCYK-21K7-00000-00&amp;context=" TargetMode="External" /><Relationship Id="rId1034" Type="http://schemas.openxmlformats.org/officeDocument/2006/relationships/hyperlink" Target="https://advance.lexis.com/api/document?collection=cases-ca&amp;id=urn:contentItem:5F7T-S7P1-JP4G-6209-00000-00&amp;context=" TargetMode="External" /><Relationship Id="rId1035" Type="http://schemas.openxmlformats.org/officeDocument/2006/relationships/hyperlink" Target="https://advance.lexis.com/api/document?collection=cases-ca&amp;id=urn:contentItem:5F8T-N3V1-FH4C-X1XK-00000-00&amp;context=" TargetMode="External" /><Relationship Id="rId1036" Type="http://schemas.openxmlformats.org/officeDocument/2006/relationships/hyperlink" Target="https://advance.lexis.com/api/document?collection=cases-ca&amp;id=urn:contentItem:5F7T-S7G1-JWR6-S1R8-00000-00&amp;context=" TargetMode="External" /><Relationship Id="rId1037" Type="http://schemas.openxmlformats.org/officeDocument/2006/relationships/hyperlink" Target="https://advance.lexis.com/api/document?collection=cases-ca&amp;id=urn:contentItem:5F8T-N3T1-JJSF-236M-00000-00&amp;context=" TargetMode="External" /><Relationship Id="rId1038" Type="http://schemas.openxmlformats.org/officeDocument/2006/relationships/hyperlink" Target="https://advance.lexis.com/api/document?collection=cases-ca&amp;id=urn:contentItem:5F7T-S7D1-JXG3-X0WD-00000-00&amp;context=" TargetMode="External" /><Relationship Id="rId1039" Type="http://schemas.openxmlformats.org/officeDocument/2006/relationships/hyperlink" Target="https://advance.lexis.com/api/document?collection=cases-ca&amp;id=urn:contentItem:5F7T-S771-JTGH-B1BD-00000-00&amp;context=" TargetMode="External" /><Relationship Id="rId104" Type="http://schemas.openxmlformats.org/officeDocument/2006/relationships/hyperlink" Target="https://advance.lexis.com/api/document?collection=cases-ca&amp;id=urn:contentItem:5F8T-N3V1-JTGH-B18F-00000-00&amp;context=" TargetMode="External" /><Relationship Id="rId1040" Type="http://schemas.openxmlformats.org/officeDocument/2006/relationships/hyperlink" Target="https://advance.lexis.com/api/document?collection=cases-ca&amp;id=urn:contentItem:5F7T-S731-JNJT-B1W0-00000-00&amp;context=" TargetMode="External" /><Relationship Id="rId1041" Type="http://schemas.openxmlformats.org/officeDocument/2006/relationships/hyperlink" Target="https://advance.lexis.com/api/document?collection=cases-ca&amp;id=urn:contentItem:5F7T-S7K1-DY33-B1RF-00000-00&amp;context=" TargetMode="External" /><Relationship Id="rId1042" Type="http://schemas.openxmlformats.org/officeDocument/2006/relationships/numbering" Target="numbering.xml" /><Relationship Id="rId1043" Type="http://schemas.openxmlformats.org/officeDocument/2006/relationships/styles" Target="styles.xml" /><Relationship Id="rId105" Type="http://schemas.openxmlformats.org/officeDocument/2006/relationships/hyperlink" Target="https://advance.lexis.com/api/document?collection=cases-ca&amp;id=urn:contentItem:5F8T-N3V1-FH4C-X20M-00000-00&amp;context=" TargetMode="External" /><Relationship Id="rId106" Type="http://schemas.openxmlformats.org/officeDocument/2006/relationships/hyperlink" Target="https://advance.lexis.com/api/document?collection=cases-ca&amp;id=urn:contentItem:5F7T-S7M1-JCRC-B1T2-00000-00&amp;context=" TargetMode="External" /><Relationship Id="rId107" Type="http://schemas.openxmlformats.org/officeDocument/2006/relationships/hyperlink" Target="https://advance.lexis.com/api/document?collection=cases-ca&amp;id=urn:contentItem:5F7T-S7F1-JK4W-M1CF-00000-00&amp;context=" TargetMode="External" /><Relationship Id="rId108" Type="http://schemas.openxmlformats.org/officeDocument/2006/relationships/hyperlink" Target="https://advance.lexis.com/api/document?collection=cases-ca&amp;id=urn:contentItem:5F7T-S7N1-JJ1H-X31K-00000-00&amp;context=" TargetMode="External" /><Relationship Id="rId109" Type="http://schemas.openxmlformats.org/officeDocument/2006/relationships/hyperlink" Target="https://advance.lexis.com/api/document?collection=cases-ca&amp;id=urn:contentItem:5F7T-S7K1-JWXF-20X0-00000-00&amp;context=" TargetMode="External" /><Relationship Id="rId11" Type="http://schemas.openxmlformats.org/officeDocument/2006/relationships/hyperlink" Target="https://advance.lexis.com/api/document?collection=cases-ca&amp;id=urn:contentItem:5F8T-N3V1-JTGH-B1GX-00000-00&amp;context=" TargetMode="External" /><Relationship Id="rId110" Type="http://schemas.openxmlformats.org/officeDocument/2006/relationships/hyperlink" Target="https://advance.lexis.com/api/document?collection=cases-ca&amp;id=urn:contentItem:5KT4-DY51-JW5H-X0HM-00000-00&amp;context=" TargetMode="External" /><Relationship Id="rId111" Type="http://schemas.openxmlformats.org/officeDocument/2006/relationships/hyperlink" Target="https://advance.lexis.com/api/document?collection=cases-ca&amp;id=urn:contentItem:5F7T-S7J1-JYYX-625F-00000-00&amp;context=" TargetMode="External" /><Relationship Id="rId112" Type="http://schemas.openxmlformats.org/officeDocument/2006/relationships/hyperlink" Target="https://advance.lexis.com/api/document?collection=cases-ca&amp;id=urn:contentItem:5F8T-N3V1-JTGH-B0Y9-00000-00&amp;context=" TargetMode="External" /><Relationship Id="rId113" Type="http://schemas.openxmlformats.org/officeDocument/2006/relationships/hyperlink" Target="https://advance.lexis.com/api/document?collection=cases-ca&amp;id=urn:contentItem:5F7T-S721-F06F-230Y-00000-00&amp;context=" TargetMode="External" /><Relationship Id="rId114" Type="http://schemas.openxmlformats.org/officeDocument/2006/relationships/hyperlink" Target="https://advance.lexis.com/api/document?collection=cases-ca&amp;id=urn:contentItem:5W0M-V0B1-K054-G2SW-00000-00&amp;context=" TargetMode="External" /><Relationship Id="rId115" Type="http://schemas.openxmlformats.org/officeDocument/2006/relationships/hyperlink" Target="https://advance.lexis.com/api/document?collection=cases-ca&amp;id=urn:contentItem:5RTH-41C1-FG68-G0R2-00000-00&amp;context=" TargetMode="External" /><Relationship Id="rId116" Type="http://schemas.openxmlformats.org/officeDocument/2006/relationships/hyperlink" Target="https://advance.lexis.com/api/document?collection=cases-ca&amp;id=urn:contentItem:5F8T-N3V1-JTGH-B1C7-00000-00&amp;context=" TargetMode="External" /><Relationship Id="rId117" Type="http://schemas.openxmlformats.org/officeDocument/2006/relationships/hyperlink" Target="https://advance.lexis.com/api/document?collection=cases-ca&amp;id=urn:contentItem:5F7T-S7K1-JX3N-B31M-00000-00&amp;context=" TargetMode="External" /><Relationship Id="rId118" Type="http://schemas.openxmlformats.org/officeDocument/2006/relationships/hyperlink" Target="https://advance.lexis.com/api/document?collection=cases-ca&amp;id=urn:contentItem:5F7T-S6S1-DXHD-G105-00000-00&amp;context=" TargetMode="External" /><Relationship Id="rId119" Type="http://schemas.openxmlformats.org/officeDocument/2006/relationships/hyperlink" Target="https://advance.lexis.com/api/document?collection=cases-ca&amp;id=urn:contentItem:5F8T-N3T1-JJSF-234V-00000-00&amp;context=" TargetMode="External" /><Relationship Id="rId12" Type="http://schemas.openxmlformats.org/officeDocument/2006/relationships/hyperlink" Target="https://advance.lexis.com/api/document?collection=cases-ca&amp;id=urn:contentItem:5F8T-N3V1-JF75-M3K1-00000-00&amp;context=" TargetMode="External" /><Relationship Id="rId120" Type="http://schemas.openxmlformats.org/officeDocument/2006/relationships/hyperlink" Target="https://advance.lexis.com/api/document?collection=cases-ca&amp;id=urn:contentItem:5F7T-S7D1-JN6B-S13K-00000-00&amp;context=" TargetMode="External" /><Relationship Id="rId121" Type="http://schemas.openxmlformats.org/officeDocument/2006/relationships/hyperlink" Target="https://advance.lexis.com/api/document?collection=cases-ca&amp;id=urn:contentItem:5F7T-S7D1-FBFS-S1M7-00000-00&amp;context=" TargetMode="External" /><Relationship Id="rId122" Type="http://schemas.openxmlformats.org/officeDocument/2006/relationships/hyperlink" Target="https://advance.lexis.com/api/document?collection=cases-ca&amp;id=urn:contentItem:5F7T-S7N1-F57G-S294-00000-00&amp;context=" TargetMode="External" /><Relationship Id="rId123" Type="http://schemas.openxmlformats.org/officeDocument/2006/relationships/hyperlink" Target="https://advance.lexis.com/api/document?collection=cases-ca&amp;id=urn:contentItem:5F7T-S7P1-JCRC-B22Y-00000-00&amp;context=" TargetMode="External" /><Relationship Id="rId124" Type="http://schemas.openxmlformats.org/officeDocument/2006/relationships/hyperlink" Target="https://advance.lexis.com/api/document?collection=cases-ca&amp;id=urn:contentItem:5F7T-S7J1-JNS1-M2G2-00000-00&amp;context=" TargetMode="External" /><Relationship Id="rId125" Type="http://schemas.openxmlformats.org/officeDocument/2006/relationships/hyperlink" Target="https://advance.lexis.com/api/document?collection=cases-ca&amp;id=urn:contentItem:5F7T-S7K1-JSJC-X168-00000-00&amp;context=" TargetMode="External" /><Relationship Id="rId126" Type="http://schemas.openxmlformats.org/officeDocument/2006/relationships/hyperlink" Target="https://advance.lexis.com/api/document?collection=cases-ca&amp;id=urn:contentItem:5J0C-MF51-JSXV-G2N2-00000-00&amp;context=" TargetMode="External" /><Relationship Id="rId127" Type="http://schemas.openxmlformats.org/officeDocument/2006/relationships/hyperlink" Target="https://advance.lexis.com/api/document?collection=cases-ca&amp;id=urn:contentItem:5RJ8-5GM1-JP9P-G0PD-00000-00&amp;context=" TargetMode="External" /><Relationship Id="rId128" Type="http://schemas.openxmlformats.org/officeDocument/2006/relationships/hyperlink" Target="https://advance.lexis.com/api/document?collection=cases-ca&amp;id=urn:contentItem:5F7T-S7K1-JKHB-62PC-00000-00&amp;context=" TargetMode="External" /><Relationship Id="rId129" Type="http://schemas.openxmlformats.org/officeDocument/2006/relationships/hyperlink" Target="https://advance.lexis.com/api/document?collection=cases-ca&amp;id=urn:contentItem:5F7T-S7K1-DY33-B1KT-00000-00&amp;context=" TargetMode="External" /><Relationship Id="rId13" Type="http://schemas.openxmlformats.org/officeDocument/2006/relationships/hyperlink" Target="https://advance.lexis.com/api/document?collection=cases-ca&amp;id=urn:contentItem:5F8T-N3V1-JF75-M3K6-00000-00&amp;context=" TargetMode="External" /><Relationship Id="rId130" Type="http://schemas.openxmlformats.org/officeDocument/2006/relationships/hyperlink" Target="https://advance.lexis.com/api/document?collection=cases-ca&amp;id=urn:contentItem:5F7T-S7B1-F7ND-G50F-00000-00&amp;context=" TargetMode="External" /><Relationship Id="rId131" Type="http://schemas.openxmlformats.org/officeDocument/2006/relationships/hyperlink" Target="https://advance.lexis.com/api/document?collection=cases-ca&amp;id=urn:contentItem:5F7T-S6W1-JB7K-21F4-00000-00&amp;context=" TargetMode="External" /><Relationship Id="rId132" Type="http://schemas.openxmlformats.org/officeDocument/2006/relationships/hyperlink" Target="https://advance.lexis.com/api/document?collection=cases-ca&amp;id=urn:contentItem:5F7T-S6X1-JTNR-M3X3-00000-00&amp;context=" TargetMode="External" /><Relationship Id="rId133" Type="http://schemas.openxmlformats.org/officeDocument/2006/relationships/hyperlink" Target="https://advance.lexis.com/api/document?collection=cases-ca&amp;id=urn:contentItem:5F7T-S731-DY33-B0YN-00000-00&amp;context=" TargetMode="External" /><Relationship Id="rId134" Type="http://schemas.openxmlformats.org/officeDocument/2006/relationships/hyperlink" Target="https://advance.lexis.com/api/document?collection=cases-ca&amp;id=urn:contentItem:5F7T-S771-JN14-G2PR-00000-00&amp;context=" TargetMode="External" /><Relationship Id="rId135" Type="http://schemas.openxmlformats.org/officeDocument/2006/relationships/hyperlink" Target="https://advance.lexis.com/api/document?collection=cases-ca&amp;id=urn:contentItem:5F81-VJX1-F5T5-M3YH-00000-00&amp;context=" TargetMode="External" /><Relationship Id="rId136" Type="http://schemas.openxmlformats.org/officeDocument/2006/relationships/hyperlink" Target="https://advance.lexis.com/api/document?collection=cases-ca&amp;id=urn:contentItem:5NDB-4M41-F956-S0BN-00000-00&amp;context=" TargetMode="External" /><Relationship Id="rId137" Type="http://schemas.openxmlformats.org/officeDocument/2006/relationships/hyperlink" Target="https://advance.lexis.com/api/document?collection=cases-ca&amp;id=urn:contentItem:5F7T-S7P1-JSJC-X1MC-00000-00&amp;context=" TargetMode="External" /><Relationship Id="rId138" Type="http://schemas.openxmlformats.org/officeDocument/2006/relationships/hyperlink" Target="https://advance.lexis.com/api/document?collection=cases-ca&amp;id=urn:contentItem:5F7T-S7K1-DY33-B1K8-00000-00&amp;context=" TargetMode="External" /><Relationship Id="rId139" Type="http://schemas.openxmlformats.org/officeDocument/2006/relationships/hyperlink" Target="https://advance.lexis.com/api/document?collection=cases-ca&amp;id=urn:contentItem:5F7T-S7K1-DXWW-2018-00000-00&amp;context=" TargetMode="External" /><Relationship Id="rId14" Type="http://schemas.openxmlformats.org/officeDocument/2006/relationships/hyperlink" Target="https://advance.lexis.com/api/document?collection=cases-ca&amp;id=urn:contentItem:5F7T-S7H1-FCSB-S3VF-00000-00&amp;context=" TargetMode="External" /><Relationship Id="rId140" Type="http://schemas.openxmlformats.org/officeDocument/2006/relationships/hyperlink" Target="https://advance.lexis.com/api/document?collection=cases-ca&amp;id=urn:contentItem:5F7T-S7M1-JNCK-22MK-00000-00&amp;context=" TargetMode="External" /><Relationship Id="rId141" Type="http://schemas.openxmlformats.org/officeDocument/2006/relationships/hyperlink" Target="https://advance.lexis.com/api/document?collection=cases-ca&amp;id=urn:contentItem:5F7T-S7M1-JCRC-B1SF-00000-00&amp;context=" TargetMode="External" /><Relationship Id="rId142" Type="http://schemas.openxmlformats.org/officeDocument/2006/relationships/hyperlink" Target="https://advance.lexis.com/api/document?collection=cases-ca&amp;id=urn:contentItem:5F7T-S7P1-JSJC-X1GW-00000-00&amp;context=" TargetMode="External" /><Relationship Id="rId143" Type="http://schemas.openxmlformats.org/officeDocument/2006/relationships/hyperlink" Target="https://advance.lexis.com/api/document?collection=cases-ca&amp;id=urn:contentItem:5KS2-M7W1-JNY7-X3HR-00000-00&amp;context=" TargetMode="External" /><Relationship Id="rId144" Type="http://schemas.openxmlformats.org/officeDocument/2006/relationships/hyperlink" Target="https://advance.lexis.com/api/document?collection=cases-ca&amp;id=urn:contentItem:5F7T-S7N1-F57G-S2D4-00000-00&amp;context=" TargetMode="External" /><Relationship Id="rId145" Type="http://schemas.openxmlformats.org/officeDocument/2006/relationships/hyperlink" Target="https://advance.lexis.com/api/document?collection=cases-ca&amp;id=urn:contentItem:5F7T-S7K1-DY33-B1R6-00000-00&amp;context=" TargetMode="External" /><Relationship Id="rId146" Type="http://schemas.openxmlformats.org/officeDocument/2006/relationships/hyperlink" Target="https://advance.lexis.com/api/document?collection=cases-ca&amp;id=urn:contentItem:5GCC-XVC1-F900-G4Y6-00000-00&amp;context=" TargetMode="External" /><Relationship Id="rId147" Type="http://schemas.openxmlformats.org/officeDocument/2006/relationships/hyperlink" Target="https://advance.lexis.com/api/document?collection=cases-ca&amp;id=urn:contentItem:5J3K-3591-F956-S3CM-00000-00&amp;context=" TargetMode="External" /><Relationship Id="rId148" Type="http://schemas.openxmlformats.org/officeDocument/2006/relationships/hyperlink" Target="https://advance.lexis.com/api/document?collection=cases-ca&amp;id=urn:contentItem:5F8T-N3V1-FC1F-M4BC-00000-00&amp;context=" TargetMode="External" /><Relationship Id="rId149" Type="http://schemas.openxmlformats.org/officeDocument/2006/relationships/hyperlink" Target="https://advance.lexis.com/api/document?collection=cases-ca&amp;id=urn:contentItem:5F7T-S7M1-DYMS-62FG-00000-00&amp;context=" TargetMode="External" /><Relationship Id="rId15" Type="http://schemas.openxmlformats.org/officeDocument/2006/relationships/hyperlink" Target="https://advance.lexis.com/api/document?collection=cases-ca&amp;id=urn:contentItem:5F7T-S7J1-JYYX-62FB-00000-00&amp;context=" TargetMode="External" /><Relationship Id="rId150" Type="http://schemas.openxmlformats.org/officeDocument/2006/relationships/hyperlink" Target="https://advance.lexis.com/api/document?collection=cases-ca&amp;id=urn:contentItem:5F8T-N3V1-JF75-M3CD-00000-00&amp;context=" TargetMode="External" /><Relationship Id="rId151" Type="http://schemas.openxmlformats.org/officeDocument/2006/relationships/hyperlink" Target="https://advance.lexis.com/api/document?collection=cases-ca&amp;id=urn:contentItem:5F8T-N3V1-FH4C-X24P-00000-00&amp;context=" TargetMode="External" /><Relationship Id="rId152" Type="http://schemas.openxmlformats.org/officeDocument/2006/relationships/hyperlink" Target="https://advance.lexis.com/api/document?collection=cases-ca&amp;id=urn:contentItem:5GWF-M0T1-F8KH-X2G6-00000-00&amp;context=" TargetMode="External" /><Relationship Id="rId153" Type="http://schemas.openxmlformats.org/officeDocument/2006/relationships/hyperlink" Target="https://advance.lexis.com/api/document?collection=cases-ca&amp;id=urn:contentItem:5RRK-9081-JCBX-S0HC-00000-00&amp;context=" TargetMode="External" /><Relationship Id="rId154" Type="http://schemas.openxmlformats.org/officeDocument/2006/relationships/hyperlink" Target="https://advance.lexis.com/api/document?collection=cases-ca&amp;id=urn:contentItem:5F7T-S7F1-F7VM-S3YT-00000-00&amp;context=" TargetMode="External" /><Relationship Id="rId155" Type="http://schemas.openxmlformats.org/officeDocument/2006/relationships/hyperlink" Target="https://advance.lexis.com/api/document?collection=cases-ca&amp;id=urn:contentItem:5GCC-XVB1-JGHR-M4PY-00000-00&amp;context=" TargetMode="External" /><Relationship Id="rId156" Type="http://schemas.openxmlformats.org/officeDocument/2006/relationships/hyperlink" Target="https://advance.lexis.com/api/document?collection=cases-ca&amp;id=urn:contentItem:5F7T-S7N1-JW09-M13J-00000-00&amp;context=" TargetMode="External" /><Relationship Id="rId157" Type="http://schemas.openxmlformats.org/officeDocument/2006/relationships/hyperlink" Target="https://advance.lexis.com/api/document?collection=cases-ca&amp;id=urn:contentItem:5F7T-S7D1-JG02-S2RF-00000-00&amp;context=" TargetMode="External" /><Relationship Id="rId158" Type="http://schemas.openxmlformats.org/officeDocument/2006/relationships/hyperlink" Target="https://advance.lexis.com/api/document?collection=cases-ca&amp;id=urn:contentItem:5F7T-S7P1-JNJT-B2JK-00000-00&amp;context=" TargetMode="External" /><Relationship Id="rId159" Type="http://schemas.openxmlformats.org/officeDocument/2006/relationships/hyperlink" Target="https://advance.lexis.com/api/document?collection=cases-ca&amp;id=urn:contentItem:5GNX-HSK1-FG12-625W-00000-00&amp;context=" TargetMode="External" /><Relationship Id="rId16" Type="http://schemas.openxmlformats.org/officeDocument/2006/relationships/hyperlink" Target="https://advance.lexis.com/api/document?collection=cases-ca&amp;id=urn:contentItem:5F7T-S7K1-JWXF-20T6-00000-00&amp;context=" TargetMode="External" /><Relationship Id="rId160" Type="http://schemas.openxmlformats.org/officeDocument/2006/relationships/hyperlink" Target="https://advance.lexis.com/api/document?collection=cases-ca&amp;id=urn:contentItem:5SRY-8JT1-JW5H-X4RM-00000-00&amp;context=" TargetMode="External" /><Relationship Id="rId161" Type="http://schemas.openxmlformats.org/officeDocument/2006/relationships/hyperlink" Target="https://advance.lexis.com/api/document?collection=cases-ca&amp;id=urn:contentItem:5F7T-S7N1-JJ1H-X33M-00000-00&amp;context=" TargetMode="External" /><Relationship Id="rId162" Type="http://schemas.openxmlformats.org/officeDocument/2006/relationships/hyperlink" Target="https://advance.lexis.com/api/document?collection=cases-ca&amp;id=urn:contentItem:5F7T-S7J1-JYYX-623G-00000-00&amp;context=" TargetMode="External" /><Relationship Id="rId163" Type="http://schemas.openxmlformats.org/officeDocument/2006/relationships/header" Target="header10.xml" /><Relationship Id="rId164" Type="http://schemas.openxmlformats.org/officeDocument/2006/relationships/header" Target="header11.xml" /><Relationship Id="rId165" Type="http://schemas.openxmlformats.org/officeDocument/2006/relationships/footer" Target="footer10.xml" /><Relationship Id="rId166" Type="http://schemas.openxmlformats.org/officeDocument/2006/relationships/footer" Target="footer11.xml" /><Relationship Id="rId167" Type="http://schemas.openxmlformats.org/officeDocument/2006/relationships/header" Target="header12.xml" /><Relationship Id="rId168" Type="http://schemas.openxmlformats.org/officeDocument/2006/relationships/footer" Target="footer12.xml" /><Relationship Id="rId169" Type="http://schemas.openxmlformats.org/officeDocument/2006/relationships/hyperlink" Target="https://advance.lexis.com/api/document?collection=cases-ca&amp;id=urn:contentItem:5TDH-88J1-F30T-B0RN-00000-00&amp;context=" TargetMode="External" /><Relationship Id="rId17" Type="http://schemas.openxmlformats.org/officeDocument/2006/relationships/hyperlink" Target="https://advance.lexis.com/api/document?collection=cases-ca&amp;id=urn:contentItem:5F7T-S7D1-JN6B-S0XF-00000-00&amp;context=" TargetMode="External" /><Relationship Id="rId170" Type="http://schemas.openxmlformats.org/officeDocument/2006/relationships/hyperlink" Target="https://advance.lexis.com/api/document?collection=legislation-ca&amp;id=urn:contentItem:5VYK-W9W1-JWBS-64Y3-00000-00&amp;context=" TargetMode="External" /><Relationship Id="rId171" Type="http://schemas.openxmlformats.org/officeDocument/2006/relationships/hyperlink" Target="https://advance.lexis.com/api/document?collection=legislation-ca&amp;id=urn:contentItem:5F3B-B6V1-F7ND-G1N0-00000-00&amp;context=" TargetMode="External" /><Relationship Id="rId172" Type="http://schemas.openxmlformats.org/officeDocument/2006/relationships/hyperlink" Target="https://advance.lexis.com/api/document?collection=legislation-ca&amp;id=urn:contentItem:5W3Y-TSS1-JK4W-M30H-00000-00&amp;context=" TargetMode="External" /><Relationship Id="rId173" Type="http://schemas.openxmlformats.org/officeDocument/2006/relationships/hyperlink" Target="https://advance.lexis.com/api/document?collection=legislation-ca&amp;id=urn:contentItem:5VYK-WB01-FH4C-X0M2-00000-00&amp;context=" TargetMode="External" /><Relationship Id="rId174" Type="http://schemas.openxmlformats.org/officeDocument/2006/relationships/hyperlink" Target="https://advance.lexis.com/api/document?collection=cases-ca&amp;id=urn:contentItem:5F7F-5RH1-JFSV-G06N-00000-00&amp;context=" TargetMode="External" /><Relationship Id="rId175" Type="http://schemas.openxmlformats.org/officeDocument/2006/relationships/hyperlink" Target="https://advance.lexis.com/api/document?collection=legislation-ca&amp;id=urn:contentItem:5W3Y-TSS1-K0HK-20FV-00000-00&amp;context=" TargetMode="External" /><Relationship Id="rId176" Type="http://schemas.openxmlformats.org/officeDocument/2006/relationships/hyperlink" Target="https://advance.lexis.com/api/document?collection=legislation-ca&amp;id=urn:contentItem:5JBT-P261-F7VM-S2JG-00000-00&amp;context=" TargetMode="External" /><Relationship Id="rId177" Type="http://schemas.openxmlformats.org/officeDocument/2006/relationships/hyperlink" Target="https://advance.lexis.com/api/document?collection=cases-ca&amp;id=urn:contentItem:5F7T-S7P1-JBDT-B161-00000-00&amp;context=" TargetMode="External" /><Relationship Id="rId178" Type="http://schemas.openxmlformats.org/officeDocument/2006/relationships/hyperlink" Target="https://advance.lexis.com/api/document?collection=cases-ca&amp;id=urn:contentItem:5G77-HXG1-FCK4-G3XK-00000-00&amp;context=" TargetMode="External" /><Relationship Id="rId179" Type="http://schemas.openxmlformats.org/officeDocument/2006/relationships/hyperlink" Target="https://advance.lexis.com/api/document?collection=cases-ca&amp;id=urn:contentItem:5JG1-HSD1-F5T5-M0ST-00000-00&amp;context=" TargetMode="External" /><Relationship Id="rId18" Type="http://schemas.openxmlformats.org/officeDocument/2006/relationships/hyperlink" Target="https://advance.lexis.com/api/document?collection=cases-ca&amp;id=urn:contentItem:5F7T-S7F1-DXWW-2473-00000-00&amp;context=" TargetMode="External" /><Relationship Id="rId180" Type="http://schemas.openxmlformats.org/officeDocument/2006/relationships/hyperlink" Target="https://advance.lexis.com/api/document?collection=cases-ca&amp;id=urn:contentItem:5KV0-CJ91-JN14-G198-00000-00&amp;context=" TargetMode="External" /><Relationship Id="rId181" Type="http://schemas.openxmlformats.org/officeDocument/2006/relationships/hyperlink" Target="https://advance.lexis.com/api/document?collection=cases-ca&amp;id=urn:contentItem:5S4W-RF21-JC0G-63PS-00000-00&amp;context=" TargetMode="External" /><Relationship Id="rId182" Type="http://schemas.openxmlformats.org/officeDocument/2006/relationships/hyperlink" Target="https://advance.lexis.com/api/document?collection=cases-ca&amp;id=urn:contentItem:5F7T-S741-F2F4-G293-00000-00&amp;context=" TargetMode="External" /><Relationship Id="rId183" Type="http://schemas.openxmlformats.org/officeDocument/2006/relationships/hyperlink" Target="https://advance.lexis.com/api/document?collection=cases-ca&amp;id=urn:contentItem:5F8W-M4G1-JBT7-X14K-00000-00&amp;context=" TargetMode="External" /><Relationship Id="rId184" Type="http://schemas.openxmlformats.org/officeDocument/2006/relationships/hyperlink" Target="https://advance.lexis.com/api/document?collection=cases-ca&amp;id=urn:contentItem:5GY5-GX51-F1WF-M04J-00000-00&amp;context=" TargetMode="External" /><Relationship Id="rId185" Type="http://schemas.openxmlformats.org/officeDocument/2006/relationships/hyperlink" Target="https://advance.lexis.com/api/document?collection=cases-ca&amp;id=urn:contentItem:5F8T-N3V1-JTGH-B0YX-00000-00&amp;context=" TargetMode="External" /><Relationship Id="rId186" Type="http://schemas.openxmlformats.org/officeDocument/2006/relationships/hyperlink" Target="https://advance.lexis.com/api/document?collection=cases-ca&amp;id=urn:contentItem:5F8P-SDG1-F4GK-M25X-00000-00&amp;context=" TargetMode="External" /><Relationship Id="rId187" Type="http://schemas.openxmlformats.org/officeDocument/2006/relationships/hyperlink" Target="https://advance.lexis.com/api/document?collection=cases-ca&amp;id=urn:contentItem:5F8T-N3V1-FC1F-M49J-00000-00&amp;context=" TargetMode="External" /><Relationship Id="rId188" Type="http://schemas.openxmlformats.org/officeDocument/2006/relationships/hyperlink" Target="https://advance.lexis.com/api/document?collection=cases-ca&amp;id=urn:contentItem:5F8P-SDS1-JCBX-S29K-00000-00&amp;context=" TargetMode="External" /><Relationship Id="rId189" Type="http://schemas.openxmlformats.org/officeDocument/2006/relationships/hyperlink" Target="https://advance.lexis.com/api/document?collection=cases-ca&amp;id=urn:contentItem:5PDP-7WW1-DYFH-X553-00000-00&amp;context=" TargetMode="External" /><Relationship Id="rId19" Type="http://schemas.openxmlformats.org/officeDocument/2006/relationships/hyperlink" Target="https://advance.lexis.com/api/document?collection=cases-ca&amp;id=urn:contentItem:5F7T-S7F1-JBT7-X2XW-00000-00&amp;context=" TargetMode="External" /><Relationship Id="rId190" Type="http://schemas.openxmlformats.org/officeDocument/2006/relationships/hyperlink" Target="https://advance.lexis.com/api/document?collection=cases-ca&amp;id=urn:contentItem:5F8T-N3V1-JTGH-B1HJ-00000-00&amp;context=" TargetMode="External" /><Relationship Id="rId191" Type="http://schemas.openxmlformats.org/officeDocument/2006/relationships/hyperlink" Target="https://advance.lexis.com/api/document?collection=cases-ca&amp;id=urn:contentItem:5F7F-5RG1-F4NT-X01Y-00000-00&amp;context=" TargetMode="External" /><Relationship Id="rId192" Type="http://schemas.openxmlformats.org/officeDocument/2006/relationships/hyperlink" Target="https://advance.lexis.com/api/document?collection=cases-ca&amp;id=urn:contentItem:5F8T-N3S1-JT99-250S-00000-00&amp;context=" TargetMode="External" /><Relationship Id="rId193" Type="http://schemas.openxmlformats.org/officeDocument/2006/relationships/hyperlink" Target="https://advance.lexis.com/api/document?collection=cases-ca&amp;id=urn:contentItem:5F81-VJT1-JWJ0-G39T-00000-00&amp;context=" TargetMode="External" /><Relationship Id="rId194" Type="http://schemas.openxmlformats.org/officeDocument/2006/relationships/hyperlink" Target="https://advance.lexis.com/api/document?collection=cases-ca&amp;id=urn:contentItem:5F8W-M441-JTNR-M06W-00000-00&amp;context=" TargetMode="External" /><Relationship Id="rId195" Type="http://schemas.openxmlformats.org/officeDocument/2006/relationships/hyperlink" Target="https://advance.lexis.com/api/document?collection=cases-ca&amp;id=urn:contentItem:5F8W-M491-JJYN-B0SN-00000-00&amp;context=" TargetMode="External" /><Relationship Id="rId196" Type="http://schemas.openxmlformats.org/officeDocument/2006/relationships/hyperlink" Target="https://advance.lexis.com/api/document?collection=cases-ca&amp;id=urn:contentItem:5F8T-N3V1-JF75-M3T4-00000-00&amp;context=" TargetMode="External" /><Relationship Id="rId197" Type="http://schemas.openxmlformats.org/officeDocument/2006/relationships/hyperlink" Target="https://advance.lexis.com/api/document?collection=cases-ca&amp;id=urn:contentItem:5F8T-N3V1-JTGH-B1H1-00000-00&amp;context=" TargetMode="External" /><Relationship Id="rId198" Type="http://schemas.openxmlformats.org/officeDocument/2006/relationships/hyperlink" Target="https://advance.lexis.com/api/document?collection=legislation-ca&amp;id=urn:contentItem:5W3Y-TSX1-F2TK-22MY-00000-00&amp;context=" TargetMode="External" /><Relationship Id="rId199" Type="http://schemas.openxmlformats.org/officeDocument/2006/relationships/hyperlink" Target="https://advance.lexis.com/api/document?collection=cases-ca&amp;id=urn:contentItem:5F81-YGV1-DYFH-X50T-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G1-JPP5-21XC-00000-00&amp;context=" TargetMode="External" /><Relationship Id="rId200" Type="http://schemas.openxmlformats.org/officeDocument/2006/relationships/hyperlink" Target="https://advance.lexis.com/api/document?collection=cases-ca&amp;id=urn:contentItem:5F81-YGV1-DYFH-X54W-00000-00&amp;context=" TargetMode="External" /><Relationship Id="rId201" Type="http://schemas.openxmlformats.org/officeDocument/2006/relationships/hyperlink" Target="https://advance.lexis.com/api/document?collection=cases-ca&amp;id=urn:contentItem:5F8T-N3R1-JJSF-22T3-00000-00&amp;context=" TargetMode="External" /><Relationship Id="rId202" Type="http://schemas.openxmlformats.org/officeDocument/2006/relationships/hyperlink" Target="https://advance.lexis.com/api/document?collection=cases-ca&amp;id=urn:contentItem:5F8T-N3R1-FJDY-X2XP-00000-00&amp;context=" TargetMode="External" /><Relationship Id="rId203" Type="http://schemas.openxmlformats.org/officeDocument/2006/relationships/hyperlink" Target="https://advance.lexis.com/api/document?collection=cases-ca&amp;id=urn:contentItem:5F7F-5RH1-FJM6-60FC-00000-00&amp;context=" TargetMode="External" /><Relationship Id="rId204" Type="http://schemas.openxmlformats.org/officeDocument/2006/relationships/hyperlink" Target="https://advance.lexis.com/api/document?collection=cases-ca&amp;id=urn:contentItem:5F8T-N3V1-JTGH-B16R-00000-00&amp;context=" TargetMode="External" /><Relationship Id="rId205" Type="http://schemas.openxmlformats.org/officeDocument/2006/relationships/hyperlink" Target="https://advance.lexis.com/api/document?collection=cases-ca&amp;id=urn:contentItem:5F8T-N3V1-JTGH-B19J-00000-00&amp;context=" TargetMode="External" /><Relationship Id="rId206" Type="http://schemas.openxmlformats.org/officeDocument/2006/relationships/hyperlink" Target="https://advance.lexis.com/api/document?collection=cases-ca&amp;id=urn:contentItem:5F7T-S7N1-JGHR-M35K-00000-00&amp;context=" TargetMode="External" /><Relationship Id="rId207" Type="http://schemas.openxmlformats.org/officeDocument/2006/relationships/hyperlink" Target="https://advance.lexis.com/api/document?collection=cases-ca&amp;id=urn:contentItem:5F8T-N3V1-JTGH-B19N-00000-00&amp;context=" TargetMode="External" /><Relationship Id="rId208" Type="http://schemas.openxmlformats.org/officeDocument/2006/relationships/hyperlink" Target="https://advance.lexis.com/api/document?collection=cases-ca&amp;id=urn:contentItem:5F8T-N3V1-FC1F-M49K-00000-00&amp;context=" TargetMode="External" /><Relationship Id="rId209" Type="http://schemas.openxmlformats.org/officeDocument/2006/relationships/hyperlink" Target="https://advance.lexis.com/api/document?collection=cases-ca&amp;id=urn:contentItem:5F8T-N3V1-JTGH-B1CS-00000-00&amp;context=" TargetMode="External" /><Relationship Id="rId21" Type="http://schemas.openxmlformats.org/officeDocument/2006/relationships/hyperlink" Target="https://advance.lexis.com/api/document?collection=cases-ca&amp;id=urn:contentItem:5F7T-S7J1-JGBH-B2FV-00000-00&amp;context=" TargetMode="External" /><Relationship Id="rId210" Type="http://schemas.openxmlformats.org/officeDocument/2006/relationships/hyperlink" Target="https://advance.lexis.com/api/document?collection=cases-ca&amp;id=urn:contentItem:5F8T-N3T1-JFKM-652N-00000-00&amp;context=" TargetMode="External" /><Relationship Id="rId211" Type="http://schemas.openxmlformats.org/officeDocument/2006/relationships/hyperlink" Target="https://advance.lexis.com/api/document?collection=cases-ca&amp;id=urn:contentItem:5G45-PB41-JJ6S-60TB-00000-00&amp;context=" TargetMode="External" /><Relationship Id="rId212" Type="http://schemas.openxmlformats.org/officeDocument/2006/relationships/hyperlink" Target="https://advance.lexis.com/api/document?collection=cases-ca&amp;id=urn:contentItem:5PVD-M721-JWJ0-G15G-00000-00&amp;context=" TargetMode="External" /><Relationship Id="rId213" Type="http://schemas.openxmlformats.org/officeDocument/2006/relationships/hyperlink" Target="https://advance.lexis.com/api/document?collection=cases-ca&amp;id=urn:contentItem:5F8T-N3V1-FH4C-X1WY-00000-00&amp;context=" TargetMode="External" /><Relationship Id="rId214" Type="http://schemas.openxmlformats.org/officeDocument/2006/relationships/hyperlink" Target="https://advance.lexis.com/api/document?collection=cases-ca&amp;id=urn:contentItem:5F8T-N3R1-JBDT-B566-00000-00&amp;context=" TargetMode="External" /><Relationship Id="rId215" Type="http://schemas.openxmlformats.org/officeDocument/2006/relationships/hyperlink" Target="https://advance.lexis.com/api/document?collection=cases-ca&amp;id=urn:contentItem:5F8T-N3V1-JTGH-B1C2-00000-00&amp;context=" TargetMode="External" /><Relationship Id="rId216" Type="http://schemas.openxmlformats.org/officeDocument/2006/relationships/hyperlink" Target="https://advance.lexis.com/api/document?collection=cases-ca&amp;id=urn:contentItem:5F7V-3DK1-JNY7-X2CK-00000-00&amp;context=" TargetMode="External" /><Relationship Id="rId217" Type="http://schemas.openxmlformats.org/officeDocument/2006/relationships/hyperlink" Target="https://advance.lexis.com/api/document?collection=legislation-ca&amp;id=urn:contentItem:5VYK-WB01-JJSF-2213-00000-00&amp;context=" TargetMode="External" /><Relationship Id="rId218" Type="http://schemas.openxmlformats.org/officeDocument/2006/relationships/hyperlink" Target="https://advance.lexis.com/api/document?collection=cases-ca&amp;id=urn:contentItem:5F81-VJY1-FBN1-22KH-00000-00&amp;context=" TargetMode="External" /><Relationship Id="rId219" Type="http://schemas.openxmlformats.org/officeDocument/2006/relationships/hyperlink" Target="https://advance.lexis.com/api/document?collection=cases-ca&amp;id=urn:contentItem:5F7T-S751-JBM1-M2CY-00000-00&amp;context=" TargetMode="External" /><Relationship Id="rId22" Type="http://schemas.openxmlformats.org/officeDocument/2006/relationships/hyperlink" Target="https://advance.lexis.com/api/document?collection=cases-ca&amp;id=urn:contentItem:5F7T-S7M1-JCRC-B1T4-00000-00&amp;context=" TargetMode="External" /><Relationship Id="rId220" Type="http://schemas.openxmlformats.org/officeDocument/2006/relationships/hyperlink" Target="https://advance.lexis.com/api/document?collection=cases-ca&amp;id=urn:contentItem:5F7T-S7M1-F4W2-620K-00000-00&amp;context=" TargetMode="External" /><Relationship Id="rId221" Type="http://schemas.openxmlformats.org/officeDocument/2006/relationships/hyperlink" Target="https://advance.lexis.com/api/document?collection=cases-ca&amp;id=urn:contentItem:5F7T-S6X1-F06F-22SH-00000-00&amp;context=" TargetMode="External" /><Relationship Id="rId222" Type="http://schemas.openxmlformats.org/officeDocument/2006/relationships/hyperlink" Target="https://advance.lexis.com/api/document?collection=cases-ca&amp;id=urn:contentItem:5F7T-S761-F81W-21Y2-00000-00&amp;context=" TargetMode="External" /><Relationship Id="rId223" Type="http://schemas.openxmlformats.org/officeDocument/2006/relationships/hyperlink" Target="https://advance.lexis.com/api/document?collection=cases-ca&amp;id=urn:contentItem:5F7T-S711-JB2B-S11F-00000-00&amp;context=" TargetMode="External" /><Relationship Id="rId224" Type="http://schemas.openxmlformats.org/officeDocument/2006/relationships/hyperlink" Target="https://advance.lexis.com/api/document?collection=cases-ca&amp;id=urn:contentItem:5F8T-N3R1-JNS1-M18G-00000-00&amp;context=" TargetMode="External" /><Relationship Id="rId225" Type="http://schemas.openxmlformats.org/officeDocument/2006/relationships/hyperlink" Target="https://advance.lexis.com/api/document?collection=cases-ca&amp;id=urn:contentItem:5F8T-N3V1-FC1F-M4BS-00000-00&amp;context=" TargetMode="External" /><Relationship Id="rId226" Type="http://schemas.openxmlformats.org/officeDocument/2006/relationships/header" Target="header13.xml" /><Relationship Id="rId227" Type="http://schemas.openxmlformats.org/officeDocument/2006/relationships/header" Target="header14.xml" /><Relationship Id="rId228" Type="http://schemas.openxmlformats.org/officeDocument/2006/relationships/footer" Target="footer13.xml" /><Relationship Id="rId229" Type="http://schemas.openxmlformats.org/officeDocument/2006/relationships/footer" Target="footer14.xml" /><Relationship Id="rId23" Type="http://schemas.openxmlformats.org/officeDocument/2006/relationships/header" Target="header4.xml" /><Relationship Id="rId230" Type="http://schemas.openxmlformats.org/officeDocument/2006/relationships/header" Target="header15.xml" /><Relationship Id="rId231" Type="http://schemas.openxmlformats.org/officeDocument/2006/relationships/footer" Target="footer15.xml" /><Relationship Id="rId232" Type="http://schemas.openxmlformats.org/officeDocument/2006/relationships/hyperlink" Target="https://advance.lexis.com/api/document?collection=cases-ca&amp;id=urn:contentItem:5SGG-FTC1-F57G-S565-00000-00&amp;context=" TargetMode="External" /><Relationship Id="rId233" Type="http://schemas.openxmlformats.org/officeDocument/2006/relationships/hyperlink" Target="https://advance.lexis.com/api/document?collection=cases-ca&amp;id=urn:contentItem:5F7T-S6Y1-JPP5-2188-00000-00&amp;context=" TargetMode="External" /><Relationship Id="rId234" Type="http://schemas.openxmlformats.org/officeDocument/2006/relationships/hyperlink" Target="https://advance.lexis.com/api/document?collection=cases-ca&amp;id=urn:contentItem:5F8T-N3V1-JF75-M3KJ-00000-00&amp;context=" TargetMode="External" /><Relationship Id="rId235" Type="http://schemas.openxmlformats.org/officeDocument/2006/relationships/hyperlink" Target="https://advance.lexis.com/api/document?collection=cases-ca&amp;id=urn:contentItem:5F7T-S781-FH4C-X2N3-00000-00&amp;context=" TargetMode="External" /><Relationship Id="rId236" Type="http://schemas.openxmlformats.org/officeDocument/2006/relationships/hyperlink" Target="https://advance.lexis.com/api/document?collection=cases-ca&amp;id=urn:contentItem:5F82-1SF1-JXG3-X26M-00000-00&amp;context=" TargetMode="External" /><Relationship Id="rId237" Type="http://schemas.openxmlformats.org/officeDocument/2006/relationships/hyperlink" Target="https://advance.lexis.com/api/document?collection=cases-ca&amp;id=urn:contentItem:5F7T-S6Y1-F65M-607P-00000-00&amp;context=" TargetMode="External" /><Relationship Id="rId238" Type="http://schemas.openxmlformats.org/officeDocument/2006/relationships/hyperlink" Target="https://advance.lexis.com/api/document?collection=cases-ca&amp;id=urn:contentItem:5F7T-S781-DYMS-6198-00000-00&amp;context=" TargetMode="External" /><Relationship Id="rId239" Type="http://schemas.openxmlformats.org/officeDocument/2006/relationships/hyperlink" Target="https://advance.lexis.com/api/document?collection=cases-ca&amp;id=urn:contentItem:5F16-9361-FK0M-S2R6-00000-00&amp;context=" TargetMode="External" /><Relationship Id="rId24" Type="http://schemas.openxmlformats.org/officeDocument/2006/relationships/header" Target="header5.xml" /><Relationship Id="rId240" Type="http://schemas.openxmlformats.org/officeDocument/2006/relationships/hyperlink" Target="https://advance.lexis.com/api/document?collection=cases-ca&amp;id=urn:contentItem:5F16-9301-FCSB-S3TN-00000-00&amp;context=" TargetMode="External" /><Relationship Id="rId241" Type="http://schemas.openxmlformats.org/officeDocument/2006/relationships/hyperlink" Target="https://advance.lexis.com/api/document?collection=cases-ca&amp;id=urn:contentItem:5F16-9301-JFDC-X1MR-00000-00&amp;context=" TargetMode="External" /><Relationship Id="rId242" Type="http://schemas.openxmlformats.org/officeDocument/2006/relationships/hyperlink" Target="https://advance.lexis.com/api/document?collection=cases-ca&amp;id=urn:contentItem:5JXC-X5T1-F8SS-6176-00000-00&amp;context=" TargetMode="External" /><Relationship Id="rId243" Type="http://schemas.openxmlformats.org/officeDocument/2006/relationships/hyperlink" Target="https://advance.lexis.com/api/document?collection=cases-ca&amp;id=urn:contentItem:5F7T-S7H1-F016-S42J-00000-00&amp;context=" TargetMode="External" /><Relationship Id="rId244" Type="http://schemas.openxmlformats.org/officeDocument/2006/relationships/hyperlink" Target="https://advance.lexis.com/api/document?collection=cases-ca&amp;id=urn:contentItem:5F8T-N3V1-FH4C-X22V-00000-00&amp;context=" TargetMode="External" /><Relationship Id="rId245" Type="http://schemas.openxmlformats.org/officeDocument/2006/relationships/hyperlink" Target="https://advance.lexis.com/api/document?collection=cases-ca&amp;id=urn:contentItem:5F16-92X1-FBN1-23GN-00000-00&amp;context=" TargetMode="External" /><Relationship Id="rId246" Type="http://schemas.openxmlformats.org/officeDocument/2006/relationships/hyperlink" Target="https://advance.lexis.com/api/document?collection=cases-ca&amp;id=urn:contentItem:5F8P-SD61-JX8W-M3FX-00000-00&amp;context=" TargetMode="External" /><Relationship Id="rId247" Type="http://schemas.openxmlformats.org/officeDocument/2006/relationships/hyperlink" Target="https://advance.lexis.com/api/document?collection=cases-ca&amp;id=urn:contentItem:5F81-VJX1-JP9P-G4F8-00000-00&amp;context=" TargetMode="External" /><Relationship Id="rId248" Type="http://schemas.openxmlformats.org/officeDocument/2006/relationships/hyperlink" Target="https://advance.lexis.com/api/document?collection=cases-ca&amp;id=urn:contentItem:5F7T-S7D1-F7ND-G0MH-00000-00&amp;context=" TargetMode="External" /><Relationship Id="rId249" Type="http://schemas.openxmlformats.org/officeDocument/2006/relationships/hyperlink" Target="https://advance.lexis.com/api/document?collection=cases-ca&amp;id=urn:contentItem:5MF2-KC41-F60C-X1HB-00000-00&amp;context=" TargetMode="External" /><Relationship Id="rId25" Type="http://schemas.openxmlformats.org/officeDocument/2006/relationships/footer" Target="footer4.xml" /><Relationship Id="rId250" Type="http://schemas.openxmlformats.org/officeDocument/2006/relationships/hyperlink" Target="https://advance.lexis.com/api/document?collection=cases-ca&amp;id=urn:contentItem:5F8T-N3T1-JGHR-M1Y2-00000-00&amp;context=" TargetMode="External" /><Relationship Id="rId251" Type="http://schemas.openxmlformats.org/officeDocument/2006/relationships/hyperlink" Target="https://advance.lexis.com/api/document?collection=cases-ca&amp;id=urn:contentItem:5F8T-N3V1-JF75-M3W7-00000-00&amp;context=" TargetMode="External" /><Relationship Id="rId252" Type="http://schemas.openxmlformats.org/officeDocument/2006/relationships/hyperlink" Target="https://advance.lexis.com/api/document?collection=cases-ca&amp;id=urn:contentItem:5F8T-N3V1-JF75-M3MF-00000-00&amp;context=" TargetMode="External" /><Relationship Id="rId253" Type="http://schemas.openxmlformats.org/officeDocument/2006/relationships/hyperlink" Target="https://advance.lexis.com/api/document?collection=cases-ca&amp;id=urn:contentItem:5F7T-S741-DXPM-S13P-00000-00&amp;context=" TargetMode="External" /><Relationship Id="rId254" Type="http://schemas.openxmlformats.org/officeDocument/2006/relationships/header" Target="header16.xml" /><Relationship Id="rId255" Type="http://schemas.openxmlformats.org/officeDocument/2006/relationships/header" Target="header17.xml" /><Relationship Id="rId256" Type="http://schemas.openxmlformats.org/officeDocument/2006/relationships/footer" Target="footer16.xml" /><Relationship Id="rId257" Type="http://schemas.openxmlformats.org/officeDocument/2006/relationships/footer" Target="footer17.xml" /><Relationship Id="rId258" Type="http://schemas.openxmlformats.org/officeDocument/2006/relationships/header" Target="header18.xml" /><Relationship Id="rId259" Type="http://schemas.openxmlformats.org/officeDocument/2006/relationships/footer" Target="footer18.xml" /><Relationship Id="rId26" Type="http://schemas.openxmlformats.org/officeDocument/2006/relationships/footer" Target="footer5.xml" /><Relationship Id="rId260" Type="http://schemas.openxmlformats.org/officeDocument/2006/relationships/hyperlink" Target="https://advance.lexis.com/api/document?collection=cases-ca&amp;id=urn:contentItem:5X8P-1591-JT99-231X-00000-00&amp;context=" TargetMode="External" /><Relationship Id="rId261" Type="http://schemas.openxmlformats.org/officeDocument/2006/relationships/hyperlink" Target="https://advance.lexis.com/api/document?collection=legislation-ca&amp;id=urn:contentItem:5F41-1FG1-FC1F-M0TW-00000-00&amp;context=" TargetMode="External" /><Relationship Id="rId262" Type="http://schemas.openxmlformats.org/officeDocument/2006/relationships/hyperlink" Target="https://advance.lexis.com/api/document?collection=cases-ca&amp;id=urn:contentItem:5F7T-S7N1-JW09-M104-00000-00&amp;context=" TargetMode="External" /><Relationship Id="rId263" Type="http://schemas.openxmlformats.org/officeDocument/2006/relationships/hyperlink" Target="https://advance.lexis.com/api/document?collection=cases-ca&amp;id=urn:contentItem:5HSD-C7M1-JFSV-G4CS-00000-00&amp;context=" TargetMode="External" /><Relationship Id="rId264" Type="http://schemas.openxmlformats.org/officeDocument/2006/relationships/hyperlink" Target="https://advance.lexis.com/api/document?collection=cases-ca&amp;id=urn:contentItem:5GCC-XVB1-FK0M-S528-00000-00&amp;context=" TargetMode="External" /><Relationship Id="rId265" Type="http://schemas.openxmlformats.org/officeDocument/2006/relationships/hyperlink" Target="https://advance.lexis.com/api/document?collection=cases-ca&amp;id=urn:contentItem:5F7T-S701-JF75-M4J3-00000-00&amp;context=" TargetMode="External" /><Relationship Id="rId266" Type="http://schemas.openxmlformats.org/officeDocument/2006/relationships/hyperlink" Target="https://advance.lexis.com/api/document?collection=cases-ca&amp;id=urn:contentItem:5F7T-S7K1-JKHB-62SX-00000-00&amp;context=" TargetMode="External" /><Relationship Id="rId267" Type="http://schemas.openxmlformats.org/officeDocument/2006/relationships/hyperlink" Target="https://advance.lexis.com/api/document?collection=cases-ca&amp;id=urn:contentItem:5F7T-S6S1-F7G6-61S3-00000-00&amp;context=" TargetMode="External" /><Relationship Id="rId268" Type="http://schemas.openxmlformats.org/officeDocument/2006/relationships/hyperlink" Target="https://advance.lexis.com/api/document?collection=cases-ca&amp;id=urn:contentItem:5F7T-S6W1-JYYX-61WY-00000-00&amp;context=" TargetMode="External" /><Relationship Id="rId269" Type="http://schemas.openxmlformats.org/officeDocument/2006/relationships/hyperlink" Target="https://advance.lexis.com/api/document?collection=cases-ca&amp;id=urn:contentItem:5F7T-S6X1-F7ND-G3V4-00000-00&amp;context=" TargetMode="External" /><Relationship Id="rId27" Type="http://schemas.openxmlformats.org/officeDocument/2006/relationships/header" Target="header6.xml" /><Relationship Id="rId270" Type="http://schemas.openxmlformats.org/officeDocument/2006/relationships/hyperlink" Target="https://advance.lexis.com/api/document?collection=cases-ca&amp;id=urn:contentItem:5F7T-S6X1-F7ND-G3DV-00000-00&amp;context=" TargetMode="External" /><Relationship Id="rId271" Type="http://schemas.openxmlformats.org/officeDocument/2006/relationships/hyperlink" Target="https://advance.lexis.com/api/document?collection=cases-ca&amp;id=urn:contentItem:5F7T-S741-F8D9-M1WM-00000-00&amp;context=" TargetMode="External" /><Relationship Id="rId272" Type="http://schemas.openxmlformats.org/officeDocument/2006/relationships/hyperlink" Target="https://advance.lexis.com/api/document?collection=cases-ca&amp;id=urn:contentItem:5GCC-XVC1-F900-G4KN-00000-00&amp;context=" TargetMode="External" /><Relationship Id="rId273" Type="http://schemas.openxmlformats.org/officeDocument/2006/relationships/hyperlink" Target="https://advance.lexis.com/api/document?collection=cases-ca&amp;id=urn:contentItem:5N7F-GP91-FGRY-B0SX-00000-00&amp;context=" TargetMode="External" /><Relationship Id="rId274" Type="http://schemas.openxmlformats.org/officeDocument/2006/relationships/hyperlink" Target="https://advance.lexis.com/api/document?collection=cases-ca&amp;id=urn:contentItem:5R26-BBK1-FFMK-M352-00000-00&amp;context=" TargetMode="External" /><Relationship Id="rId275" Type="http://schemas.openxmlformats.org/officeDocument/2006/relationships/hyperlink" Target="https://advance.lexis.com/api/document?collection=cases-ca&amp;id=urn:contentItem:5STF-4101-JW09-M4C6-00000-00&amp;context=" TargetMode="External" /><Relationship Id="rId276" Type="http://schemas.openxmlformats.org/officeDocument/2006/relationships/hyperlink" Target="https://advance.lexis.com/api/document?collection=cases-ca&amp;id=urn:contentItem:5VX3-4C71-DY89-M313-00000-00&amp;context=" TargetMode="External" /><Relationship Id="rId277" Type="http://schemas.openxmlformats.org/officeDocument/2006/relationships/hyperlink" Target="https://advance.lexis.com/api/document?collection=cases-ca&amp;id=urn:contentItem:5W48-C7G1-JJ6S-6147-00000-00&amp;context=" TargetMode="External" /><Relationship Id="rId278" Type="http://schemas.openxmlformats.org/officeDocument/2006/relationships/hyperlink" Target="https://advance.lexis.com/api/document?collection=cases-ca&amp;id=urn:contentItem:5WXN-4JY1-JF75-M1R5-00000-00&amp;context=" TargetMode="External" /><Relationship Id="rId279" Type="http://schemas.openxmlformats.org/officeDocument/2006/relationships/hyperlink" Target="https://advance.lexis.com/api/document?collection=cases-ca&amp;id=urn:contentItem:5X1M-SBW1-F1WF-M3X1-00000-00&amp;context=" TargetMode="External" /><Relationship Id="rId28" Type="http://schemas.openxmlformats.org/officeDocument/2006/relationships/footer" Target="footer6.xml" /><Relationship Id="rId280" Type="http://schemas.openxmlformats.org/officeDocument/2006/relationships/hyperlink" Target="https://advance.lexis.com/api/document?collection=cases-ca&amp;id=urn:contentItem:5GGK-45G1-F7VM-S3BD-00000-00&amp;context=" TargetMode="External" /><Relationship Id="rId281" Type="http://schemas.openxmlformats.org/officeDocument/2006/relationships/hyperlink" Target="https://advance.lexis.com/api/document?collection=cases-ca&amp;id=urn:contentItem:5F8T-N3P1-F956-S13G-00000-00&amp;context=" TargetMode="External" /><Relationship Id="rId282" Type="http://schemas.openxmlformats.org/officeDocument/2006/relationships/hyperlink" Target="https://advance.lexis.com/api/document?collection=cases-ca&amp;id=urn:contentItem:5F7T-S7N1-JW09-M12X-00000-00&amp;context=" TargetMode="External" /><Relationship Id="rId283" Type="http://schemas.openxmlformats.org/officeDocument/2006/relationships/hyperlink" Target="https://advance.lexis.com/api/document?collection=cases-ca&amp;id=urn:contentItem:5JK1-44M1-JNS1-M11W-00000-00&amp;context=" TargetMode="External" /><Relationship Id="rId284" Type="http://schemas.openxmlformats.org/officeDocument/2006/relationships/image" Target="media/image1.png" /><Relationship Id="rId285" Type="http://schemas.openxmlformats.org/officeDocument/2006/relationships/header" Target="header19.xml" /><Relationship Id="rId286" Type="http://schemas.openxmlformats.org/officeDocument/2006/relationships/header" Target="header20.xml" /><Relationship Id="rId287" Type="http://schemas.openxmlformats.org/officeDocument/2006/relationships/footer" Target="footer19.xml" /><Relationship Id="rId288" Type="http://schemas.openxmlformats.org/officeDocument/2006/relationships/footer" Target="footer20.xml" /><Relationship Id="rId289" Type="http://schemas.openxmlformats.org/officeDocument/2006/relationships/header" Target="header21.xml" /><Relationship Id="rId29" Type="http://schemas.openxmlformats.org/officeDocument/2006/relationships/hyperlink" Target="https://advance.lexis.com/api/document?collection=cases-ca&amp;id=urn:contentItem:5F7T-S7C1-JXG3-X0B8-00000-00&amp;context=" TargetMode="External" /><Relationship Id="rId290" Type="http://schemas.openxmlformats.org/officeDocument/2006/relationships/footer" Target="footer21.xml" /><Relationship Id="rId291" Type="http://schemas.openxmlformats.org/officeDocument/2006/relationships/hyperlink" Target="https://advance.lexis.com/api/document?collection=cases-ca&amp;id=urn:contentItem:5F7T-S7C1-FCSB-S2DB-00000-00&amp;context=" TargetMode="External" /><Relationship Id="rId292" Type="http://schemas.openxmlformats.org/officeDocument/2006/relationships/header" Target="header22.xml" /><Relationship Id="rId293" Type="http://schemas.openxmlformats.org/officeDocument/2006/relationships/header" Target="header23.xml" /><Relationship Id="rId294" Type="http://schemas.openxmlformats.org/officeDocument/2006/relationships/footer" Target="footer22.xml" /><Relationship Id="rId295" Type="http://schemas.openxmlformats.org/officeDocument/2006/relationships/footer" Target="footer23.xml" /><Relationship Id="rId296" Type="http://schemas.openxmlformats.org/officeDocument/2006/relationships/header" Target="header24.xml" /><Relationship Id="rId297" Type="http://schemas.openxmlformats.org/officeDocument/2006/relationships/footer" Target="footer24.xml" /><Relationship Id="rId298" Type="http://schemas.openxmlformats.org/officeDocument/2006/relationships/hyperlink" Target="https://advance.lexis.com/api/document?collection=cases-ca&amp;id=urn:contentItem:5K6X-H241-JNS1-M0HR-00000-00&amp;context=" TargetMode="External" /><Relationship Id="rId299" Type="http://schemas.openxmlformats.org/officeDocument/2006/relationships/hyperlink" Target="https://advance.lexis.com/api/document?collection=cases-ca&amp;id=urn:contentItem:5F7T-S7F1-FJTD-G390-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legislation-ca&amp;id=urn:contentItem:5F3B-B7W1-JTGH-B01X-00000-00&amp;context=" TargetMode="External" /><Relationship Id="rId300" Type="http://schemas.openxmlformats.org/officeDocument/2006/relationships/header" Target="header25.xml" /><Relationship Id="rId301" Type="http://schemas.openxmlformats.org/officeDocument/2006/relationships/header" Target="header26.xml" /><Relationship Id="rId302" Type="http://schemas.openxmlformats.org/officeDocument/2006/relationships/footer" Target="footer25.xml" /><Relationship Id="rId303" Type="http://schemas.openxmlformats.org/officeDocument/2006/relationships/footer" Target="footer26.xml" /><Relationship Id="rId304" Type="http://schemas.openxmlformats.org/officeDocument/2006/relationships/header" Target="header27.xml" /><Relationship Id="rId305" Type="http://schemas.openxmlformats.org/officeDocument/2006/relationships/footer" Target="footer27.xml" /><Relationship Id="rId306" Type="http://schemas.openxmlformats.org/officeDocument/2006/relationships/hyperlink" Target="https://advance.lexis.com/api/document?collection=cases-ca&amp;id=urn:contentItem:5K6X-H241-JNS1-M0H2-00000-00&amp;context=" TargetMode="External" /><Relationship Id="rId307" Type="http://schemas.openxmlformats.org/officeDocument/2006/relationships/hyperlink" Target="https://advance.lexis.com/api/document?collection=cases-ca&amp;id=urn:contentItem:5F7T-S7D1-JN6B-S12B-00000-00&amp;context=" TargetMode="External" /><Relationship Id="rId308" Type="http://schemas.openxmlformats.org/officeDocument/2006/relationships/header" Target="header28.xml" /><Relationship Id="rId309" Type="http://schemas.openxmlformats.org/officeDocument/2006/relationships/header" Target="header29.xml" /><Relationship Id="rId31" Type="http://schemas.openxmlformats.org/officeDocument/2006/relationships/hyperlink" Target="https://advance.lexis.com/api/document?collection=legislation-ca&amp;id=urn:contentItem:5NVH-D1S1-JCRC-B27W-00000-00&amp;context=" TargetMode="External" /><Relationship Id="rId310" Type="http://schemas.openxmlformats.org/officeDocument/2006/relationships/footer" Target="footer28.xml" /><Relationship Id="rId311" Type="http://schemas.openxmlformats.org/officeDocument/2006/relationships/footer" Target="footer29.xml" /><Relationship Id="rId312" Type="http://schemas.openxmlformats.org/officeDocument/2006/relationships/header" Target="header30.xml" /><Relationship Id="rId313" Type="http://schemas.openxmlformats.org/officeDocument/2006/relationships/footer" Target="footer30.xml" /><Relationship Id="rId314" Type="http://schemas.openxmlformats.org/officeDocument/2006/relationships/hyperlink" Target="https://advance.lexis.com/api/document?collection=cases-ca&amp;id=urn:contentItem:5Y92-TKP1-FCCX-61TC-00000-00&amp;context=" TargetMode="External" /><Relationship Id="rId315" Type="http://schemas.openxmlformats.org/officeDocument/2006/relationships/hyperlink" Target="https://advance.lexis.com/api/document?collection=cases-ca&amp;id=urn:contentItem:5Y93-9961-JX3N-B31C-00000-00&amp;context=" TargetMode="External" /><Relationship Id="rId316" Type="http://schemas.openxmlformats.org/officeDocument/2006/relationships/hyperlink" Target="https://advance.lexis.com/api/document?collection=cases-ca&amp;id=urn:contentItem:5F8T-N3P1-F7ND-G14C-00000-00&amp;context=" TargetMode="External" /><Relationship Id="rId317" Type="http://schemas.openxmlformats.org/officeDocument/2006/relationships/hyperlink" Target="https://advance.lexis.com/api/document?collection=cases-ca&amp;id=urn:contentItem:5F81-YGW1-DYFH-X025-00000-00&amp;context=" TargetMode="External" /><Relationship Id="rId318" Type="http://schemas.openxmlformats.org/officeDocument/2006/relationships/hyperlink" Target="https://advance.lexis.com/api/document?collection=cases-ca&amp;id=urn:contentItem:5F8P-SC71-JK4W-M2MK-00000-00&amp;context=" TargetMode="External" /><Relationship Id="rId319" Type="http://schemas.openxmlformats.org/officeDocument/2006/relationships/hyperlink" Target="https://advance.lexis.com/api/document?collection=cases-ca&amp;id=urn:contentItem:5F8T-N3V1-JF75-M3WX-00000-00&amp;context=" TargetMode="External" /><Relationship Id="rId32" Type="http://schemas.openxmlformats.org/officeDocument/2006/relationships/hyperlink" Target="https://advance.lexis.com/api/document?collection=legislation-ca&amp;id=urn:contentItem:5FBX-WG51-F06F-24BB-00000-00&amp;context=" TargetMode="External" /><Relationship Id="rId320" Type="http://schemas.openxmlformats.org/officeDocument/2006/relationships/hyperlink" Target="https://advance.lexis.com/api/document?collection=cases-ca&amp;id=urn:contentItem:5F16-9321-FC1F-M53V-00000-00&amp;context=" TargetMode="External" /><Relationship Id="rId321" Type="http://schemas.openxmlformats.org/officeDocument/2006/relationships/hyperlink" Target="https://advance.lexis.com/api/document?collection=cases-ca&amp;id=urn:contentItem:5F7T-S711-JNY7-X3B1-00000-00&amp;context=" TargetMode="External" /><Relationship Id="rId322" Type="http://schemas.openxmlformats.org/officeDocument/2006/relationships/hyperlink" Target="https://advance.lexis.com/api/document?collection=cases-ca&amp;id=urn:contentItem:5F7T-S7H1-JG02-S3N8-00000-00&amp;context=" TargetMode="External" /><Relationship Id="rId323" Type="http://schemas.openxmlformats.org/officeDocument/2006/relationships/hyperlink" Target="https://advance.lexis.com/api/document?collection=cases-ca&amp;id=urn:contentItem:5F7T-S7H1-JG02-S3T6-00000-00&amp;context=" TargetMode="External" /><Relationship Id="rId324" Type="http://schemas.openxmlformats.org/officeDocument/2006/relationships/hyperlink" Target="https://advance.lexis.com/api/document?collection=cases-ca&amp;id=urn:contentItem:5F7T-S7N1-JW09-M0R1-00000-00&amp;context=" TargetMode="External" /><Relationship Id="rId325" Type="http://schemas.openxmlformats.org/officeDocument/2006/relationships/hyperlink" Target="https://advance.lexis.com/api/document?collection=cases-ca&amp;id=urn:contentItem:5K56-XS31-FC6N-X36V-00000-00&amp;context=" TargetMode="External" /><Relationship Id="rId326" Type="http://schemas.openxmlformats.org/officeDocument/2006/relationships/hyperlink" Target="https://advance.lexis.com/api/document?collection=cases-ca&amp;id=urn:contentItem:5F7T-S771-JWBS-61CW-00000-00&amp;context=" TargetMode="External" /><Relationship Id="rId327" Type="http://schemas.openxmlformats.org/officeDocument/2006/relationships/hyperlink" Target="https://advance.lexis.com/api/document?collection=cases-ca&amp;id=urn:contentItem:5F7T-S781-F06F-240G-00000-00&amp;context=" TargetMode="External" /><Relationship Id="rId328" Type="http://schemas.openxmlformats.org/officeDocument/2006/relationships/hyperlink" Target="https://advance.lexis.com/api/document?collection=cases-ca&amp;id=urn:contentItem:5F8P-SCT1-JTNR-M30K-00000-00&amp;context=" TargetMode="External" /><Relationship Id="rId329" Type="http://schemas.openxmlformats.org/officeDocument/2006/relationships/hyperlink" Target="https://advance.lexis.com/api/document?collection=cases-ca&amp;id=urn:contentItem:5F7T-S761-F81W-21RK-00000-00&amp;context=" TargetMode="External" /><Relationship Id="rId33" Type="http://schemas.openxmlformats.org/officeDocument/2006/relationships/hyperlink" Target="https://advance.lexis.com/api/document?collection=legislation-ca&amp;id=urn:contentItem:5F41-1FJ1-F5KY-B1KS-00000-00&amp;context=" TargetMode="External" /><Relationship Id="rId330" Type="http://schemas.openxmlformats.org/officeDocument/2006/relationships/hyperlink" Target="https://advance.lexis.com/api/document?collection=cases-ca&amp;id=urn:contentItem:5F8T-N3T1-JJSF-2361-00000-00&amp;context=" TargetMode="External" /><Relationship Id="rId331" Type="http://schemas.openxmlformats.org/officeDocument/2006/relationships/hyperlink" Target="https://advance.lexis.com/api/document?collection=cases-ca&amp;id=urn:contentItem:5F8T-N3V1-JTGH-B11G-00000-00&amp;context=" TargetMode="External" /><Relationship Id="rId332" Type="http://schemas.openxmlformats.org/officeDocument/2006/relationships/hyperlink" Target="https://advance.lexis.com/api/document?collection=cases-ca&amp;id=urn:contentItem:5F7T-S7K1-JWXF-2115-00000-00&amp;context=" TargetMode="External" /><Relationship Id="rId333" Type="http://schemas.openxmlformats.org/officeDocument/2006/relationships/hyperlink" Target="https://advance.lexis.com/api/document?collection=cases-ca&amp;id=urn:contentItem:5HK3-JGT1-JPGX-S3V4-00000-00&amp;context=" TargetMode="External" /><Relationship Id="rId334" Type="http://schemas.openxmlformats.org/officeDocument/2006/relationships/hyperlink" Target="https://advance.lexis.com/api/document?collection=cases-ca&amp;id=urn:contentItem:5F7T-S7B1-FH4C-X381-00000-00&amp;context=" TargetMode="External" /><Relationship Id="rId335" Type="http://schemas.openxmlformats.org/officeDocument/2006/relationships/hyperlink" Target="https://advance.lexis.com/api/document?collection=cases-ca&amp;id=urn:contentItem:5F7T-S7K1-F1H1-22C1-00000-00&amp;context=" TargetMode="External" /><Relationship Id="rId336" Type="http://schemas.openxmlformats.org/officeDocument/2006/relationships/hyperlink" Target="https://advance.lexis.com/api/document?collection=cases-ca&amp;id=urn:contentItem:5F82-1SF1-F361-M45M-00000-00&amp;context=" TargetMode="External" /><Relationship Id="rId337" Type="http://schemas.openxmlformats.org/officeDocument/2006/relationships/hyperlink" Target="https://advance.lexis.com/api/document?collection=cases-ca&amp;id=urn:contentItem:5NJH-4X81-F5KY-B3T0-00000-00&amp;context=" TargetMode="External" /><Relationship Id="rId338" Type="http://schemas.openxmlformats.org/officeDocument/2006/relationships/hyperlink" Target="https://advance.lexis.com/api/document?collection=cases-ca&amp;id=urn:contentItem:5F7T-S7N1-JJ1H-X2Y3-00000-00&amp;context=" TargetMode="External" /><Relationship Id="rId339" Type="http://schemas.openxmlformats.org/officeDocument/2006/relationships/hyperlink" Target="https://advance.lexis.com/api/document?collection=cases-ca&amp;id=urn:contentItem:5JW3-TKC1-JGPY-X4PG-00000-00&amp;context=" TargetMode="External" /><Relationship Id="rId34" Type="http://schemas.openxmlformats.org/officeDocument/2006/relationships/hyperlink" Target="https://advance.lexis.com/api/document?collection=legislation-ca&amp;id=urn:contentItem:5F3B-BBF1-F8KH-X2D4-00000-00&amp;context=" TargetMode="External" /><Relationship Id="rId340" Type="http://schemas.openxmlformats.org/officeDocument/2006/relationships/hyperlink" Target="https://advance.lexis.com/api/document?collection=cases-ca&amp;id=urn:contentItem:5F7T-S7P1-JSJC-X1SJ-00000-00&amp;context=" TargetMode="External" /><Relationship Id="rId341" Type="http://schemas.openxmlformats.org/officeDocument/2006/relationships/hyperlink" Target="https://advance.lexis.com/api/document?collection=cases-ca&amp;id=urn:contentItem:5PPC-9T11-JWJ0-G269-00000-00&amp;context=" TargetMode="External" /><Relationship Id="rId342" Type="http://schemas.openxmlformats.org/officeDocument/2006/relationships/hyperlink" Target="https://advance.lexis.com/api/document?collection=cases-ca&amp;id=urn:contentItem:5F7T-S701-JF75-M4N2-00000-00&amp;context=" TargetMode="External" /><Relationship Id="rId343" Type="http://schemas.openxmlformats.org/officeDocument/2006/relationships/hyperlink" Target="https://advance.lexis.com/api/document?collection=cases-ca&amp;id=urn:contentItem:5F7T-S6W1-JYYX-61TX-00000-00&amp;context=" TargetMode="External" /><Relationship Id="rId344" Type="http://schemas.openxmlformats.org/officeDocument/2006/relationships/hyperlink" Target="https://advance.lexis.com/api/document?collection=cases-ca&amp;id=urn:contentItem:5RTY-1871-JCBX-S0TB-00000-00&amp;context=" TargetMode="External" /><Relationship Id="rId345" Type="http://schemas.openxmlformats.org/officeDocument/2006/relationships/hyperlink" Target="https://advance.lexis.com/api/document?collection=cases-ca&amp;id=urn:contentItem:5F7T-S7P1-JG02-S49X-00000-00&amp;context=" TargetMode="External" /><Relationship Id="rId346" Type="http://schemas.openxmlformats.org/officeDocument/2006/relationships/image" Target="media/image2.jpeg" /><Relationship Id="rId347" Type="http://schemas.openxmlformats.org/officeDocument/2006/relationships/header" Target="header31.xml" /><Relationship Id="rId348" Type="http://schemas.openxmlformats.org/officeDocument/2006/relationships/header" Target="header32.xml" /><Relationship Id="rId349" Type="http://schemas.openxmlformats.org/officeDocument/2006/relationships/footer" Target="footer31.xml" /><Relationship Id="rId35" Type="http://schemas.openxmlformats.org/officeDocument/2006/relationships/hyperlink" Target="https://advance.lexis.com/api/document?collection=legislation-ca&amp;id=urn:contentItem:5VYK-WB01-JJSF-220V-00000-00&amp;context=" TargetMode="External" /><Relationship Id="rId350" Type="http://schemas.openxmlformats.org/officeDocument/2006/relationships/footer" Target="footer32.xml" /><Relationship Id="rId351" Type="http://schemas.openxmlformats.org/officeDocument/2006/relationships/header" Target="header33.xml" /><Relationship Id="rId352" Type="http://schemas.openxmlformats.org/officeDocument/2006/relationships/footer" Target="footer33.xml" /><Relationship Id="rId353" Type="http://schemas.openxmlformats.org/officeDocument/2006/relationships/hyperlink" Target="https://advance.lexis.com/api/document?collection=cases-ca&amp;id=urn:contentItem:5F7T-S7B1-FH4C-X3J8-00000-00&amp;context=" TargetMode="External" /><Relationship Id="rId354" Type="http://schemas.openxmlformats.org/officeDocument/2006/relationships/hyperlink" Target="https://advance.lexis.com/api/document?collection=cases-ca&amp;id=urn:contentItem:5F7T-S771-FG68-G0V8-00000-00&amp;context=" TargetMode="External" /><Relationship Id="rId355" Type="http://schemas.openxmlformats.org/officeDocument/2006/relationships/hyperlink" Target="https://advance.lexis.com/api/document?collection=cases-ca&amp;id=urn:contentItem:5F7T-S711-JNY7-X3DG-00000-00&amp;context=" TargetMode="External" /><Relationship Id="rId356" Type="http://schemas.openxmlformats.org/officeDocument/2006/relationships/header" Target="header34.xml" /><Relationship Id="rId357" Type="http://schemas.openxmlformats.org/officeDocument/2006/relationships/header" Target="header35.xml" /><Relationship Id="rId358" Type="http://schemas.openxmlformats.org/officeDocument/2006/relationships/footer" Target="footer34.xml" /><Relationship Id="rId359" Type="http://schemas.openxmlformats.org/officeDocument/2006/relationships/footer" Target="footer35.xml" /><Relationship Id="rId36" Type="http://schemas.openxmlformats.org/officeDocument/2006/relationships/hyperlink" Target="https://advance.lexis.com/api/document?collection=cases-ca&amp;id=urn:contentItem:5F81-VJX1-JJYN-B4X4-00000-00&amp;context=" TargetMode="External" /><Relationship Id="rId360" Type="http://schemas.openxmlformats.org/officeDocument/2006/relationships/header" Target="header36.xml" /><Relationship Id="rId361" Type="http://schemas.openxmlformats.org/officeDocument/2006/relationships/footer" Target="footer36.xml" /><Relationship Id="rId362" Type="http://schemas.openxmlformats.org/officeDocument/2006/relationships/hyperlink" Target="https://advance.lexis.com/api/document?collection=cases-ca&amp;id=urn:contentItem:5F7T-S7C1-JXG3-X02B-00000-00&amp;context=" TargetMode="External" /><Relationship Id="rId363" Type="http://schemas.openxmlformats.org/officeDocument/2006/relationships/hyperlink" Target="https://advance.lexis.com/api/document?collection=cases-ca&amp;id=urn:contentItem:5F7T-S711-JNS1-M112-00000-00&amp;context=" TargetMode="External" /><Relationship Id="rId364" Type="http://schemas.openxmlformats.org/officeDocument/2006/relationships/hyperlink" Target="https://advance.lexis.com/api/document?collection=cases-ca&amp;id=urn:contentItem:5F7T-S6W1-F4GK-M12Y-00000-00&amp;context=" TargetMode="External" /><Relationship Id="rId365" Type="http://schemas.openxmlformats.org/officeDocument/2006/relationships/hyperlink" Target="https://advance.lexis.com/api/document?collection=cases-ca&amp;id=urn:contentItem:5F7T-S6X1-F7ND-G3SS-00000-00&amp;context=" TargetMode="External" /><Relationship Id="rId366" Type="http://schemas.openxmlformats.org/officeDocument/2006/relationships/hyperlink" Target="https://advance.lexis.com/api/document?collection=cases-ca&amp;id=urn:contentItem:5F7T-S6X1-JTNR-M3T8-00000-00&amp;context=" TargetMode="External" /><Relationship Id="rId367" Type="http://schemas.openxmlformats.org/officeDocument/2006/relationships/hyperlink" Target="https://advance.lexis.com/api/document?collection=cases-ca&amp;id=urn:contentItem:5F7T-S701-JF75-M47G-00000-00&amp;context=" TargetMode="External" /><Relationship Id="rId368" Type="http://schemas.openxmlformats.org/officeDocument/2006/relationships/hyperlink" Target="https://advance.lexis.com/api/document?collection=cases-ca&amp;id=urn:contentItem:5F81-YH41-JX8W-M05X-00000-00&amp;context=" TargetMode="External" /><Relationship Id="rId369" Type="http://schemas.openxmlformats.org/officeDocument/2006/relationships/hyperlink" Target="https://advance.lexis.com/api/document?collection=cases-ca&amp;id=urn:contentItem:5F8P-SC81-JN14-G258-00000-00&amp;context=" TargetMode="External" /><Relationship Id="rId37" Type="http://schemas.openxmlformats.org/officeDocument/2006/relationships/hyperlink" Target="https://advance.lexis.com/api/document?collection=cases-ca&amp;id=urn:contentItem:5F7T-S6T1-FJTD-G1P3-00000-00&amp;context=" TargetMode="External" /><Relationship Id="rId370" Type="http://schemas.openxmlformats.org/officeDocument/2006/relationships/hyperlink" Target="https://advance.lexis.com/api/document?collection=cases-ca&amp;id=urn:contentItem:5F81-YH41-JX8W-M05N-00000-00&amp;context=" TargetMode="External" /><Relationship Id="rId371" Type="http://schemas.openxmlformats.org/officeDocument/2006/relationships/hyperlink" Target="https://advance.lexis.com/api/document?collection=cases-ca&amp;id=urn:contentItem:5F7T-S781-DYMS-61C9-00000-00&amp;context=" TargetMode="External" /><Relationship Id="rId372" Type="http://schemas.openxmlformats.org/officeDocument/2006/relationships/hyperlink" Target="https://advance.lexis.com/api/document?collection=cases-ca&amp;id=urn:contentItem:5F8T-N3R1-JJSF-22WM-00000-00&amp;context=" TargetMode="External" /><Relationship Id="rId373" Type="http://schemas.openxmlformats.org/officeDocument/2006/relationships/hyperlink" Target="https://advance.lexis.com/api/document?collection=cases-ca&amp;id=urn:contentItem:5F7T-S721-F5T5-M2CH-00000-00&amp;context=" TargetMode="External" /><Relationship Id="rId374" Type="http://schemas.openxmlformats.org/officeDocument/2006/relationships/hyperlink" Target="https://advance.lexis.com/api/document?collection=cases-ca&amp;id=urn:contentItem:5F7T-S751-JP4G-61DK-00000-00&amp;context=" TargetMode="External" /><Relationship Id="rId375" Type="http://schemas.openxmlformats.org/officeDocument/2006/relationships/hyperlink" Target="https://advance.lexis.com/api/document?collection=cases-ca&amp;id=urn:contentItem:5F7T-S711-JNY7-X309-00000-00&amp;context=" TargetMode="External" /><Relationship Id="rId376" Type="http://schemas.openxmlformats.org/officeDocument/2006/relationships/hyperlink" Target="https://advance.lexis.com/api/document?collection=cases-ca&amp;id=urn:contentItem:5F7T-S7C1-F4NT-X3XR-00000-00&amp;context=" TargetMode="External" /><Relationship Id="rId377" Type="http://schemas.openxmlformats.org/officeDocument/2006/relationships/hyperlink" Target="https://advance.lexis.com/api/document?collection=cases-ca&amp;id=urn:contentItem:5F7T-S781-JC5P-G1R6-00000-00&amp;context=" TargetMode="External" /><Relationship Id="rId378" Type="http://schemas.openxmlformats.org/officeDocument/2006/relationships/hyperlink" Target="https://advance.lexis.com/api/document?collection=cases-ca&amp;id=urn:contentItem:5F7T-S771-F361-M1C6-00000-00&amp;context=" TargetMode="External" /><Relationship Id="rId379" Type="http://schemas.openxmlformats.org/officeDocument/2006/relationships/hyperlink" Target="https://advance.lexis.com/api/document?collection=cases-ca&amp;id=urn:contentItem:5F8T-N3S1-JT99-250W-00000-00&amp;context=" TargetMode="External" /><Relationship Id="rId38" Type="http://schemas.openxmlformats.org/officeDocument/2006/relationships/hyperlink" Target="https://advance.lexis.com/api/document?collection=cases-ca&amp;id=urn:contentItem:5F7T-S731-F016-S331-00000-00&amp;context=" TargetMode="External" /><Relationship Id="rId380" Type="http://schemas.openxmlformats.org/officeDocument/2006/relationships/hyperlink" Target="https://advance.lexis.com/api/document?collection=cases-ca&amp;id=urn:contentItem:5F7T-S701-JBT7-X23F-00000-00&amp;context=" TargetMode="External" /><Relationship Id="rId381" Type="http://schemas.openxmlformats.org/officeDocument/2006/relationships/hyperlink" Target="https://advance.lexis.com/api/document?collection=cases-ca&amp;id=urn:contentItem:5F7T-S711-JC0G-634D-00000-00&amp;context=" TargetMode="External" /><Relationship Id="rId382" Type="http://schemas.openxmlformats.org/officeDocument/2006/relationships/hyperlink" Target="https://advance.lexis.com/api/document?collection=cases-ca&amp;id=urn:contentItem:5F7V-3DH1-FCK4-G17S-00000-00&amp;context=" TargetMode="External" /><Relationship Id="rId383" Type="http://schemas.openxmlformats.org/officeDocument/2006/relationships/header" Target="header37.xml" /><Relationship Id="rId384" Type="http://schemas.openxmlformats.org/officeDocument/2006/relationships/header" Target="header38.xml" /><Relationship Id="rId385" Type="http://schemas.openxmlformats.org/officeDocument/2006/relationships/footer" Target="footer37.xml" /><Relationship Id="rId386" Type="http://schemas.openxmlformats.org/officeDocument/2006/relationships/footer" Target="footer38.xml" /><Relationship Id="rId387" Type="http://schemas.openxmlformats.org/officeDocument/2006/relationships/header" Target="header39.xml" /><Relationship Id="rId388" Type="http://schemas.openxmlformats.org/officeDocument/2006/relationships/footer" Target="footer39.xml" /><Relationship Id="rId389" Type="http://schemas.openxmlformats.org/officeDocument/2006/relationships/hyperlink" Target="https://advance.lexis.com/api/document?collection=cases-ca&amp;id=urn:contentItem:5Y56-MSB1-F2TK-203D-00000-00&amp;context=" TargetMode="External" /><Relationship Id="rId39" Type="http://schemas.openxmlformats.org/officeDocument/2006/relationships/hyperlink" Target="https://advance.lexis.com/api/document?collection=cases-ca&amp;id=urn:contentItem:5F7T-S761-FFMK-M15W-00000-00&amp;context=" TargetMode="External" /><Relationship Id="rId390" Type="http://schemas.openxmlformats.org/officeDocument/2006/relationships/hyperlink" Target="https://advance.lexis.com/api/document?collection=cases-ca&amp;id=urn:contentItem:5F7T-S7N1-JC5P-G29R-00000-00&amp;context=" TargetMode="External" /><Relationship Id="rId391" Type="http://schemas.openxmlformats.org/officeDocument/2006/relationships/hyperlink" Target="https://advance.lexis.com/api/document?collection=cases-ca&amp;id=urn:contentItem:5JSS-9XD1-F4W2-62Y9-00000-00&amp;context=" TargetMode="External" /><Relationship Id="rId392" Type="http://schemas.openxmlformats.org/officeDocument/2006/relationships/hyperlink" Target="https://advance.lexis.com/api/document?collection=cases-ca&amp;id=urn:contentItem:5KHN-KX81-JWR6-S42G-00000-00&amp;context=" TargetMode="External" /><Relationship Id="rId393" Type="http://schemas.openxmlformats.org/officeDocument/2006/relationships/hyperlink" Target="https://advance.lexis.com/api/document?collection=cases-ca&amp;id=urn:contentItem:5F7T-S7M1-JCRC-B1X1-00000-00&amp;context=" TargetMode="External" /><Relationship Id="rId394" Type="http://schemas.openxmlformats.org/officeDocument/2006/relationships/hyperlink" Target="https://advance.lexis.com/api/document?collection=cases-ca&amp;id=urn:contentItem:5F7T-S7M1-JCRC-B1VN-00000-00&amp;context=" TargetMode="External" /><Relationship Id="rId395" Type="http://schemas.openxmlformats.org/officeDocument/2006/relationships/hyperlink" Target="https://advance.lexis.com/api/document?collection=cases-ca&amp;id=urn:contentItem:5WN6-3YJ1-JKPJ-G3FC-00000-00&amp;context=" TargetMode="External" /><Relationship Id="rId396" Type="http://schemas.openxmlformats.org/officeDocument/2006/relationships/hyperlink" Target="https://advance.lexis.com/api/document?collection=cases-ca&amp;id=urn:contentItem:5F7T-S7N1-JWR6-S2KB-00000-00&amp;context=" TargetMode="External" /><Relationship Id="rId397" Type="http://schemas.openxmlformats.org/officeDocument/2006/relationships/hyperlink" Target="https://advance.lexis.com/api/document?collection=cases-ca&amp;id=urn:contentItem:5F7T-S7N1-DXWW-20H0-00000-00&amp;context=" TargetMode="External" /><Relationship Id="rId398" Type="http://schemas.openxmlformats.org/officeDocument/2006/relationships/hyperlink" Target="https://advance.lexis.com/api/document?collection=cases-ca&amp;id=urn:contentItem:5F8P-SFM1-F4GK-M3D2-00000-00&amp;context=" TargetMode="External" /><Relationship Id="rId399" Type="http://schemas.openxmlformats.org/officeDocument/2006/relationships/hyperlink" Target="https://advance.lexis.com/api/document?collection=cases-ca&amp;id=urn:contentItem:5F7T-S7P1-JSJC-X1CW-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71-F361-M1HH-00000-00&amp;context=" TargetMode="External" /><Relationship Id="rId400" Type="http://schemas.openxmlformats.org/officeDocument/2006/relationships/hyperlink" Target="https://advance.lexis.com/api/document?collection=cases-ca&amp;id=urn:contentItem:5F7T-S7M1-F4W2-61YR-00000-00&amp;context=" TargetMode="External" /><Relationship Id="rId401" Type="http://schemas.openxmlformats.org/officeDocument/2006/relationships/hyperlink" Target="https://advance.lexis.com/api/document?collection=cases-ca&amp;id=urn:contentItem:5F7T-S7P1-JP4G-6233-00000-00&amp;context=" TargetMode="External" /><Relationship Id="rId402" Type="http://schemas.openxmlformats.org/officeDocument/2006/relationships/hyperlink" Target="https://advance.lexis.com/api/document?collection=cases-ca&amp;id=urn:contentItem:5F7T-S6Y1-FJDY-X23K-00000-00&amp;context=" TargetMode="External" /><Relationship Id="rId403" Type="http://schemas.openxmlformats.org/officeDocument/2006/relationships/hyperlink" Target="https://advance.lexis.com/api/document?collection=cases-ca&amp;id=urn:contentItem:5F7T-S7N1-JGHR-M38N-00000-00&amp;context=" TargetMode="External" /><Relationship Id="rId404" Type="http://schemas.openxmlformats.org/officeDocument/2006/relationships/hyperlink" Target="https://advance.lexis.com/api/document?collection=cases-ca&amp;id=urn:contentItem:5NP1-5SB1-JX8W-M2B4-00000-00&amp;context=" TargetMode="External" /><Relationship Id="rId405" Type="http://schemas.openxmlformats.org/officeDocument/2006/relationships/hyperlink" Target="https://advance.lexis.com/api/document?collection=cases-ca&amp;id=urn:contentItem:5F7T-S7J1-FGCG-S05X-00000-00&amp;context=" TargetMode="External" /><Relationship Id="rId406" Type="http://schemas.openxmlformats.org/officeDocument/2006/relationships/hyperlink" Target="https://advance.lexis.com/api/document?collection=cases-ca&amp;id=urn:contentItem:5F8T-N3V1-JFKM-608J-00000-00&amp;context=" TargetMode="External" /><Relationship Id="rId407" Type="http://schemas.openxmlformats.org/officeDocument/2006/relationships/hyperlink" Target="https://advance.lexis.com/api/document?collection=cases-ca&amp;id=urn:contentItem:5F8T-N3V1-FC1F-M42M-00000-00&amp;context=" TargetMode="External" /><Relationship Id="rId408" Type="http://schemas.openxmlformats.org/officeDocument/2006/relationships/hyperlink" Target="https://advance.lexis.com/api/document?collection=cases-ca&amp;id=urn:contentItem:5F7T-S6S1-JF1Y-B139-00000-00&amp;context=" TargetMode="External" /><Relationship Id="rId409" Type="http://schemas.openxmlformats.org/officeDocument/2006/relationships/hyperlink" Target="https://advance.lexis.com/api/document?collection=cases-ca&amp;id=urn:contentItem:5F81-VJS1-FFFC-B2GD-00000-00&amp;context=" TargetMode="External" /><Relationship Id="rId41" Type="http://schemas.openxmlformats.org/officeDocument/2006/relationships/hyperlink" Target="https://advance.lexis.com/api/document?collection=cases-ca&amp;id=urn:contentItem:5F8T-N3T1-JJSF-233X-00000-00&amp;context=" TargetMode="External" /><Relationship Id="rId410" Type="http://schemas.openxmlformats.org/officeDocument/2006/relationships/hyperlink" Target="https://advance.lexis.com/api/document?collection=cases-ca&amp;id=urn:contentItem:5F8N-K6S1-JJ6S-61G4-00000-00&amp;context=" TargetMode="External" /><Relationship Id="rId411" Type="http://schemas.openxmlformats.org/officeDocument/2006/relationships/hyperlink" Target="https://advance.lexis.com/api/document?collection=cases-ca&amp;id=urn:contentItem:5F7T-S6X1-FCCX-60KJ-00000-00&amp;context=" TargetMode="External" /><Relationship Id="rId412" Type="http://schemas.openxmlformats.org/officeDocument/2006/relationships/hyperlink" Target="https://advance.lexis.com/api/document?collection=cases-ca&amp;id=urn:contentItem:5F8N-K701-F528-G1MG-00000-00&amp;context=" TargetMode="External" /><Relationship Id="rId413" Type="http://schemas.openxmlformats.org/officeDocument/2006/relationships/hyperlink" Target="https://advance.lexis.com/api/document?collection=cases-ca&amp;id=urn:contentItem:5F7T-S7M1-JFSV-G3KY-00000-00&amp;context=" TargetMode="External" /><Relationship Id="rId414" Type="http://schemas.openxmlformats.org/officeDocument/2006/relationships/hyperlink" Target="https://advance.lexis.com/api/document?collection=cases-ca&amp;id=urn:contentItem:5F7T-S751-JP4G-60YJ-00000-00&amp;context=" TargetMode="External" /><Relationship Id="rId415" Type="http://schemas.openxmlformats.org/officeDocument/2006/relationships/hyperlink" Target="https://advance.lexis.com/api/document?collection=cases-ca&amp;id=urn:contentItem:5F7T-S761-FFMK-M146-00000-00&amp;context=" TargetMode="External" /><Relationship Id="rId416" Type="http://schemas.openxmlformats.org/officeDocument/2006/relationships/hyperlink" Target="https://advance.lexis.com/api/document?collection=cases-ca&amp;id=urn:contentItem:5VX8-X7N1-JT99-23N9-00000-00&amp;context=" TargetMode="External" /><Relationship Id="rId417" Type="http://schemas.openxmlformats.org/officeDocument/2006/relationships/header" Target="header40.xml" /><Relationship Id="rId418" Type="http://schemas.openxmlformats.org/officeDocument/2006/relationships/header" Target="header41.xml" /><Relationship Id="rId419" Type="http://schemas.openxmlformats.org/officeDocument/2006/relationships/footer" Target="footer40.xml" /><Relationship Id="rId42" Type="http://schemas.openxmlformats.org/officeDocument/2006/relationships/hyperlink" Target="https://advance.lexis.com/api/document?collection=cases-ca&amp;id=urn:contentItem:5F8P-SDD1-JK4W-M48T-00000-00&amp;context=" TargetMode="External" /><Relationship Id="rId420" Type="http://schemas.openxmlformats.org/officeDocument/2006/relationships/footer" Target="footer41.xml" /><Relationship Id="rId421" Type="http://schemas.openxmlformats.org/officeDocument/2006/relationships/header" Target="header42.xml" /><Relationship Id="rId422" Type="http://schemas.openxmlformats.org/officeDocument/2006/relationships/footer" Target="footer42.xml" /><Relationship Id="rId423" Type="http://schemas.openxmlformats.org/officeDocument/2006/relationships/hyperlink" Target="https://advance.lexis.com/api/document?collection=cases-ca&amp;id=urn:contentItem:5VK4-SHJ1-FH4C-X3Y1-00000-00&amp;context=" TargetMode="External" /><Relationship Id="rId424" Type="http://schemas.openxmlformats.org/officeDocument/2006/relationships/hyperlink" Target="https://advance.lexis.com/api/document?collection=cases-ca&amp;id=urn:contentItem:5T9R-46S1-JGHR-M53K-00000-00&amp;context=" TargetMode="External" /><Relationship Id="rId425" Type="http://schemas.openxmlformats.org/officeDocument/2006/relationships/hyperlink" Target="https://advance.lexis.com/api/document?collection=legislation-ca&amp;id=urn:contentItem:5F41-1FJ1-JKPJ-G0P7-00000-00&amp;context=" TargetMode="External" /><Relationship Id="rId426" Type="http://schemas.openxmlformats.org/officeDocument/2006/relationships/hyperlink" Target="https://advance.lexis.com/api/document?collection=cases-ca&amp;id=urn:contentItem:5F7T-S7C1-JSRM-60TS-00000-00&amp;context=" TargetMode="External" /><Relationship Id="rId427" Type="http://schemas.openxmlformats.org/officeDocument/2006/relationships/hyperlink" Target="https://advance.lexis.com/api/document?collection=cases-ca&amp;id=urn:contentItem:5F8T-N3V1-JTGH-B184-00000-00&amp;context=" TargetMode="External" /><Relationship Id="rId428" Type="http://schemas.openxmlformats.org/officeDocument/2006/relationships/hyperlink" Target="https://advance.lexis.com/api/document?collection=cases-ca&amp;id=urn:contentItem:5F8T-N3V1-FC1F-M45J-00000-00&amp;context=" TargetMode="External" /><Relationship Id="rId429" Type="http://schemas.openxmlformats.org/officeDocument/2006/relationships/hyperlink" Target="https://advance.lexis.com/api/document?collection=cases-ca&amp;id=urn:contentItem:5F7T-S771-JWBS-61NK-00000-00&amp;context=" TargetMode="External" /><Relationship Id="rId43" Type="http://schemas.openxmlformats.org/officeDocument/2006/relationships/hyperlink" Target="https://advance.lexis.com/api/document?collection=cases-ca&amp;id=urn:contentItem:5F81-VJX1-F22N-X1SN-00000-00&amp;context=" TargetMode="External" /><Relationship Id="rId430" Type="http://schemas.openxmlformats.org/officeDocument/2006/relationships/hyperlink" Target="https://advance.lexis.com/api/document?collection=cases-ca&amp;id=urn:contentItem:5F7T-S771-F2TK-2322-00000-00&amp;context=" TargetMode="External" /><Relationship Id="rId431" Type="http://schemas.openxmlformats.org/officeDocument/2006/relationships/hyperlink" Target="https://advance.lexis.com/api/document?collection=cases-ca&amp;id=urn:contentItem:5NP8-3TH1-JSJC-X2F1-00000-00&amp;context=" TargetMode="External" /><Relationship Id="rId432" Type="http://schemas.openxmlformats.org/officeDocument/2006/relationships/hyperlink" Target="https://advance.lexis.com/api/document?collection=cases-ca&amp;id=urn:contentItem:5F8P-SF11-JW5H-X4M7-00000-00&amp;context=" TargetMode="External" /><Relationship Id="rId433" Type="http://schemas.openxmlformats.org/officeDocument/2006/relationships/hyperlink" Target="https://advance.lexis.com/api/document?collection=cases-ca&amp;id=urn:contentItem:5F7T-S7P1-JBDT-B196-00000-00&amp;context=" TargetMode="External" /><Relationship Id="rId434" Type="http://schemas.openxmlformats.org/officeDocument/2006/relationships/hyperlink" Target="https://advance.lexis.com/api/document?collection=cases-ca&amp;id=urn:contentItem:5F7T-S7D1-FC6N-X0VK-00000-00&amp;context=" TargetMode="External" /><Relationship Id="rId435" Type="http://schemas.openxmlformats.org/officeDocument/2006/relationships/hyperlink" Target="https://advance.lexis.com/api/document?collection=cases-ca&amp;id=urn:contentItem:5F7T-S7M1-F4W2-6236-00000-00&amp;context=" TargetMode="External" /><Relationship Id="rId436" Type="http://schemas.openxmlformats.org/officeDocument/2006/relationships/hyperlink" Target="https://advance.lexis.com/api/document?collection=cases-ca&amp;id=urn:contentItem:5F7T-S731-F1WF-M265-00000-00&amp;context=" TargetMode="External" /><Relationship Id="rId437" Type="http://schemas.openxmlformats.org/officeDocument/2006/relationships/hyperlink" Target="https://advance.lexis.com/api/document?collection=cases-ca&amp;id=urn:contentItem:5F7T-S781-JSC5-M4DY-00000-00&amp;context=" TargetMode="External" /><Relationship Id="rId438" Type="http://schemas.openxmlformats.org/officeDocument/2006/relationships/header" Target="header43.xml" /><Relationship Id="rId439" Type="http://schemas.openxmlformats.org/officeDocument/2006/relationships/header" Target="header44.xml" /><Relationship Id="rId44" Type="http://schemas.openxmlformats.org/officeDocument/2006/relationships/hyperlink" Target="https://advance.lexis.com/api/document?collection=legislation-ca&amp;id=urn:contentItem:5VYK-WB61-F22N-X4VP-00000-00&amp;context=" TargetMode="External" /><Relationship Id="rId440" Type="http://schemas.openxmlformats.org/officeDocument/2006/relationships/footer" Target="footer43.xml" /><Relationship Id="rId441" Type="http://schemas.openxmlformats.org/officeDocument/2006/relationships/footer" Target="footer44.xml" /><Relationship Id="rId442" Type="http://schemas.openxmlformats.org/officeDocument/2006/relationships/header" Target="header45.xml" /><Relationship Id="rId443" Type="http://schemas.openxmlformats.org/officeDocument/2006/relationships/footer" Target="footer45.xml" /><Relationship Id="rId444" Type="http://schemas.openxmlformats.org/officeDocument/2006/relationships/hyperlink" Target="https://advance.lexis.com/api/document?collection=cases-ca&amp;id=urn:contentItem:5K6Y-81M1-F81W-23VJ-00000-00&amp;context=" TargetMode="External" /><Relationship Id="rId445" Type="http://schemas.openxmlformats.org/officeDocument/2006/relationships/hyperlink" Target="https://advance.lexis.com/api/document?collection=cases-ca&amp;id=urn:contentItem:5F7T-S7K1-JSJC-X13V-00000-00&amp;context=" TargetMode="External" /><Relationship Id="rId446" Type="http://schemas.openxmlformats.org/officeDocument/2006/relationships/hyperlink" Target="https://advance.lexis.com/api/document?collection=cases-ca&amp;id=urn:contentItem:5K6Y-81M1-F81W-23G8-00000-00&amp;context=" TargetMode="External" /><Relationship Id="rId447" Type="http://schemas.openxmlformats.org/officeDocument/2006/relationships/hyperlink" Target="https://advance.lexis.com/api/document?collection=cases-ca&amp;id=urn:contentItem:5F7T-S7G1-JWR6-S1XK-00000-00&amp;context=" TargetMode="External" /><Relationship Id="rId448" Type="http://schemas.openxmlformats.org/officeDocument/2006/relationships/hyperlink" Target="https://advance.lexis.com/api/document?collection=cases-ca&amp;id=urn:contentItem:5F7T-S771-F2TK-233J-00000-00&amp;context=" TargetMode="External" /><Relationship Id="rId449" Type="http://schemas.openxmlformats.org/officeDocument/2006/relationships/hyperlink" Target="https://advance.lexis.com/api/document?collection=cases-ca&amp;id=urn:contentItem:5F7T-S7G1-FCYK-208R-00000-00&amp;context=" TargetMode="External" /><Relationship Id="rId45" Type="http://schemas.openxmlformats.org/officeDocument/2006/relationships/hyperlink" Target="https://advance.lexis.com/api/document?collection=cases-ca&amp;id=urn:contentItem:5F7T-S781-F27X-61BF-00000-00&amp;context=" TargetMode="External" /><Relationship Id="rId450" Type="http://schemas.openxmlformats.org/officeDocument/2006/relationships/hyperlink" Target="https://advance.lexis.com/api/document?collection=cases-ca&amp;id=urn:contentItem:5F7T-S6Y1-JNY7-X2NF-00000-00&amp;context=" TargetMode="External" /><Relationship Id="rId451" Type="http://schemas.openxmlformats.org/officeDocument/2006/relationships/hyperlink" Target="https://advance.lexis.com/api/document?collection=cases-ca&amp;id=urn:contentItem:5F82-1SB1-FBFS-S47Y-00000-00&amp;context=" TargetMode="External" /><Relationship Id="rId452" Type="http://schemas.openxmlformats.org/officeDocument/2006/relationships/hyperlink" Target="https://advance.lexis.com/api/document?collection=cases-ca&amp;id=urn:contentItem:5F7T-S781-F06F-23N8-00000-00&amp;context=" TargetMode="External" /><Relationship Id="rId453" Type="http://schemas.openxmlformats.org/officeDocument/2006/relationships/hyperlink" Target="https://advance.lexis.com/api/document?collection=cases-ca&amp;id=urn:contentItem:5F7T-S7J1-JGBH-B20D-00000-00&amp;context=" TargetMode="External" /><Relationship Id="rId454" Type="http://schemas.openxmlformats.org/officeDocument/2006/relationships/hyperlink" Target="https://advance.lexis.com/api/document?collection=cases-ca&amp;id=urn:contentItem:5F7T-S7G1-JX3N-B2FR-00000-00&amp;context=" TargetMode="External" /><Relationship Id="rId455" Type="http://schemas.openxmlformats.org/officeDocument/2006/relationships/hyperlink" Target="https://advance.lexis.com/api/document?collection=cases-ca&amp;id=urn:contentItem:5F7T-S7D1-JN6B-S18M-00000-00&amp;context=" TargetMode="External" /><Relationship Id="rId456" Type="http://schemas.openxmlformats.org/officeDocument/2006/relationships/hyperlink" Target="https://advance.lexis.com/api/document?collection=cases-ca&amp;id=urn:contentItem:5F7T-S7F1-F7VM-S3VF-00000-00&amp;context=" TargetMode="External" /><Relationship Id="rId457" Type="http://schemas.openxmlformats.org/officeDocument/2006/relationships/hyperlink" Target="https://advance.lexis.com/api/document?collection=cases-ca&amp;id=urn:contentItem:5F7T-S701-JJ6S-61CF-00000-00&amp;context=" TargetMode="External" /><Relationship Id="rId458" Type="http://schemas.openxmlformats.org/officeDocument/2006/relationships/hyperlink" Target="https://advance.lexis.com/api/document?collection=cases-ca&amp;id=urn:contentItem:5F7T-S791-FJTD-G2V2-00000-00&amp;context=" TargetMode="External" /><Relationship Id="rId459" Type="http://schemas.openxmlformats.org/officeDocument/2006/relationships/header" Target="header46.xml" /><Relationship Id="rId46" Type="http://schemas.openxmlformats.org/officeDocument/2006/relationships/hyperlink" Target="https://advance.lexis.com/api/document?collection=cases-ca&amp;id=urn:contentItem:5F7T-S731-DY33-B0W4-00000-00&amp;context=" TargetMode="External" /><Relationship Id="rId460" Type="http://schemas.openxmlformats.org/officeDocument/2006/relationships/header" Target="header47.xml" /><Relationship Id="rId461" Type="http://schemas.openxmlformats.org/officeDocument/2006/relationships/footer" Target="footer46.xml" /><Relationship Id="rId462" Type="http://schemas.openxmlformats.org/officeDocument/2006/relationships/footer" Target="footer47.xml" /><Relationship Id="rId463" Type="http://schemas.openxmlformats.org/officeDocument/2006/relationships/header" Target="header48.xml" /><Relationship Id="rId464" Type="http://schemas.openxmlformats.org/officeDocument/2006/relationships/footer" Target="footer48.xml" /><Relationship Id="rId465" Type="http://schemas.openxmlformats.org/officeDocument/2006/relationships/hyperlink" Target="https://advance.lexis.com/api/document?collection=cases-ca&amp;id=urn:contentItem:5YFR-J3Y1-JGBH-B391-00000-00&amp;context=" TargetMode="External" /><Relationship Id="rId466" Type="http://schemas.openxmlformats.org/officeDocument/2006/relationships/hyperlink" Target="https://advance.lexis.com/api/document?collection=cases-ca&amp;id=urn:contentItem:5X64-2YP1-FJDY-X0D3-00000-00&amp;context=" TargetMode="External" /><Relationship Id="rId467" Type="http://schemas.openxmlformats.org/officeDocument/2006/relationships/hyperlink" Target="https://advance.lexis.com/api/document?collection=cases-ca&amp;id=urn:contentItem:5F7T-S7P1-JBDT-B17M-00000-00&amp;context=" TargetMode="External" /><Relationship Id="rId468" Type="http://schemas.openxmlformats.org/officeDocument/2006/relationships/hyperlink" Target="https://advance.lexis.com/api/document?collection=cases-ca&amp;id=urn:contentItem:5F7T-S7K1-JKHB-6329-00000-00&amp;context=" TargetMode="External" /><Relationship Id="rId469" Type="http://schemas.openxmlformats.org/officeDocument/2006/relationships/hyperlink" Target="https://advance.lexis.com/api/document?collection=cases-ca&amp;id=urn:contentItem:5T6H-NM31-F873-B0RG-00000-00&amp;context=" TargetMode="External" /><Relationship Id="rId47" Type="http://schemas.openxmlformats.org/officeDocument/2006/relationships/hyperlink" Target="https://advance.lexis.com/api/document?collection=cases-ca&amp;id=urn:contentItem:5F82-1SD1-FC6N-X3NW-00000-00&amp;context=" TargetMode="External" /><Relationship Id="rId470" Type="http://schemas.openxmlformats.org/officeDocument/2006/relationships/hyperlink" Target="https://advance.lexis.com/api/document?collection=cases-ca&amp;id=urn:contentItem:5F8T-N3R1-JJSF-2329-00000-00&amp;context=" TargetMode="External" /><Relationship Id="rId471" Type="http://schemas.openxmlformats.org/officeDocument/2006/relationships/hyperlink" Target="https://advance.lexis.com/api/document?collection=cases-ca&amp;id=urn:contentItem:5WRR-VPD1-FGRY-B2G4-00000-00&amp;context=" TargetMode="External" /><Relationship Id="rId472" Type="http://schemas.openxmlformats.org/officeDocument/2006/relationships/hyperlink" Target="https://advance.lexis.com/api/document?collection=cases-ca&amp;id=urn:contentItem:5F7T-S7P1-JSJC-X191-00000-00&amp;context=" TargetMode="External" /><Relationship Id="rId473" Type="http://schemas.openxmlformats.org/officeDocument/2006/relationships/hyperlink" Target="https://advance.lexis.com/api/document?collection=cases-ca&amp;id=urn:contentItem:5R14-66C1-F1P7-B1KR-00000-00&amp;context=" TargetMode="External" /><Relationship Id="rId474" Type="http://schemas.openxmlformats.org/officeDocument/2006/relationships/hyperlink" Target="https://advance.lexis.com/api/document?collection=cases-ca&amp;id=urn:contentItem:5G3H-VVF1-JSRM-62N9-00000-00&amp;context=" TargetMode="External" /><Relationship Id="rId475" Type="http://schemas.openxmlformats.org/officeDocument/2006/relationships/hyperlink" Target="https://advance.lexis.com/api/document?collection=cases-ca&amp;id=urn:contentItem:5F7T-S7H1-F016-S3Y1-00000-00&amp;context=" TargetMode="External" /><Relationship Id="rId476" Type="http://schemas.openxmlformats.org/officeDocument/2006/relationships/hyperlink" Target="https://advance.lexis.com/api/document?collection=cases-ca&amp;id=urn:contentItem:5WT1-XTC1-JF1Y-B0D2-00000-00&amp;context=" TargetMode="External" /><Relationship Id="rId477" Type="http://schemas.openxmlformats.org/officeDocument/2006/relationships/hyperlink" Target="https://advance.lexis.com/api/document?collection=cases-ca&amp;id=urn:contentItem:5F7T-S7N1-F57G-S2DN-00000-00&amp;context=" TargetMode="External" /><Relationship Id="rId478" Type="http://schemas.openxmlformats.org/officeDocument/2006/relationships/hyperlink" Target="https://advance.lexis.com/api/document?collection=cases-ca&amp;id=urn:contentItem:5HHT-8531-JCRC-B11D-00000-00&amp;context=" TargetMode="External" /><Relationship Id="rId479" Type="http://schemas.openxmlformats.org/officeDocument/2006/relationships/hyperlink" Target="https://advance.lexis.com/api/document?collection=cases-ca&amp;id=urn:contentItem:5K6Y-9V81-JJ1H-X44N-00000-00&amp;context=" TargetMode="External" /><Relationship Id="rId48" Type="http://schemas.openxmlformats.org/officeDocument/2006/relationships/hyperlink" Target="https://advance.lexis.com/api/document?collection=cases-ca&amp;id=urn:contentItem:5F7T-S781-FH4C-X32Y-00000-00&amp;context=" TargetMode="External" /><Relationship Id="rId480" Type="http://schemas.openxmlformats.org/officeDocument/2006/relationships/hyperlink" Target="https://advance.lexis.com/api/document?collection=cases-ca&amp;id=urn:contentItem:5F7T-S7P1-JBDT-B0WF-00000-00&amp;context=" TargetMode="External" /><Relationship Id="rId481" Type="http://schemas.openxmlformats.org/officeDocument/2006/relationships/hyperlink" Target="https://advance.lexis.com/api/document?collection=cases-ca&amp;id=urn:contentItem:5KR0-P3T1-FBN1-240N-00000-00&amp;context=" TargetMode="External" /><Relationship Id="rId482" Type="http://schemas.openxmlformats.org/officeDocument/2006/relationships/hyperlink" Target="https://advance.lexis.com/api/document?collection=cases-ca&amp;id=urn:contentItem:5F7T-S7N1-DXWW-209Y-00000-00&amp;context=" TargetMode="External" /><Relationship Id="rId483" Type="http://schemas.openxmlformats.org/officeDocument/2006/relationships/hyperlink" Target="https://advance.lexis.com/api/document?collection=cases-ca&amp;id=urn:contentItem:5F7T-S7D1-DY89-M463-00000-00&amp;context=" TargetMode="External" /><Relationship Id="rId484" Type="http://schemas.openxmlformats.org/officeDocument/2006/relationships/hyperlink" Target="https://advance.lexis.com/api/document?collection=cases-ca&amp;id=urn:contentItem:5F7T-S7N1-DXWW-20CN-00000-00&amp;context=" TargetMode="External" /><Relationship Id="rId485" Type="http://schemas.openxmlformats.org/officeDocument/2006/relationships/hyperlink" Target="https://advance.lexis.com/api/document?collection=cases-ca&amp;id=urn:contentItem:5F7T-S7K1-F1H1-22DY-00000-00&amp;context=" TargetMode="External" /><Relationship Id="rId486" Type="http://schemas.openxmlformats.org/officeDocument/2006/relationships/hyperlink" Target="https://advance.lexis.com/api/document?collection=cases-ca&amp;id=urn:contentItem:5F7T-S7K1-F1H1-22HJ-00000-00&amp;context=" TargetMode="External" /><Relationship Id="rId487" Type="http://schemas.openxmlformats.org/officeDocument/2006/relationships/hyperlink" Target="https://advance.lexis.com/api/document?collection=cases-ca&amp;id=urn:contentItem:5F7T-S6Y1-F65M-604Y-00000-00&amp;context=" TargetMode="External" /><Relationship Id="rId488" Type="http://schemas.openxmlformats.org/officeDocument/2006/relationships/header" Target="header49.xml" /><Relationship Id="rId489" Type="http://schemas.openxmlformats.org/officeDocument/2006/relationships/header" Target="header50.xml" /><Relationship Id="rId49" Type="http://schemas.openxmlformats.org/officeDocument/2006/relationships/hyperlink" Target="https://advance.lexis.com/api/document?collection=cases-ca&amp;id=urn:contentItem:5F7T-S701-JJYN-B2J8-00000-00&amp;context=" TargetMode="External" /><Relationship Id="rId490" Type="http://schemas.openxmlformats.org/officeDocument/2006/relationships/footer" Target="footer49.xml" /><Relationship Id="rId491" Type="http://schemas.openxmlformats.org/officeDocument/2006/relationships/footer" Target="footer50.xml" /><Relationship Id="rId492" Type="http://schemas.openxmlformats.org/officeDocument/2006/relationships/header" Target="header51.xml" /><Relationship Id="rId493" Type="http://schemas.openxmlformats.org/officeDocument/2006/relationships/footer" Target="footer51.xml" /><Relationship Id="rId494" Type="http://schemas.openxmlformats.org/officeDocument/2006/relationships/hyperlink" Target="https://advance.lexis.com/api/document?collection=cases-ca&amp;id=urn:contentItem:5F7T-S7B1-F7ND-G4WV-00000-00&amp;context=" TargetMode="External" /><Relationship Id="rId495" Type="http://schemas.openxmlformats.org/officeDocument/2006/relationships/hyperlink" Target="https://advance.lexis.com/api/document?collection=cases-ca&amp;id=urn:contentItem:5F7T-S741-F528-G2J5-00000-00&amp;context=" TargetMode="External" /><Relationship Id="rId496" Type="http://schemas.openxmlformats.org/officeDocument/2006/relationships/hyperlink" Target="https://advance.lexis.com/api/document?collection=cases-ca&amp;id=urn:contentItem:5F7T-S6Y1-JNY7-X2B9-00000-00&amp;context=" TargetMode="External" /><Relationship Id="rId497" Type="http://schemas.openxmlformats.org/officeDocument/2006/relationships/hyperlink" Target="https://advance.lexis.com/api/document?collection=cases-ca&amp;id=urn:contentItem:5F16-92W1-F27X-6097-00000-00&amp;context=" TargetMode="External" /><Relationship Id="rId498" Type="http://schemas.openxmlformats.org/officeDocument/2006/relationships/hyperlink" Target="https://advance.lexis.com/api/document?collection=cases-ca&amp;id=urn:contentItem:5F7T-S6S1-JTNR-M1R3-00000-00&amp;context=" TargetMode="External" /><Relationship Id="rId499" Type="http://schemas.openxmlformats.org/officeDocument/2006/relationships/header" Target="header52.xml" /><Relationship Id="rId5" Type="http://schemas.openxmlformats.org/officeDocument/2006/relationships/header" Target="header2.xml" /><Relationship Id="rId50" Type="http://schemas.openxmlformats.org/officeDocument/2006/relationships/hyperlink" Target="https://advance.lexis.com/api/document?collection=cases-ca&amp;id=urn:contentItem:5F7F-5RH1-F873-B05H-00000-00&amp;context=" TargetMode="External" /><Relationship Id="rId500" Type="http://schemas.openxmlformats.org/officeDocument/2006/relationships/header" Target="header53.xml" /><Relationship Id="rId501" Type="http://schemas.openxmlformats.org/officeDocument/2006/relationships/footer" Target="footer52.xml" /><Relationship Id="rId502" Type="http://schemas.openxmlformats.org/officeDocument/2006/relationships/footer" Target="footer53.xml" /><Relationship Id="rId503" Type="http://schemas.openxmlformats.org/officeDocument/2006/relationships/header" Target="header54.xml" /><Relationship Id="rId504" Type="http://schemas.openxmlformats.org/officeDocument/2006/relationships/footer" Target="footer54.xml" /><Relationship Id="rId505" Type="http://schemas.openxmlformats.org/officeDocument/2006/relationships/hyperlink" Target="https://advance.lexis.com/api/document?collection=cases-ca&amp;id=urn:contentItem:5N8X-PSB1-JCRC-B3N0-00000-00&amp;context=" TargetMode="External" /><Relationship Id="rId506" Type="http://schemas.openxmlformats.org/officeDocument/2006/relationships/image" Target="media/image3.png" /><Relationship Id="rId507" Type="http://schemas.openxmlformats.org/officeDocument/2006/relationships/hyperlink" Target="https://advance.lexis.com/api/document?collection=cases-ca&amp;id=urn:contentItem:5F7T-S7J1-JNS1-M2JJ-00000-00&amp;context=" TargetMode="External" /><Relationship Id="rId508" Type="http://schemas.openxmlformats.org/officeDocument/2006/relationships/hyperlink" Target="https://advance.lexis.com/api/document?collection=cases-ca&amp;id=urn:contentItem:5F7T-S7M1-JNCK-22DH-00000-00&amp;context=" TargetMode="External" /><Relationship Id="rId509" Type="http://schemas.openxmlformats.org/officeDocument/2006/relationships/hyperlink" Target="https://advance.lexis.com/api/document?collection=cases-ca&amp;id=urn:contentItem:5F7T-S7D1-JN6B-S184-00000-00&amp;context=" TargetMode="External" /><Relationship Id="rId51" Type="http://schemas.openxmlformats.org/officeDocument/2006/relationships/hyperlink" Target="https://advance.lexis.com/api/document?collection=cases-ca&amp;id=urn:contentItem:5F81-VJW1-JF75-M1PY-00000-00&amp;context=" TargetMode="External" /><Relationship Id="rId510" Type="http://schemas.openxmlformats.org/officeDocument/2006/relationships/hyperlink" Target="https://advance.lexis.com/api/document?collection=cases-ca&amp;id=urn:contentItem:5F7T-S7K1-F1H1-222V-00000-00&amp;context=" TargetMode="External" /><Relationship Id="rId511" Type="http://schemas.openxmlformats.org/officeDocument/2006/relationships/hyperlink" Target="https://advance.lexis.com/api/document?collection=cases-ca&amp;id=urn:contentItem:5F7T-S7P1-JP4G-61XC-00000-00&amp;context=" TargetMode="External" /><Relationship Id="rId512" Type="http://schemas.openxmlformats.org/officeDocument/2006/relationships/hyperlink" Target="https://advance.lexis.com/api/document?collection=cases-ca&amp;id=urn:contentItem:5F7T-S7J1-FGCG-S091-00000-00&amp;context=" TargetMode="External" /><Relationship Id="rId513" Type="http://schemas.openxmlformats.org/officeDocument/2006/relationships/hyperlink" Target="https://advance.lexis.com/api/document?collection=cases-ca&amp;id=urn:contentItem:5F7T-S7M1-JCRC-B1TW-00000-00&amp;context=" TargetMode="External" /><Relationship Id="rId514" Type="http://schemas.openxmlformats.org/officeDocument/2006/relationships/hyperlink" Target="https://advance.lexis.com/api/document?collection=cases-ca&amp;id=urn:contentItem:5F7T-S751-JNS1-M1YC-00000-00&amp;context=" TargetMode="External" /><Relationship Id="rId515" Type="http://schemas.openxmlformats.org/officeDocument/2006/relationships/hyperlink" Target="https://advance.lexis.com/api/document?collection=cases-ca&amp;id=urn:contentItem:5F7T-S751-JBM1-M2G6-00000-00&amp;context=" TargetMode="External" /><Relationship Id="rId516" Type="http://schemas.openxmlformats.org/officeDocument/2006/relationships/hyperlink" Target="https://advance.lexis.com/api/document?collection=cases-ca&amp;id=urn:contentItem:5F7T-S711-JNY7-X30K-00000-00&amp;context=" TargetMode="External" /><Relationship Id="rId517" Type="http://schemas.openxmlformats.org/officeDocument/2006/relationships/hyperlink" Target="https://advance.lexis.com/api/document?collection=cases-ca&amp;id=urn:contentItem:5F7T-S7D1-JG02-S32G-00000-00&amp;context=" TargetMode="External" /><Relationship Id="rId518" Type="http://schemas.openxmlformats.org/officeDocument/2006/relationships/hyperlink" Target="https://advance.lexis.com/api/document?collection=cases-ca&amp;id=urn:contentItem:5F7T-S7K1-JX3N-B31W-00000-00&amp;context=" TargetMode="External" /><Relationship Id="rId519" Type="http://schemas.openxmlformats.org/officeDocument/2006/relationships/hyperlink" Target="https://advance.lexis.com/api/document?collection=cases-ca&amp;id=urn:contentItem:5GCC-XVB1-JSXV-G0F6-00000-00&amp;context=" TargetMode="External" /><Relationship Id="rId52" Type="http://schemas.openxmlformats.org/officeDocument/2006/relationships/hyperlink" Target="https://advance.lexis.com/api/document?collection=cases-ca&amp;id=urn:contentItem:5F16-9361-DY89-M1MY-00000-00&amp;context=" TargetMode="External" /><Relationship Id="rId520" Type="http://schemas.openxmlformats.org/officeDocument/2006/relationships/hyperlink" Target="https://advance.lexis.com/api/document?collection=cases-ca&amp;id=urn:contentItem:5F7T-S7G1-JX3N-B20B-00000-00&amp;context=" TargetMode="External" /><Relationship Id="rId521" Type="http://schemas.openxmlformats.org/officeDocument/2006/relationships/hyperlink" Target="https://advance.lexis.com/api/document?collection=cases-ca&amp;id=urn:contentItem:5F7T-S7H1-F4GK-M35D-00000-00&amp;context=" TargetMode="External" /><Relationship Id="rId522" Type="http://schemas.openxmlformats.org/officeDocument/2006/relationships/hyperlink" Target="https://advance.lexis.com/api/document?collection=cases-ca&amp;id=urn:contentItem:5F7T-S7N1-DXWW-20GY-00000-00&amp;context=" TargetMode="External" /><Relationship Id="rId523" Type="http://schemas.openxmlformats.org/officeDocument/2006/relationships/hyperlink" Target="https://advance.lexis.com/api/document?collection=cases-ca&amp;id=urn:contentItem:5F7T-S7M1-JNCK-22C2-00000-00&amp;context=" TargetMode="External" /><Relationship Id="rId524" Type="http://schemas.openxmlformats.org/officeDocument/2006/relationships/hyperlink" Target="https://advance.lexis.com/api/document?collection=cases-ca&amp;id=urn:contentItem:5F7T-S7J1-JGBH-B24J-00000-00&amp;context=" TargetMode="External" /><Relationship Id="rId525" Type="http://schemas.openxmlformats.org/officeDocument/2006/relationships/hyperlink" Target="https://advance.lexis.com/api/document?collection=cases-ca&amp;id=urn:contentItem:5F7T-S7P1-JG02-S3WX-00000-00&amp;context=" TargetMode="External" /><Relationship Id="rId526" Type="http://schemas.openxmlformats.org/officeDocument/2006/relationships/hyperlink" Target="https://advance.lexis.com/api/document?collection=cases-ca&amp;id=urn:contentItem:5F7T-S7K1-JWXF-218V-00000-00&amp;context=" TargetMode="External" /><Relationship Id="rId527" Type="http://schemas.openxmlformats.org/officeDocument/2006/relationships/hyperlink" Target="https://advance.lexis.com/api/document?collection=cases-ca&amp;id=urn:contentItem:5F7T-S7N1-DXWW-20NC-00000-00&amp;context=" TargetMode="External" /><Relationship Id="rId528" Type="http://schemas.openxmlformats.org/officeDocument/2006/relationships/hyperlink" Target="https://advance.lexis.com/api/document?collection=cases-ca&amp;id=urn:contentItem:5FX0-KKR1-JCBX-S2K8-00000-00&amp;context=" TargetMode="External" /><Relationship Id="rId529" Type="http://schemas.openxmlformats.org/officeDocument/2006/relationships/hyperlink" Target="https://advance.lexis.com/api/document?collection=cases-ca&amp;id=urn:contentItem:5F7T-S7B1-FH4C-X3ST-00000-00&amp;context=" TargetMode="External" /><Relationship Id="rId53" Type="http://schemas.openxmlformats.org/officeDocument/2006/relationships/header" Target="header7.xml" /><Relationship Id="rId530" Type="http://schemas.openxmlformats.org/officeDocument/2006/relationships/hyperlink" Target="https://advance.lexis.com/api/document?collection=cases-ca&amp;id=urn:contentItem:5F7T-S761-JCBX-S0YK-00000-00&amp;context=" TargetMode="External" /><Relationship Id="rId531" Type="http://schemas.openxmlformats.org/officeDocument/2006/relationships/hyperlink" Target="https://advance.lexis.com/api/document?collection=cases-ca&amp;id=urn:contentItem:5F8T-N3V1-JTGH-B0YB-00000-00&amp;context=" TargetMode="External" /><Relationship Id="rId532" Type="http://schemas.openxmlformats.org/officeDocument/2006/relationships/hyperlink" Target="https://advance.lexis.com/api/document?collection=cases-ca&amp;id=urn:contentItem:5HDT-KH51-JS5Y-B2M2-00000-00&amp;context=" TargetMode="External" /><Relationship Id="rId533" Type="http://schemas.openxmlformats.org/officeDocument/2006/relationships/hyperlink" Target="https://advance.lexis.com/api/document?collection=cases-ca&amp;id=urn:contentItem:5GCC-XVC1-F900-G4WF-00000-00&amp;context=" TargetMode="External" /><Relationship Id="rId534" Type="http://schemas.openxmlformats.org/officeDocument/2006/relationships/hyperlink" Target="https://advance.lexis.com/api/document?collection=cases-ca&amp;id=urn:contentItem:5F7T-S7N1-F06F-24M7-00000-00&amp;context=" TargetMode="External" /><Relationship Id="rId535" Type="http://schemas.openxmlformats.org/officeDocument/2006/relationships/hyperlink" Target="https://advance.lexis.com/api/document?collection=cases-ca&amp;id=urn:contentItem:5F7T-S7P1-JNJT-B2PW-00000-00&amp;context=" TargetMode="External" /><Relationship Id="rId536" Type="http://schemas.openxmlformats.org/officeDocument/2006/relationships/hyperlink" Target="https://advance.lexis.com/api/document?collection=cases-ca&amp;id=urn:contentItem:5F7T-S7P1-JP4G-61V8-00000-00&amp;context=" TargetMode="External" /><Relationship Id="rId537" Type="http://schemas.openxmlformats.org/officeDocument/2006/relationships/hyperlink" Target="https://advance.lexis.com/api/document?collection=cases-ca&amp;id=urn:contentItem:5F7T-S7N1-JW09-M12P-00000-00&amp;context=" TargetMode="External" /><Relationship Id="rId538" Type="http://schemas.openxmlformats.org/officeDocument/2006/relationships/hyperlink" Target="https://advance.lexis.com/api/document?collection=cases-ca&amp;id=urn:contentItem:5F7T-S7P1-JG02-S46D-00000-00&amp;context=" TargetMode="External" /><Relationship Id="rId539" Type="http://schemas.openxmlformats.org/officeDocument/2006/relationships/hyperlink" Target="https://advance.lexis.com/api/document?collection=cases-ca&amp;id=urn:contentItem:5F7T-S731-F016-S3D3-00000-00&amp;context=" TargetMode="External" /><Relationship Id="rId54" Type="http://schemas.openxmlformats.org/officeDocument/2006/relationships/header" Target="header8.xml" /><Relationship Id="rId540" Type="http://schemas.openxmlformats.org/officeDocument/2006/relationships/hyperlink" Target="https://advance.lexis.com/api/document?collection=cases-ca&amp;id=urn:contentItem:5F7T-S751-JCJ5-24CV-00000-00&amp;context=" TargetMode="External" /><Relationship Id="rId541" Type="http://schemas.openxmlformats.org/officeDocument/2006/relationships/hyperlink" Target="https://advance.lexis.com/api/document?collection=cases-ca&amp;id=urn:contentItem:5F7T-S7F1-JX3N-B19D-00000-00&amp;context=" TargetMode="External" /><Relationship Id="rId542" Type="http://schemas.openxmlformats.org/officeDocument/2006/relationships/hyperlink" Target="https://advance.lexis.com/api/document?collection=cases-ca&amp;id=urn:contentItem:5F7T-S741-F528-G2JP-00000-00&amp;context=" TargetMode="External" /><Relationship Id="rId543" Type="http://schemas.openxmlformats.org/officeDocument/2006/relationships/hyperlink" Target="https://advance.lexis.com/api/document?collection=cases-ca&amp;id=urn:contentItem:5F7T-S7D1-F7ND-G0G4-00000-00&amp;context=" TargetMode="External" /><Relationship Id="rId544" Type="http://schemas.openxmlformats.org/officeDocument/2006/relationships/hyperlink" Target="https://advance.lexis.com/api/document?collection=cases-ca&amp;id=urn:contentItem:5F7T-S7K1-F1H1-227X-00000-00&amp;context=" TargetMode="External" /><Relationship Id="rId545" Type="http://schemas.openxmlformats.org/officeDocument/2006/relationships/hyperlink" Target="https://advance.lexis.com/api/document?collection=cases-ca&amp;id=urn:contentItem:5F7T-S751-F361-M12P-00000-00&amp;context=" TargetMode="External" /><Relationship Id="rId546" Type="http://schemas.openxmlformats.org/officeDocument/2006/relationships/hyperlink" Target="https://advance.lexis.com/api/document?collection=cases-ca&amp;id=urn:contentItem:5F7T-S741-F528-G2H2-00000-00&amp;context=" TargetMode="External" /><Relationship Id="rId547" Type="http://schemas.openxmlformats.org/officeDocument/2006/relationships/image" Target="media/image4.jpeg" /><Relationship Id="rId548" Type="http://schemas.openxmlformats.org/officeDocument/2006/relationships/hyperlink" Target="https://advance.lexis.com/api/document?collection=legislation-ca&amp;id=urn:contentItem:5W2C-X5F1-JBDT-B36S-00000-00&amp;context=" TargetMode="External" /><Relationship Id="rId549" Type="http://schemas.openxmlformats.org/officeDocument/2006/relationships/header" Target="header55.xml" /><Relationship Id="rId55" Type="http://schemas.openxmlformats.org/officeDocument/2006/relationships/footer" Target="footer7.xml" /><Relationship Id="rId550" Type="http://schemas.openxmlformats.org/officeDocument/2006/relationships/header" Target="header56.xml" /><Relationship Id="rId551" Type="http://schemas.openxmlformats.org/officeDocument/2006/relationships/footer" Target="footer55.xml" /><Relationship Id="rId552" Type="http://schemas.openxmlformats.org/officeDocument/2006/relationships/footer" Target="footer56.xml" /><Relationship Id="rId553" Type="http://schemas.openxmlformats.org/officeDocument/2006/relationships/header" Target="header57.xml" /><Relationship Id="rId554" Type="http://schemas.openxmlformats.org/officeDocument/2006/relationships/footer" Target="footer57.xml" /><Relationship Id="rId555" Type="http://schemas.openxmlformats.org/officeDocument/2006/relationships/hyperlink" Target="https://advance.lexis.com/api/document?collection=cases-ca&amp;id=urn:contentItem:5W6N-2JC1-JS0R-245Y-00000-00&amp;context=" TargetMode="External" /><Relationship Id="rId556" Type="http://schemas.openxmlformats.org/officeDocument/2006/relationships/hyperlink" Target="https://advance.lexis.com/api/document?collection=cases-ca&amp;id=urn:contentItem:5XB5-SP81-JP9P-G17N-00000-00&amp;context=" TargetMode="External" /><Relationship Id="rId557" Type="http://schemas.openxmlformats.org/officeDocument/2006/relationships/hyperlink" Target="https://advance.lexis.com/api/document?collection=cases-ca&amp;id=urn:contentItem:5F8T-N3V1-JTGH-B1D5-00000-00&amp;context=" TargetMode="External" /><Relationship Id="rId558" Type="http://schemas.openxmlformats.org/officeDocument/2006/relationships/hyperlink" Target="https://advance.lexis.com/api/document?collection=cases-ca&amp;id=urn:contentItem:5PVD-M721-JWJ0-G15P-00000-00&amp;context=" TargetMode="External" /><Relationship Id="rId559" Type="http://schemas.openxmlformats.org/officeDocument/2006/relationships/hyperlink" Target="https://advance.lexis.com/api/document?collection=cases-ca&amp;id=urn:contentItem:5F7T-S7M1-JJK6-S222-00000-00&amp;context=" TargetMode="External" /><Relationship Id="rId56" Type="http://schemas.openxmlformats.org/officeDocument/2006/relationships/footer" Target="footer8.xml" /><Relationship Id="rId560" Type="http://schemas.openxmlformats.org/officeDocument/2006/relationships/hyperlink" Target="https://advance.lexis.com/api/document?collection=cases-ca&amp;id=urn:contentItem:5K9P-92K1-F1H1-217H-00000-00&amp;context=" TargetMode="External" /><Relationship Id="rId561" Type="http://schemas.openxmlformats.org/officeDocument/2006/relationships/hyperlink" Target="https://advance.lexis.com/api/document?collection=cases-ca&amp;id=urn:contentItem:5M1R-0NK1-DYV0-G097-00000-00&amp;context=" TargetMode="External" /><Relationship Id="rId562" Type="http://schemas.openxmlformats.org/officeDocument/2006/relationships/hyperlink" Target="https://advance.lexis.com/api/document?collection=cases-ca&amp;id=urn:contentItem:5GCC-XVB1-FK0M-S4TJ-00000-00&amp;context=" TargetMode="External" /><Relationship Id="rId563" Type="http://schemas.openxmlformats.org/officeDocument/2006/relationships/hyperlink" Target="https://advance.lexis.com/api/document?collection=cases-ca&amp;id=urn:contentItem:5F7T-S7F1-JFKM-61K6-00000-00&amp;context=" TargetMode="External" /><Relationship Id="rId564" Type="http://schemas.openxmlformats.org/officeDocument/2006/relationships/hyperlink" Target="https://advance.lexis.com/api/document?collection=cases-ca&amp;id=urn:contentItem:5K63-1M81-FCK4-G039-00000-00&amp;context=" TargetMode="External" /><Relationship Id="rId565" Type="http://schemas.openxmlformats.org/officeDocument/2006/relationships/hyperlink" Target="https://advance.lexis.com/api/document?collection=cases-ca&amp;id=urn:contentItem:5F7T-S7F1-DXWW-24HS-00000-00&amp;context=" TargetMode="External" /><Relationship Id="rId566" Type="http://schemas.openxmlformats.org/officeDocument/2006/relationships/hyperlink" Target="https://advance.lexis.com/api/document?collection=cases-ca&amp;id=urn:contentItem:5F7T-S7K1-JSJC-X0XV-00000-00&amp;context=" TargetMode="External" /><Relationship Id="rId567" Type="http://schemas.openxmlformats.org/officeDocument/2006/relationships/hyperlink" Target="https://advance.lexis.com/api/document?collection=cases-ca&amp;id=urn:contentItem:5F7T-S7K1-DY33-B1W5-00000-00&amp;context=" TargetMode="External" /><Relationship Id="rId568" Type="http://schemas.openxmlformats.org/officeDocument/2006/relationships/hyperlink" Target="https://advance.lexis.com/api/document?collection=cases-ca&amp;id=urn:contentItem:5S41-SWT1-JG59-21GW-00000-00&amp;context=" TargetMode="External" /><Relationship Id="rId569" Type="http://schemas.openxmlformats.org/officeDocument/2006/relationships/hyperlink" Target="https://advance.lexis.com/api/document?collection=cases-ca&amp;id=urn:contentItem:5T04-FS01-JT99-2458-00000-00&amp;context=" TargetMode="External" /><Relationship Id="rId57" Type="http://schemas.openxmlformats.org/officeDocument/2006/relationships/header" Target="header9.xml" /><Relationship Id="rId570" Type="http://schemas.openxmlformats.org/officeDocument/2006/relationships/hyperlink" Target="https://advance.lexis.com/api/document?collection=cases-ca&amp;id=urn:contentItem:5GCC-XVB1-FK0M-S53D-00000-00&amp;context=" TargetMode="External" /><Relationship Id="rId571" Type="http://schemas.openxmlformats.org/officeDocument/2006/relationships/hyperlink" Target="https://advance.lexis.com/api/document?collection=cases-ca&amp;id=urn:contentItem:5GCC-XVB1-JSXV-G039-00000-00&amp;context=" TargetMode="External" /><Relationship Id="rId572" Type="http://schemas.openxmlformats.org/officeDocument/2006/relationships/hyperlink" Target="https://advance.lexis.com/api/document?collection=cases-ca&amp;id=urn:contentItem:5KP4-X8R1-JW09-M429-00000-00&amp;context=" TargetMode="External" /><Relationship Id="rId573" Type="http://schemas.openxmlformats.org/officeDocument/2006/relationships/hyperlink" Target="https://advance.lexis.com/api/document?collection=cases-ca&amp;id=urn:contentItem:5TG0-RY01-F81W-22R8-00000-00&amp;context=" TargetMode="External" /><Relationship Id="rId574" Type="http://schemas.openxmlformats.org/officeDocument/2006/relationships/header" Target="header58.xml" /><Relationship Id="rId575" Type="http://schemas.openxmlformats.org/officeDocument/2006/relationships/header" Target="header59.xml" /><Relationship Id="rId576" Type="http://schemas.openxmlformats.org/officeDocument/2006/relationships/footer" Target="footer58.xml" /><Relationship Id="rId577" Type="http://schemas.openxmlformats.org/officeDocument/2006/relationships/footer" Target="footer59.xml" /><Relationship Id="rId578" Type="http://schemas.openxmlformats.org/officeDocument/2006/relationships/header" Target="header60.xml" /><Relationship Id="rId579" Type="http://schemas.openxmlformats.org/officeDocument/2006/relationships/footer" Target="footer60.xml" /><Relationship Id="rId58" Type="http://schemas.openxmlformats.org/officeDocument/2006/relationships/footer" Target="footer9.xml" /><Relationship Id="rId580" Type="http://schemas.openxmlformats.org/officeDocument/2006/relationships/hyperlink" Target="https://advance.lexis.com/api/document?collection=cases-ca&amp;id=urn:contentItem:5F7T-S7H1-FCSB-S3R8-00000-00&amp;context=" TargetMode="External" /><Relationship Id="rId581" Type="http://schemas.openxmlformats.org/officeDocument/2006/relationships/hyperlink" Target="https://advance.lexis.com/api/document?collection=cases-ca&amp;id=urn:contentItem:5F7T-S7F1-FFFC-B1RP-00000-00&amp;context=" TargetMode="External" /><Relationship Id="rId582" Type="http://schemas.openxmlformats.org/officeDocument/2006/relationships/hyperlink" Target="https://advance.lexis.com/api/document?collection=cases-ca&amp;id=urn:contentItem:5F8T-N3P1-FC6N-X1MN-00000-00&amp;context=" TargetMode="External" /><Relationship Id="rId583" Type="http://schemas.openxmlformats.org/officeDocument/2006/relationships/hyperlink" Target="https://advance.lexis.com/api/document?collection=cases-ca&amp;id=urn:contentItem:5F7T-S761-FGJR-22SB-00000-00&amp;context=" TargetMode="External" /><Relationship Id="rId584" Type="http://schemas.openxmlformats.org/officeDocument/2006/relationships/hyperlink" Target="https://advance.lexis.com/api/document?collection=cases-ca&amp;id=urn:contentItem:5F7T-S7B1-JSRM-60CK-00000-00&amp;context=" TargetMode="External" /><Relationship Id="rId585" Type="http://schemas.openxmlformats.org/officeDocument/2006/relationships/hyperlink" Target="https://advance.lexis.com/api/document?collection=cases-ca&amp;id=urn:contentItem:5F7T-S6W1-JXNB-6262-00000-00&amp;context=" TargetMode="External" /><Relationship Id="rId586" Type="http://schemas.openxmlformats.org/officeDocument/2006/relationships/header" Target="header61.xml" /><Relationship Id="rId587" Type="http://schemas.openxmlformats.org/officeDocument/2006/relationships/header" Target="header62.xml" /><Relationship Id="rId588" Type="http://schemas.openxmlformats.org/officeDocument/2006/relationships/footer" Target="footer61.xml" /><Relationship Id="rId589" Type="http://schemas.openxmlformats.org/officeDocument/2006/relationships/footer" Target="footer62.xml" /><Relationship Id="rId59" Type="http://schemas.openxmlformats.org/officeDocument/2006/relationships/hyperlink" Target="https://advance.lexis.com/api/document?collection=cases-ca&amp;id=urn:contentItem:5WX1-B7V1-JWR6-S3M9-00000-00&amp;context=" TargetMode="External" /><Relationship Id="rId590" Type="http://schemas.openxmlformats.org/officeDocument/2006/relationships/header" Target="header63.xml" /><Relationship Id="rId591" Type="http://schemas.openxmlformats.org/officeDocument/2006/relationships/footer" Target="footer63.xml" /><Relationship Id="rId592" Type="http://schemas.openxmlformats.org/officeDocument/2006/relationships/hyperlink" Target="https://advance.lexis.com/api/document?collection=cases-ca&amp;id=urn:contentItem:5F7T-S781-F27X-616T-00000-00&amp;context=" TargetMode="External" /><Relationship Id="rId593" Type="http://schemas.openxmlformats.org/officeDocument/2006/relationships/hyperlink" Target="https://advance.lexis.com/api/document?collection=cases-ca&amp;id=urn:contentItem:5F8T-N3V1-FC1F-M3WJ-00000-00&amp;context=" TargetMode="External" /><Relationship Id="rId594" Type="http://schemas.openxmlformats.org/officeDocument/2006/relationships/header" Target="header64.xml" /><Relationship Id="rId595" Type="http://schemas.openxmlformats.org/officeDocument/2006/relationships/header" Target="header65.xml" /><Relationship Id="rId596" Type="http://schemas.openxmlformats.org/officeDocument/2006/relationships/footer" Target="footer64.xml" /><Relationship Id="rId597" Type="http://schemas.openxmlformats.org/officeDocument/2006/relationships/footer" Target="footer65.xml" /><Relationship Id="rId598" Type="http://schemas.openxmlformats.org/officeDocument/2006/relationships/header" Target="header66.xml" /><Relationship Id="rId599" Type="http://schemas.openxmlformats.org/officeDocument/2006/relationships/footer" Target="footer66.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C1-FCSB-S2DJ-00000-00&amp;context=" TargetMode="External" /><Relationship Id="rId600" Type="http://schemas.openxmlformats.org/officeDocument/2006/relationships/hyperlink" Target="https://advance.lexis.com/api/document?collection=cases-ca&amp;id=urn:contentItem:5K6X-H241-JNS1-M0KM-00000-00&amp;context=" TargetMode="External" /><Relationship Id="rId601" Type="http://schemas.openxmlformats.org/officeDocument/2006/relationships/hyperlink" Target="https://advance.lexis.com/api/document?collection=cases-ca&amp;id=urn:contentItem:5F7T-S7F1-DXWW-242N-00000-00&amp;context=" TargetMode="External" /><Relationship Id="rId602" Type="http://schemas.openxmlformats.org/officeDocument/2006/relationships/header" Target="header67.xml" /><Relationship Id="rId603" Type="http://schemas.openxmlformats.org/officeDocument/2006/relationships/header" Target="header68.xml" /><Relationship Id="rId604" Type="http://schemas.openxmlformats.org/officeDocument/2006/relationships/footer" Target="footer67.xml" /><Relationship Id="rId605" Type="http://schemas.openxmlformats.org/officeDocument/2006/relationships/footer" Target="footer68.xml" /><Relationship Id="rId606" Type="http://schemas.openxmlformats.org/officeDocument/2006/relationships/header" Target="header69.xml" /><Relationship Id="rId607" Type="http://schemas.openxmlformats.org/officeDocument/2006/relationships/footer" Target="footer69.xml" /><Relationship Id="rId608" Type="http://schemas.openxmlformats.org/officeDocument/2006/relationships/hyperlink" Target="https://advance.lexis.com/api/document?collection=cases-ca&amp;id=urn:contentItem:5F7T-S7M1-DYMS-625Y-00000-00&amp;context=" TargetMode="External" /><Relationship Id="rId609" Type="http://schemas.openxmlformats.org/officeDocument/2006/relationships/hyperlink" Target="https://advance.lexis.com/api/document?collection=legislation-ca&amp;id=urn:contentItem:5F41-1FG1-F4NT-X09N-00000-00&amp;context=" TargetMode="External" /><Relationship Id="rId61" Type="http://schemas.openxmlformats.org/officeDocument/2006/relationships/hyperlink" Target="https://advance.lexis.com/api/document?collection=cases-ca&amp;id=urn:contentItem:5F7T-S7G1-JNY7-X443-00000-00&amp;context=" TargetMode="External" /><Relationship Id="rId610" Type="http://schemas.openxmlformats.org/officeDocument/2006/relationships/hyperlink" Target="https://advance.lexis.com/api/document?collection=cases-ca&amp;id=urn:contentItem:5F8T-N3V1-JF75-M3DT-00000-00&amp;context=" TargetMode="External" /><Relationship Id="rId611" Type="http://schemas.openxmlformats.org/officeDocument/2006/relationships/hyperlink" Target="https://advance.lexis.com/api/document?collection=cases-ca&amp;id=urn:contentItem:5F8P-SCX1-F8D9-M2SM-00000-00&amp;context=" TargetMode="External" /><Relationship Id="rId612" Type="http://schemas.openxmlformats.org/officeDocument/2006/relationships/hyperlink" Target="https://advance.lexis.com/api/document?collection=cases-ca&amp;id=urn:contentItem:5F81-VJX1-JP9P-G44C-00000-00&amp;context=" TargetMode="External" /><Relationship Id="rId613" Type="http://schemas.openxmlformats.org/officeDocument/2006/relationships/hyperlink" Target="https://advance.lexis.com/api/document?collection=cases-ca&amp;id=urn:contentItem:5F81-VJV1-JBM1-M45W-00000-00&amp;context=" TargetMode="External" /><Relationship Id="rId614" Type="http://schemas.openxmlformats.org/officeDocument/2006/relationships/hyperlink" Target="https://advance.lexis.com/api/document?collection=cases-ca&amp;id=urn:contentItem:5F81-VJT1-JK4W-M43B-00000-00&amp;context=" TargetMode="External" /><Relationship Id="rId615" Type="http://schemas.openxmlformats.org/officeDocument/2006/relationships/hyperlink" Target="https://advance.lexis.com/api/document?collection=cases-ca&amp;id=urn:contentItem:5F8P-SCG1-FC1F-M1HJ-00000-00&amp;context=" TargetMode="External" /><Relationship Id="rId616" Type="http://schemas.openxmlformats.org/officeDocument/2006/relationships/hyperlink" Target="https://advance.lexis.com/api/document?collection=cases-ca&amp;id=urn:contentItem:5F81-VJW1-JF75-M14B-00000-00&amp;context=" TargetMode="External" /><Relationship Id="rId617" Type="http://schemas.openxmlformats.org/officeDocument/2006/relationships/hyperlink" Target="https://advance.lexis.com/api/document?collection=cases-ca&amp;id=urn:contentItem:5F8P-SCR1-JB2B-S4VX-00000-00&amp;context=" TargetMode="External" /><Relationship Id="rId618" Type="http://schemas.openxmlformats.org/officeDocument/2006/relationships/hyperlink" Target="https://advance.lexis.com/api/document?collection=cases-ca&amp;id=urn:contentItem:5F7T-S7C1-F30T-B23X-00000-00&amp;context=" TargetMode="External" /><Relationship Id="rId619" Type="http://schemas.openxmlformats.org/officeDocument/2006/relationships/hyperlink" Target="https://advance.lexis.com/api/document?collection=cases-ca&amp;id=urn:contentItem:5F81-VJS1-JT99-22N4-00000-00&amp;context=" TargetMode="External" /><Relationship Id="rId62" Type="http://schemas.openxmlformats.org/officeDocument/2006/relationships/hyperlink" Target="https://advance.lexis.com/api/document?collection=cases-ca&amp;id=urn:contentItem:5F7T-S7K1-F528-G2XC-00000-00&amp;context=" TargetMode="External" /><Relationship Id="rId620" Type="http://schemas.openxmlformats.org/officeDocument/2006/relationships/hyperlink" Target="https://advance.lexis.com/api/document?collection=cases-ca&amp;id=urn:contentItem:5F81-VJX1-F5T5-M3YK-00000-00&amp;context=" TargetMode="External" /><Relationship Id="rId621" Type="http://schemas.openxmlformats.org/officeDocument/2006/relationships/hyperlink" Target="https://advance.lexis.com/api/document?collection=cases-ca&amp;id=urn:contentItem:5F81-VJX1-JKPJ-G1KC-00000-00&amp;context=" TargetMode="External" /><Relationship Id="rId622" Type="http://schemas.openxmlformats.org/officeDocument/2006/relationships/header" Target="header70.xml" /><Relationship Id="rId623" Type="http://schemas.openxmlformats.org/officeDocument/2006/relationships/header" Target="header71.xml" /><Relationship Id="rId624" Type="http://schemas.openxmlformats.org/officeDocument/2006/relationships/footer" Target="footer70.xml" /><Relationship Id="rId625" Type="http://schemas.openxmlformats.org/officeDocument/2006/relationships/footer" Target="footer71.xml" /><Relationship Id="rId626" Type="http://schemas.openxmlformats.org/officeDocument/2006/relationships/header" Target="header72.xml" /><Relationship Id="rId627" Type="http://schemas.openxmlformats.org/officeDocument/2006/relationships/footer" Target="footer72.xml" /><Relationship Id="rId628" Type="http://schemas.openxmlformats.org/officeDocument/2006/relationships/hyperlink" Target="https://advance.lexis.com/api/document?collection=cases-ca&amp;id=urn:contentItem:5F7T-S7J1-FGCG-S08S-00000-00&amp;context=" TargetMode="External" /><Relationship Id="rId629" Type="http://schemas.openxmlformats.org/officeDocument/2006/relationships/hyperlink" Target="https://advance.lexis.com/api/document?collection=legislation-ca&amp;id=urn:contentItem:5F41-1FG1-F4NT-X0B8-00000-00&amp;context=" TargetMode="External" /><Relationship Id="rId63" Type="http://schemas.openxmlformats.org/officeDocument/2006/relationships/hyperlink" Target="https://advance.lexis.com/api/document?collection=cases-ca&amp;id=urn:contentItem:5HX7-VJ11-FCSB-S401-00000-00&amp;context=" TargetMode="External" /><Relationship Id="rId630" Type="http://schemas.openxmlformats.org/officeDocument/2006/relationships/hyperlink" Target="https://advance.lexis.com/api/document?collection=cases-ca&amp;id=urn:contentItem:5F7T-S7H1-JCRC-B147-00000-00&amp;context=" TargetMode="External" /><Relationship Id="rId631" Type="http://schemas.openxmlformats.org/officeDocument/2006/relationships/hyperlink" Target="https://advance.lexis.com/api/document?collection=cases-ca&amp;id=urn:contentItem:5F7T-S6W1-F7ND-G2KP-00000-00&amp;context=" TargetMode="External" /><Relationship Id="rId632" Type="http://schemas.openxmlformats.org/officeDocument/2006/relationships/hyperlink" Target="https://advance.lexis.com/api/document?collection=cases-ca&amp;id=urn:contentItem:5F7T-S7D1-F7ND-G0KK-00000-00&amp;context=" TargetMode="External" /><Relationship Id="rId633" Type="http://schemas.openxmlformats.org/officeDocument/2006/relationships/hyperlink" Target="https://advance.lexis.com/api/document?collection=cases-ca&amp;id=urn:contentItem:5F7T-S7D1-FCSB-S2W8-00000-00&amp;context=" TargetMode="External" /><Relationship Id="rId634" Type="http://schemas.openxmlformats.org/officeDocument/2006/relationships/hyperlink" Target="https://advance.lexis.com/api/document?collection=cases-ca&amp;id=urn:contentItem:5F7T-S7J1-JNS1-M2F2-00000-00&amp;context=" TargetMode="External" /><Relationship Id="rId635" Type="http://schemas.openxmlformats.org/officeDocument/2006/relationships/hyperlink" Target="https://advance.lexis.com/api/document?collection=cases-ca&amp;id=urn:contentItem:5F7T-S721-F06F-23BX-00000-00&amp;context=" TargetMode="External" /><Relationship Id="rId636" Type="http://schemas.openxmlformats.org/officeDocument/2006/relationships/hyperlink" Target="https://advance.lexis.com/api/document?collection=cases-ca&amp;id=urn:contentItem:5F7T-S751-F361-M101-00000-00&amp;context=" TargetMode="External" /><Relationship Id="rId637" Type="http://schemas.openxmlformats.org/officeDocument/2006/relationships/hyperlink" Target="https://advance.lexis.com/api/document?collection=cases-ca&amp;id=urn:contentItem:5F7T-S7H1-FCSB-S3BY-00000-00&amp;context=" TargetMode="External" /><Relationship Id="rId638" Type="http://schemas.openxmlformats.org/officeDocument/2006/relationships/hyperlink" Target="https://advance.lexis.com/api/document?collection=cases-ca&amp;id=urn:contentItem:5F7T-S6T1-JT99-20X8-00000-00&amp;context=" TargetMode="External" /><Relationship Id="rId639" Type="http://schemas.openxmlformats.org/officeDocument/2006/relationships/hyperlink" Target="https://advance.lexis.com/api/document?collection=cases-ca&amp;id=urn:contentItem:5F7T-S6W1-JB7K-21F5-00000-00&amp;context=" TargetMode="External" /><Relationship Id="rId64" Type="http://schemas.openxmlformats.org/officeDocument/2006/relationships/hyperlink" Target="https://advance.lexis.com/api/document?collection=cases-ca&amp;id=urn:contentItem:5VKJ-FFG1-JSXV-G501-00000-00&amp;context=" TargetMode="External" /><Relationship Id="rId640" Type="http://schemas.openxmlformats.org/officeDocument/2006/relationships/hyperlink" Target="https://advance.lexis.com/api/document?collection=cases-ca&amp;id=urn:contentItem:5F7T-S6W1-JF75-M33H-00000-00&amp;context=" TargetMode="External" /><Relationship Id="rId641" Type="http://schemas.openxmlformats.org/officeDocument/2006/relationships/hyperlink" Target="https://advance.lexis.com/api/document?collection=cases-ca&amp;id=urn:contentItem:5F7T-S751-JGHR-M1R8-00000-00&amp;context=" TargetMode="External" /><Relationship Id="rId642" Type="http://schemas.openxmlformats.org/officeDocument/2006/relationships/hyperlink" Target="https://advance.lexis.com/api/document?collection=cases-ca&amp;id=urn:contentItem:5F8T-N3R1-FBV7-B090-00000-00&amp;context=" TargetMode="External" /><Relationship Id="rId643" Type="http://schemas.openxmlformats.org/officeDocument/2006/relationships/image" Target="media/image5.png" /><Relationship Id="rId644" Type="http://schemas.openxmlformats.org/officeDocument/2006/relationships/header" Target="header73.xml" /><Relationship Id="rId645" Type="http://schemas.openxmlformats.org/officeDocument/2006/relationships/header" Target="header74.xml" /><Relationship Id="rId646" Type="http://schemas.openxmlformats.org/officeDocument/2006/relationships/footer" Target="footer73.xml" /><Relationship Id="rId647" Type="http://schemas.openxmlformats.org/officeDocument/2006/relationships/footer" Target="footer74.xml" /><Relationship Id="rId648" Type="http://schemas.openxmlformats.org/officeDocument/2006/relationships/header" Target="header75.xml" /><Relationship Id="rId649" Type="http://schemas.openxmlformats.org/officeDocument/2006/relationships/footer" Target="footer75.xml" /><Relationship Id="rId65" Type="http://schemas.openxmlformats.org/officeDocument/2006/relationships/hyperlink" Target="https://advance.lexis.com/api/document?collection=cases-ca&amp;id=urn:contentItem:5WC3-G9C1-K0HK-24XS-00000-00&amp;context=" TargetMode="External" /><Relationship Id="rId650" Type="http://schemas.openxmlformats.org/officeDocument/2006/relationships/hyperlink" Target="https://advance.lexis.com/api/document?collection=cases-ca&amp;id=urn:contentItem:5HT2-9CV1-JW09-M234-00000-00&amp;context=" TargetMode="External" /><Relationship Id="rId651" Type="http://schemas.openxmlformats.org/officeDocument/2006/relationships/hyperlink" Target="https://advance.lexis.com/api/document?collection=legislation-ca&amp;id=urn:contentItem:5F41-1FK1-JSXV-G0GT-00000-00&amp;context=" TargetMode="External" /><Relationship Id="rId652" Type="http://schemas.openxmlformats.org/officeDocument/2006/relationships/hyperlink" Target="https://advance.lexis.com/api/document?collection=legislation-ca&amp;id=urn:contentItem:5F97-RBV1-JF75-M25N-00000-00&amp;context=" TargetMode="External" /><Relationship Id="rId653" Type="http://schemas.openxmlformats.org/officeDocument/2006/relationships/hyperlink" Target="https://advance.lexis.com/api/document?collection=cases-ca&amp;id=urn:contentItem:5F7T-S7M1-JCRC-B1T9-00000-00&amp;context=" TargetMode="External" /><Relationship Id="rId654" Type="http://schemas.openxmlformats.org/officeDocument/2006/relationships/hyperlink" Target="https://advance.lexis.com/api/document?collection=cases-ca&amp;id=urn:contentItem:5F7T-S7F1-FJTD-G3DT-00000-00&amp;context=" TargetMode="External" /><Relationship Id="rId655" Type="http://schemas.openxmlformats.org/officeDocument/2006/relationships/hyperlink" Target="https://advance.lexis.com/api/document?collection=cases-ca&amp;id=urn:contentItem:5F7T-S7J1-JGBH-B22D-00000-00&amp;context=" TargetMode="External" /><Relationship Id="rId656" Type="http://schemas.openxmlformats.org/officeDocument/2006/relationships/hyperlink" Target="https://advance.lexis.com/api/document?collection=legislation-ca&amp;id=urn:contentItem:5W2C-X5M1-JPP5-23D5-00000-00&amp;context=" TargetMode="External" /><Relationship Id="rId657" Type="http://schemas.openxmlformats.org/officeDocument/2006/relationships/hyperlink" Target="https://advance.lexis.com/api/document?collection=cases-ca&amp;id=urn:contentItem:5F8T-N3V1-FH4C-X22N-00000-00&amp;context=" TargetMode="External" /><Relationship Id="rId658" Type="http://schemas.openxmlformats.org/officeDocument/2006/relationships/hyperlink" Target="https://advance.lexis.com/api/document?collection=cases-ca&amp;id=urn:contentItem:5F7T-S771-JW5H-X23R-00000-00&amp;context=" TargetMode="External" /><Relationship Id="rId659" Type="http://schemas.openxmlformats.org/officeDocument/2006/relationships/header" Target="header76.xml" /><Relationship Id="rId66" Type="http://schemas.openxmlformats.org/officeDocument/2006/relationships/hyperlink" Target="https://advance.lexis.com/api/document?collection=cases-ca&amp;id=urn:contentItem:5F7T-S7H1-F4GK-M33F-00000-00&amp;context=" TargetMode="External" /><Relationship Id="rId660" Type="http://schemas.openxmlformats.org/officeDocument/2006/relationships/header" Target="header77.xml" /><Relationship Id="rId661" Type="http://schemas.openxmlformats.org/officeDocument/2006/relationships/footer" Target="footer76.xml" /><Relationship Id="rId662" Type="http://schemas.openxmlformats.org/officeDocument/2006/relationships/footer" Target="footer77.xml" /><Relationship Id="rId663" Type="http://schemas.openxmlformats.org/officeDocument/2006/relationships/header" Target="header78.xml" /><Relationship Id="rId664" Type="http://schemas.openxmlformats.org/officeDocument/2006/relationships/footer" Target="footer78.xml" /><Relationship Id="rId665" Type="http://schemas.openxmlformats.org/officeDocument/2006/relationships/hyperlink" Target="https://advance.lexis.com/api/document?collection=cases-ca&amp;id=urn:contentItem:5F7T-S791-JCJ5-24VV-00000-00&amp;context=" TargetMode="External" /><Relationship Id="rId666" Type="http://schemas.openxmlformats.org/officeDocument/2006/relationships/hyperlink" Target="https://advance.lexis.com/api/document?collection=cases-ca&amp;id=urn:contentItem:5F8T-N3V1-JFKM-609G-00000-00&amp;context=" TargetMode="External" /><Relationship Id="rId667" Type="http://schemas.openxmlformats.org/officeDocument/2006/relationships/hyperlink" Target="https://advance.lexis.com/api/document?collection=cases-ca&amp;id=urn:contentItem:5F7T-S6S1-JNY7-X1RC-00000-00&amp;context=" TargetMode="External" /><Relationship Id="rId668" Type="http://schemas.openxmlformats.org/officeDocument/2006/relationships/hyperlink" Target="https://advance.lexis.com/api/document?collection=cases-ca&amp;id=urn:contentItem:5F7T-S721-JSC5-M3B2-00000-00&amp;context=" TargetMode="External" /><Relationship Id="rId669" Type="http://schemas.openxmlformats.org/officeDocument/2006/relationships/header" Target="header79.xml" /><Relationship Id="rId67" Type="http://schemas.openxmlformats.org/officeDocument/2006/relationships/hyperlink" Target="https://advance.lexis.com/api/document?collection=cases-ca&amp;id=urn:contentItem:5M13-K1S1-JKHB-644X-00000-00&amp;context=" TargetMode="External" /><Relationship Id="rId670" Type="http://schemas.openxmlformats.org/officeDocument/2006/relationships/header" Target="header80.xml" /><Relationship Id="rId671" Type="http://schemas.openxmlformats.org/officeDocument/2006/relationships/footer" Target="footer79.xml" /><Relationship Id="rId672" Type="http://schemas.openxmlformats.org/officeDocument/2006/relationships/footer" Target="footer80.xml" /><Relationship Id="rId673" Type="http://schemas.openxmlformats.org/officeDocument/2006/relationships/header" Target="header81.xml" /><Relationship Id="rId674" Type="http://schemas.openxmlformats.org/officeDocument/2006/relationships/footer" Target="footer81.xml" /><Relationship Id="rId675" Type="http://schemas.openxmlformats.org/officeDocument/2006/relationships/hyperlink" Target="https://advance.lexis.com/api/document?collection=cases-ca&amp;id=urn:contentItem:5F7T-S7J1-JYYX-62CF-00000-00&amp;context=" TargetMode="External" /><Relationship Id="rId676" Type="http://schemas.openxmlformats.org/officeDocument/2006/relationships/hyperlink" Target="https://advance.lexis.com/api/document?collection=cases-ca&amp;id=urn:contentItem:5F81-VJX1-FD4T-B343-00000-00&amp;context=" TargetMode="External" /><Relationship Id="rId677" Type="http://schemas.openxmlformats.org/officeDocument/2006/relationships/hyperlink" Target="https://advance.lexis.com/api/document?collection=cases-ca&amp;id=urn:contentItem:5F7T-S7B1-FH4C-X3KR-00000-00&amp;context=" TargetMode="External" /><Relationship Id="rId678" Type="http://schemas.openxmlformats.org/officeDocument/2006/relationships/hyperlink" Target="https://advance.lexis.com/api/document?collection=cases-ca&amp;id=urn:contentItem:5F7T-S711-JNY7-X38K-00000-00&amp;context=" TargetMode="External" /><Relationship Id="rId679" Type="http://schemas.openxmlformats.org/officeDocument/2006/relationships/hyperlink" Target="https://advance.lexis.com/api/document?collection=cases-ca&amp;id=urn:contentItem:5F7T-S6X1-K0BB-S06T-00000-00&amp;context=" TargetMode="External" /><Relationship Id="rId68" Type="http://schemas.openxmlformats.org/officeDocument/2006/relationships/hyperlink" Target="https://advance.lexis.com/api/document?collection=cases-ca&amp;id=urn:contentItem:5SJD-51G1-F016-S1Y7-00000-00&amp;context=" TargetMode="External" /><Relationship Id="rId680" Type="http://schemas.openxmlformats.org/officeDocument/2006/relationships/hyperlink" Target="https://advance.lexis.com/api/document?collection=cases-ca&amp;id=urn:contentItem:5F7T-S751-JGHR-M1RJ-00000-00&amp;context=" TargetMode="External" /><Relationship Id="rId681" Type="http://schemas.openxmlformats.org/officeDocument/2006/relationships/hyperlink" Target="https://advance.lexis.com/api/document?collection=cases-ca&amp;id=urn:contentItem:5F7T-S701-JGPY-X1HX-00000-00&amp;context=" TargetMode="External" /><Relationship Id="rId682" Type="http://schemas.openxmlformats.org/officeDocument/2006/relationships/hyperlink" Target="https://advance.lexis.com/api/document?collection=cases-ca&amp;id=urn:contentItem:5F7T-S6Y1-JP9P-G1PN-00000-00&amp;context=" TargetMode="External" /><Relationship Id="rId683" Type="http://schemas.openxmlformats.org/officeDocument/2006/relationships/hyperlink" Target="https://advance.lexis.com/api/document?collection=cases-ca&amp;id=urn:contentItem:5F7T-S751-JX3N-B16V-00000-00&amp;context=" TargetMode="External" /><Relationship Id="rId684" Type="http://schemas.openxmlformats.org/officeDocument/2006/relationships/hyperlink" Target="https://advance.lexis.com/api/document?collection=cases-ca&amp;id=urn:contentItem:5F7T-S751-JP4G-619Y-00000-00&amp;context=" TargetMode="External" /><Relationship Id="rId685" Type="http://schemas.openxmlformats.org/officeDocument/2006/relationships/header" Target="header82.xml" /><Relationship Id="rId686" Type="http://schemas.openxmlformats.org/officeDocument/2006/relationships/header" Target="header83.xml" /><Relationship Id="rId687" Type="http://schemas.openxmlformats.org/officeDocument/2006/relationships/footer" Target="footer82.xml" /><Relationship Id="rId688" Type="http://schemas.openxmlformats.org/officeDocument/2006/relationships/footer" Target="footer83.xml" /><Relationship Id="rId689" Type="http://schemas.openxmlformats.org/officeDocument/2006/relationships/header" Target="header84.xml" /><Relationship Id="rId69" Type="http://schemas.openxmlformats.org/officeDocument/2006/relationships/hyperlink" Target="https://advance.lexis.com/api/document?collection=cases-ca&amp;id=urn:contentItem:5F7T-S7K1-JX3N-B2V4-00000-00&amp;context=" TargetMode="External" /><Relationship Id="rId690" Type="http://schemas.openxmlformats.org/officeDocument/2006/relationships/footer" Target="footer84.xml" /><Relationship Id="rId691" Type="http://schemas.openxmlformats.org/officeDocument/2006/relationships/hyperlink" Target="https://advance.lexis.com/api/document?collection=cases-ca&amp;id=urn:contentItem:5F7T-S7D1-F7ND-G07N-00000-00&amp;context=" TargetMode="External" /><Relationship Id="rId692" Type="http://schemas.openxmlformats.org/officeDocument/2006/relationships/hyperlink" Target="https://advance.lexis.com/api/document?collection=cases-ca&amp;id=urn:contentItem:5F8T-N3V1-JF75-M3VR-00000-00&amp;context=" TargetMode="External" /><Relationship Id="rId693" Type="http://schemas.openxmlformats.org/officeDocument/2006/relationships/hyperlink" Target="https://advance.lexis.com/api/document?collection=cases-ca&amp;id=urn:contentItem:5F7T-S771-JN14-G2B8-00000-00&amp;context=" TargetMode="External" /><Relationship Id="rId694" Type="http://schemas.openxmlformats.org/officeDocument/2006/relationships/header" Target="header85.xml" /><Relationship Id="rId695" Type="http://schemas.openxmlformats.org/officeDocument/2006/relationships/header" Target="header86.xml" /><Relationship Id="rId696" Type="http://schemas.openxmlformats.org/officeDocument/2006/relationships/footer" Target="footer85.xml" /><Relationship Id="rId697" Type="http://schemas.openxmlformats.org/officeDocument/2006/relationships/footer" Target="footer86.xml" /><Relationship Id="rId698" Type="http://schemas.openxmlformats.org/officeDocument/2006/relationships/header" Target="header87.xml" /><Relationship Id="rId699" Type="http://schemas.openxmlformats.org/officeDocument/2006/relationships/footer" Target="footer87.xm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N1-F06F-24KX-00000-00&amp;context=" TargetMode="External" /><Relationship Id="rId700" Type="http://schemas.openxmlformats.org/officeDocument/2006/relationships/hyperlink" Target="https://advance.lexis.com/api/document?collection=cases-ca&amp;id=urn:contentItem:5F7T-S7D1-FCSB-S2XB-00000-00&amp;context=" TargetMode="External" /><Relationship Id="rId701" Type="http://schemas.openxmlformats.org/officeDocument/2006/relationships/hyperlink" Target="https://advance.lexis.com/api/document?collection=cases-ca&amp;id=urn:contentItem:5F7T-S741-F2F4-G2DR-00000-00&amp;context=" TargetMode="External" /><Relationship Id="rId702" Type="http://schemas.openxmlformats.org/officeDocument/2006/relationships/header" Target="header88.xml" /><Relationship Id="rId703" Type="http://schemas.openxmlformats.org/officeDocument/2006/relationships/header" Target="header89.xml" /><Relationship Id="rId704" Type="http://schemas.openxmlformats.org/officeDocument/2006/relationships/footer" Target="footer88.xml" /><Relationship Id="rId705" Type="http://schemas.openxmlformats.org/officeDocument/2006/relationships/footer" Target="footer89.xml" /><Relationship Id="rId706" Type="http://schemas.openxmlformats.org/officeDocument/2006/relationships/header" Target="header90.xml" /><Relationship Id="rId707" Type="http://schemas.openxmlformats.org/officeDocument/2006/relationships/footer" Target="footer90.xml" /><Relationship Id="rId708" Type="http://schemas.openxmlformats.org/officeDocument/2006/relationships/hyperlink" Target="https://advance.lexis.com/api/document?collection=cases-ca&amp;id=urn:contentItem:5F7T-S781-JSC5-M4CY-00000-00&amp;context=" TargetMode="External" /><Relationship Id="rId709" Type="http://schemas.openxmlformats.org/officeDocument/2006/relationships/hyperlink" Target="https://advance.lexis.com/api/document?collection=cases-ca&amp;id=urn:contentItem:5K6Y-81T1-F361-M3D0-00000-00&amp;context=" TargetMode="External" /><Relationship Id="rId71" Type="http://schemas.openxmlformats.org/officeDocument/2006/relationships/hyperlink" Target="https://advance.lexis.com/api/document?collection=cases-ca&amp;id=urn:contentItem:5F7T-S7G1-JBT7-X40C-00000-00&amp;context=" TargetMode="External" /><Relationship Id="rId710" Type="http://schemas.openxmlformats.org/officeDocument/2006/relationships/hyperlink" Target="https://advance.lexis.com/api/document?collection=cases-ca&amp;id=urn:contentItem:5F7T-S741-F1H1-21KM-00000-00&amp;context=" TargetMode="External" /><Relationship Id="rId711" Type="http://schemas.openxmlformats.org/officeDocument/2006/relationships/hyperlink" Target="https://advance.lexis.com/api/document?collection=cases-ca&amp;id=urn:contentItem:5F7T-S761-F7ND-G4CT-00000-00&amp;context=" TargetMode="External" /><Relationship Id="rId712" Type="http://schemas.openxmlformats.org/officeDocument/2006/relationships/header" Target="header91.xml" /><Relationship Id="rId713" Type="http://schemas.openxmlformats.org/officeDocument/2006/relationships/header" Target="header92.xml" /><Relationship Id="rId714" Type="http://schemas.openxmlformats.org/officeDocument/2006/relationships/footer" Target="footer91.xml" /><Relationship Id="rId715" Type="http://schemas.openxmlformats.org/officeDocument/2006/relationships/footer" Target="footer92.xml" /><Relationship Id="rId716" Type="http://schemas.openxmlformats.org/officeDocument/2006/relationships/header" Target="header93.xml" /><Relationship Id="rId717" Type="http://schemas.openxmlformats.org/officeDocument/2006/relationships/footer" Target="footer93.xml" /><Relationship Id="rId718" Type="http://schemas.openxmlformats.org/officeDocument/2006/relationships/hyperlink" Target="https://advance.lexis.com/api/document?collection=cases-ca&amp;id=urn:contentItem:5F7T-S7K1-F1H1-221S-00000-00&amp;context=" TargetMode="External" /><Relationship Id="rId719" Type="http://schemas.openxmlformats.org/officeDocument/2006/relationships/hyperlink" Target="https://advance.lexis.com/api/document?collection=legislation-ca&amp;id=urn:contentItem:5VYK-4RY1-JKB3-X1CT-00000-00&amp;context=" TargetMode="External" /><Relationship Id="rId72" Type="http://schemas.openxmlformats.org/officeDocument/2006/relationships/hyperlink" Target="https://advance.lexis.com/api/document?collection=cases-ca&amp;id=urn:contentItem:5F81-VJX1-JP9P-G4MS-00000-00&amp;context=" TargetMode="External" /><Relationship Id="rId720" Type="http://schemas.openxmlformats.org/officeDocument/2006/relationships/hyperlink" Target="https://advance.lexis.com/api/document?collection=legislation-ca&amp;id=urn:contentItem:5VYK-4S61-DYV0-G0G5-00000-00&amp;context=" TargetMode="External" /><Relationship Id="rId721" Type="http://schemas.openxmlformats.org/officeDocument/2006/relationships/hyperlink" Target="https://advance.lexis.com/api/document?collection=legislation-ca&amp;id=urn:contentItem:5F41-1FM1-FGJR-216H-00000-00&amp;context=" TargetMode="External" /><Relationship Id="rId722" Type="http://schemas.openxmlformats.org/officeDocument/2006/relationships/hyperlink" Target="https://advance.lexis.com/api/document?collection=cases-ca&amp;id=urn:contentItem:5F7T-S7J1-DXWW-24TW-00000-00&amp;context=" TargetMode="External" /><Relationship Id="rId723" Type="http://schemas.openxmlformats.org/officeDocument/2006/relationships/hyperlink" Target="https://advance.lexis.com/api/document?collection=cases-ca&amp;id=urn:contentItem:5F7T-S7K1-JSJC-X0V1-00000-00&amp;context=" TargetMode="External" /><Relationship Id="rId724" Type="http://schemas.openxmlformats.org/officeDocument/2006/relationships/hyperlink" Target="https://advance.lexis.com/api/document?collection=cases-ca&amp;id=urn:contentItem:5F8T-N3V1-JFKM-601H-00000-00&amp;context=" TargetMode="External" /><Relationship Id="rId725" Type="http://schemas.openxmlformats.org/officeDocument/2006/relationships/header" Target="header94.xml" /><Relationship Id="rId726" Type="http://schemas.openxmlformats.org/officeDocument/2006/relationships/header" Target="header95.xml" /><Relationship Id="rId727" Type="http://schemas.openxmlformats.org/officeDocument/2006/relationships/footer" Target="footer94.xml" /><Relationship Id="rId728" Type="http://schemas.openxmlformats.org/officeDocument/2006/relationships/footer" Target="footer95.xml" /><Relationship Id="rId729" Type="http://schemas.openxmlformats.org/officeDocument/2006/relationships/header" Target="header96.xml" /><Relationship Id="rId73" Type="http://schemas.openxmlformats.org/officeDocument/2006/relationships/hyperlink" Target="https://advance.lexis.com/api/document?collection=cases-ca&amp;id=urn:contentItem:5F8P-SF61-JPP5-21HC-00000-00&amp;context=" TargetMode="External" /><Relationship Id="rId730" Type="http://schemas.openxmlformats.org/officeDocument/2006/relationships/footer" Target="footer96.xml" /><Relationship Id="rId731" Type="http://schemas.openxmlformats.org/officeDocument/2006/relationships/hyperlink" Target="https://advance.lexis.com/api/document?collection=cases-ca&amp;id=urn:contentItem:5F7T-S7K1-JKHB-6305-00000-00&amp;context=" TargetMode="External" /><Relationship Id="rId732" Type="http://schemas.openxmlformats.org/officeDocument/2006/relationships/hyperlink" Target="https://advance.lexis.com/api/document?collection=cases-ca&amp;id=urn:contentItem:5F7T-S7G1-FCYK-20FM-00000-00&amp;context=" TargetMode="External" /><Relationship Id="rId733" Type="http://schemas.openxmlformats.org/officeDocument/2006/relationships/hyperlink" Target="https://advance.lexis.com/api/document?collection=cases-ca&amp;id=urn:contentItem:5F7T-S6Y1-JP9P-G1KG-00000-00&amp;context=" TargetMode="External" /><Relationship Id="rId734" Type="http://schemas.openxmlformats.org/officeDocument/2006/relationships/hyperlink" Target="https://advance.lexis.com/api/document?collection=cases-ca&amp;id=urn:contentItem:5F7T-S6X1-K054-G1HC-00000-00&amp;context=" TargetMode="External" /><Relationship Id="rId735" Type="http://schemas.openxmlformats.org/officeDocument/2006/relationships/hyperlink" Target="https://advance.lexis.com/api/document?collection=cases-ca&amp;id=urn:contentItem:5F7T-S711-F5KY-B14K-00000-00&amp;context=" TargetMode="External" /><Relationship Id="rId736" Type="http://schemas.openxmlformats.org/officeDocument/2006/relationships/hyperlink" Target="https://advance.lexis.com/api/document?collection=cases-ca&amp;id=urn:contentItem:5F7T-S701-F8KH-X150-00000-00&amp;context=" TargetMode="External" /><Relationship Id="rId737" Type="http://schemas.openxmlformats.org/officeDocument/2006/relationships/hyperlink" Target="https://advance.lexis.com/api/document?collection=cases-ca&amp;id=urn:contentItem:5F7T-S771-JN14-G27W-00000-00&amp;context=" TargetMode="External" /><Relationship Id="rId738" Type="http://schemas.openxmlformats.org/officeDocument/2006/relationships/header" Target="header97.xml" /><Relationship Id="rId739" Type="http://schemas.openxmlformats.org/officeDocument/2006/relationships/header" Target="header98.xml" /><Relationship Id="rId74" Type="http://schemas.openxmlformats.org/officeDocument/2006/relationships/hyperlink" Target="https://advance.lexis.com/api/document?collection=cases-ca&amp;id=urn:contentItem:5VYB-X071-JJD0-G0S6-00000-00&amp;context=" TargetMode="External" /><Relationship Id="rId740" Type="http://schemas.openxmlformats.org/officeDocument/2006/relationships/footer" Target="footer97.xml" /><Relationship Id="rId741" Type="http://schemas.openxmlformats.org/officeDocument/2006/relationships/footer" Target="footer98.xml" /><Relationship Id="rId742" Type="http://schemas.openxmlformats.org/officeDocument/2006/relationships/header" Target="header99.xml" /><Relationship Id="rId743" Type="http://schemas.openxmlformats.org/officeDocument/2006/relationships/footer" Target="footer99.xml" /><Relationship Id="rId744" Type="http://schemas.openxmlformats.org/officeDocument/2006/relationships/hyperlink" Target="https://advance.lexis.com/api/document?collection=cases-ca&amp;id=urn:contentItem:5F7T-S781-F900-G0V2-00000-00&amp;context=" TargetMode="External" /><Relationship Id="rId745" Type="http://schemas.openxmlformats.org/officeDocument/2006/relationships/hyperlink" Target="https://advance.lexis.com/api/document?collection=cases-ca&amp;id=urn:contentItem:5F7T-S751-JP4G-614D-00000-00&amp;context=" TargetMode="External" /><Relationship Id="rId746" Type="http://schemas.openxmlformats.org/officeDocument/2006/relationships/hyperlink" Target="https://advance.lexis.com/api/document?collection=cases-ca&amp;id=urn:contentItem:5F7T-S741-DY89-M39J-00000-00&amp;context=" TargetMode="External" /><Relationship Id="rId747" Type="http://schemas.openxmlformats.org/officeDocument/2006/relationships/hyperlink" Target="https://advance.lexis.com/api/document?collection=cases-ca&amp;id=urn:contentItem:5F8T-N3V1-FC1F-M46D-00000-00&amp;context=" TargetMode="External" /><Relationship Id="rId748" Type="http://schemas.openxmlformats.org/officeDocument/2006/relationships/hyperlink" Target="https://advance.lexis.com/api/document?collection=cases-ca&amp;id=urn:contentItem:5F8P-SD51-F1H1-24BV-00000-00&amp;context=" TargetMode="External" /><Relationship Id="rId749" Type="http://schemas.openxmlformats.org/officeDocument/2006/relationships/hyperlink" Target="https://advance.lexis.com/api/document?collection=cases-ca&amp;id=urn:contentItem:5F8T-N3V1-FC1F-M497-00000-00&amp;context=" TargetMode="External" /><Relationship Id="rId75" Type="http://schemas.openxmlformats.org/officeDocument/2006/relationships/hyperlink" Target="https://advance.lexis.com/api/document?collection=cases-ca&amp;id=urn:contentItem:5F7T-S7N1-F57G-S2PF-00000-00&amp;context=" TargetMode="External" /><Relationship Id="rId750" Type="http://schemas.openxmlformats.org/officeDocument/2006/relationships/hyperlink" Target="https://advance.lexis.com/api/document?collection=cases-ca&amp;id=urn:contentItem:5F81-VJX1-JJYN-B4Y7-00000-00&amp;context=" TargetMode="External" /><Relationship Id="rId751" Type="http://schemas.openxmlformats.org/officeDocument/2006/relationships/header" Target="header100.xml" /><Relationship Id="rId752" Type="http://schemas.openxmlformats.org/officeDocument/2006/relationships/header" Target="header101.xml" /><Relationship Id="rId753" Type="http://schemas.openxmlformats.org/officeDocument/2006/relationships/footer" Target="footer100.xml" /><Relationship Id="rId754" Type="http://schemas.openxmlformats.org/officeDocument/2006/relationships/footer" Target="footer101.xml" /><Relationship Id="rId755" Type="http://schemas.openxmlformats.org/officeDocument/2006/relationships/header" Target="header102.xml" /><Relationship Id="rId756" Type="http://schemas.openxmlformats.org/officeDocument/2006/relationships/footer" Target="footer102.xml" /><Relationship Id="rId757" Type="http://schemas.openxmlformats.org/officeDocument/2006/relationships/hyperlink" Target="https://advance.lexis.com/api/document?collection=cases-ca&amp;id=urn:contentItem:5F7T-S781-F900-G13S-00000-00&amp;context=" TargetMode="External" /><Relationship Id="rId758" Type="http://schemas.openxmlformats.org/officeDocument/2006/relationships/header" Target="header103.xml" /><Relationship Id="rId759" Type="http://schemas.openxmlformats.org/officeDocument/2006/relationships/header" Target="header104.xml" /><Relationship Id="rId76" Type="http://schemas.openxmlformats.org/officeDocument/2006/relationships/hyperlink" Target="https://advance.lexis.com/api/document?collection=cases-ca&amp;id=urn:contentItem:5N7F-GP91-FGRY-B0SV-00000-00&amp;context=" TargetMode="External" /><Relationship Id="rId760" Type="http://schemas.openxmlformats.org/officeDocument/2006/relationships/footer" Target="footer103.xml" /><Relationship Id="rId761" Type="http://schemas.openxmlformats.org/officeDocument/2006/relationships/footer" Target="footer104.xml" /><Relationship Id="rId762" Type="http://schemas.openxmlformats.org/officeDocument/2006/relationships/header" Target="header105.xml" /><Relationship Id="rId763" Type="http://schemas.openxmlformats.org/officeDocument/2006/relationships/footer" Target="footer105.xml" /><Relationship Id="rId764" Type="http://schemas.openxmlformats.org/officeDocument/2006/relationships/hyperlink" Target="https://advance.lexis.com/api/document?collection=cases-ca&amp;id=urn:contentItem:5JVG-2XS1-JN14-G1K0-00000-00&amp;context=" TargetMode="External" /><Relationship Id="rId765" Type="http://schemas.openxmlformats.org/officeDocument/2006/relationships/hyperlink" Target="https://advance.lexis.com/api/document?collection=cases-ca&amp;id=urn:contentItem:5F7T-S781-F06F-23XV-00000-00&amp;context=" TargetMode="External" /><Relationship Id="rId766" Type="http://schemas.openxmlformats.org/officeDocument/2006/relationships/hyperlink" Target="https://advance.lexis.com/api/document?collection=cases-ca&amp;id=urn:contentItem:5F7T-S7B1-JCJ5-2073-00000-00&amp;context=" TargetMode="External" /><Relationship Id="rId767" Type="http://schemas.openxmlformats.org/officeDocument/2006/relationships/hyperlink" Target="https://advance.lexis.com/api/document?collection=cases-ca&amp;id=urn:contentItem:5GF9-8HG1-FCYK-20XG-00000-00&amp;context=" TargetMode="External" /><Relationship Id="rId768" Type="http://schemas.openxmlformats.org/officeDocument/2006/relationships/header" Target="header106.xml" /><Relationship Id="rId769" Type="http://schemas.openxmlformats.org/officeDocument/2006/relationships/header" Target="header107.xml" /><Relationship Id="rId77" Type="http://schemas.openxmlformats.org/officeDocument/2006/relationships/hyperlink" Target="https://advance.lexis.com/api/document?collection=cases-ca&amp;id=urn:contentItem:5F7T-S7M1-F4W2-626V-00000-00&amp;context=" TargetMode="External" /><Relationship Id="rId770" Type="http://schemas.openxmlformats.org/officeDocument/2006/relationships/footer" Target="footer106.xml" /><Relationship Id="rId771" Type="http://schemas.openxmlformats.org/officeDocument/2006/relationships/footer" Target="footer107.xml" /><Relationship Id="rId772" Type="http://schemas.openxmlformats.org/officeDocument/2006/relationships/header" Target="header108.xml" /><Relationship Id="rId773" Type="http://schemas.openxmlformats.org/officeDocument/2006/relationships/footer" Target="footer108.xml" /><Relationship Id="rId774" Type="http://schemas.openxmlformats.org/officeDocument/2006/relationships/hyperlink" Target="https://advance.lexis.com/api/document?collection=cases-ca&amp;id=urn:contentItem:5F7T-S791-FJTD-G2PD-00000-00&amp;context=" TargetMode="External" /><Relationship Id="rId775" Type="http://schemas.openxmlformats.org/officeDocument/2006/relationships/hyperlink" Target="https://advance.lexis.com/api/document?collection=cases-ca&amp;id=urn:contentItem:5F7T-S741-FJM6-61BF-00000-00&amp;context=" TargetMode="External" /><Relationship Id="rId776" Type="http://schemas.openxmlformats.org/officeDocument/2006/relationships/header" Target="header109.xml" /><Relationship Id="rId777" Type="http://schemas.openxmlformats.org/officeDocument/2006/relationships/header" Target="header110.xml" /><Relationship Id="rId778" Type="http://schemas.openxmlformats.org/officeDocument/2006/relationships/footer" Target="footer109.xml" /><Relationship Id="rId779" Type="http://schemas.openxmlformats.org/officeDocument/2006/relationships/footer" Target="footer110.xml" /><Relationship Id="rId78" Type="http://schemas.openxmlformats.org/officeDocument/2006/relationships/hyperlink" Target="https://advance.lexis.com/api/document?collection=cases-ca&amp;id=urn:contentItem:5F7T-S7C1-F30T-B283-00000-00&amp;context=" TargetMode="External" /><Relationship Id="rId780" Type="http://schemas.openxmlformats.org/officeDocument/2006/relationships/header" Target="header111.xml" /><Relationship Id="rId781" Type="http://schemas.openxmlformats.org/officeDocument/2006/relationships/footer" Target="footer111.xml" /><Relationship Id="rId782" Type="http://schemas.openxmlformats.org/officeDocument/2006/relationships/hyperlink" Target="https://advance.lexis.com/api/document?collection=cases-ca&amp;id=urn:contentItem:5F7T-S7K1-JNY7-X4PT-00000-00&amp;context=" TargetMode="External" /><Relationship Id="rId783" Type="http://schemas.openxmlformats.org/officeDocument/2006/relationships/hyperlink" Target="https://advance.lexis.com/api/document?collection=cases-ca&amp;id=urn:contentItem:5F7T-S7K1-JKHB-62RX-00000-00&amp;context=" TargetMode="External" /><Relationship Id="rId784" Type="http://schemas.openxmlformats.org/officeDocument/2006/relationships/hyperlink" Target="https://advance.lexis.com/api/document?collection=cases-ca&amp;id=urn:contentItem:5F7T-S6R1-JGPY-X134-00000-00&amp;context=" TargetMode="External" /><Relationship Id="rId785" Type="http://schemas.openxmlformats.org/officeDocument/2006/relationships/hyperlink" Target="https://advance.lexis.com/api/document?collection=cases-ca&amp;id=urn:contentItem:5F7T-S6T1-JJ1H-X20X-00000-00&amp;context=" TargetMode="External" /><Relationship Id="rId786" Type="http://schemas.openxmlformats.org/officeDocument/2006/relationships/hyperlink" Target="https://advance.lexis.com/api/document?collection=cases-ca&amp;id=urn:contentItem:5F7T-S7F1-JX3N-B1HW-00000-00&amp;context=" TargetMode="External" /><Relationship Id="rId787" Type="http://schemas.openxmlformats.org/officeDocument/2006/relationships/hyperlink" Target="https://advance.lexis.com/api/document?collection=cases-ca&amp;id=urn:contentItem:5F7T-S6V1-F956-S051-00000-00&amp;context=" TargetMode="External" /><Relationship Id="rId788" Type="http://schemas.openxmlformats.org/officeDocument/2006/relationships/hyperlink" Target="https://advance.lexis.com/api/document?collection=cases-ca&amp;id=urn:contentItem:5F7T-S7B1-F7ND-G53V-00000-00&amp;context=" TargetMode="External" /><Relationship Id="rId789" Type="http://schemas.openxmlformats.org/officeDocument/2006/relationships/hyperlink" Target="https://advance.lexis.com/api/document?collection=cases-ca&amp;id=urn:contentItem:5F7T-S7F1-DXWW-24M2-00000-00&amp;context=" TargetMode="External" /><Relationship Id="rId79" Type="http://schemas.openxmlformats.org/officeDocument/2006/relationships/hyperlink" Target="https://advance.lexis.com/api/document?collection=cases-ca&amp;id=urn:contentItem:5F7T-S6V1-JNS1-M0BG-00000-00&amp;context=" TargetMode="External" /><Relationship Id="rId790" Type="http://schemas.openxmlformats.org/officeDocument/2006/relationships/hyperlink" Target="https://advance.lexis.com/api/document?collection=cases-ca&amp;id=urn:contentItem:5F7T-S7F1-FBN1-21M8-00000-00&amp;context=" TargetMode="External" /><Relationship Id="rId791" Type="http://schemas.openxmlformats.org/officeDocument/2006/relationships/hyperlink" Target="https://advance.lexis.com/api/document?collection=cases-ca&amp;id=urn:contentItem:5F7T-S6X1-K0BB-S0BG-00000-00&amp;context=" TargetMode="External" /><Relationship Id="rId792" Type="http://schemas.openxmlformats.org/officeDocument/2006/relationships/hyperlink" Target="https://advance.lexis.com/api/document?collection=cases-ca&amp;id=urn:contentItem:5F8T-N3T1-JJSF-23JW-00000-00&amp;context=" TargetMode="External" /><Relationship Id="rId793" Type="http://schemas.openxmlformats.org/officeDocument/2006/relationships/header" Target="header112.xml" /><Relationship Id="rId794" Type="http://schemas.openxmlformats.org/officeDocument/2006/relationships/header" Target="header113.xml" /><Relationship Id="rId795" Type="http://schemas.openxmlformats.org/officeDocument/2006/relationships/footer" Target="footer112.xml" /><Relationship Id="rId796" Type="http://schemas.openxmlformats.org/officeDocument/2006/relationships/footer" Target="footer113.xml" /><Relationship Id="rId797" Type="http://schemas.openxmlformats.org/officeDocument/2006/relationships/header" Target="header114.xml" /><Relationship Id="rId798" Type="http://schemas.openxmlformats.org/officeDocument/2006/relationships/footer" Target="footer114.xml" /><Relationship Id="rId799" Type="http://schemas.openxmlformats.org/officeDocument/2006/relationships/hyperlink" Target="https://advance.lexis.com/api/document?collection=cases-ca&amp;id=urn:contentItem:5GCC-XVC1-JSRM-60TJ-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GCC-XVC1-JSRM-60PD-00000-00&amp;context=" TargetMode="External" /><Relationship Id="rId800" Type="http://schemas.openxmlformats.org/officeDocument/2006/relationships/hyperlink" Target="https://advance.lexis.com/api/document?collection=cases-ca&amp;id=urn:contentItem:5K6Y-81T1-JYYX-61PS-00000-00&amp;context=" TargetMode="External" /><Relationship Id="rId801" Type="http://schemas.openxmlformats.org/officeDocument/2006/relationships/hyperlink" Target="https://advance.lexis.com/api/document?collection=cases-ca&amp;id=urn:contentItem:5F7T-S7N1-F06F-24MP-00000-00&amp;context=" TargetMode="External" /><Relationship Id="rId802" Type="http://schemas.openxmlformats.org/officeDocument/2006/relationships/hyperlink" Target="https://advance.lexis.com/api/document?collection=cases-ca&amp;id=urn:contentItem:5F7T-S7J1-JGBH-B2H4-00000-00&amp;context=" TargetMode="External" /><Relationship Id="rId803" Type="http://schemas.openxmlformats.org/officeDocument/2006/relationships/hyperlink" Target="https://advance.lexis.com/api/document?collection=cases-ca&amp;id=urn:contentItem:5F7T-S6V1-JFKM-61CW-00000-00&amp;context=" TargetMode="External" /><Relationship Id="rId804" Type="http://schemas.openxmlformats.org/officeDocument/2006/relationships/hyperlink" Target="https://advance.lexis.com/api/document?collection=cases-ca&amp;id=urn:contentItem:5F7T-S761-JS5Y-B1XS-00000-00&amp;context=" TargetMode="External" /><Relationship Id="rId805" Type="http://schemas.openxmlformats.org/officeDocument/2006/relationships/hyperlink" Target="https://advance.lexis.com/api/document?collection=cases-ca&amp;id=urn:contentItem:5F7T-S781-JC5P-G1JG-00000-00&amp;context=" TargetMode="External" /><Relationship Id="rId806" Type="http://schemas.openxmlformats.org/officeDocument/2006/relationships/hyperlink" Target="https://advance.lexis.com/api/document?collection=cases-ca&amp;id=urn:contentItem:5F7T-S751-JGHR-M1V2-00000-00&amp;context=" TargetMode="External" /><Relationship Id="rId807" Type="http://schemas.openxmlformats.org/officeDocument/2006/relationships/hyperlink" Target="https://advance.lexis.com/api/document?collection=cases-ca&amp;id=urn:contentItem:5F7T-S751-JNS1-M1WN-00000-00&amp;context=" TargetMode="External" /><Relationship Id="rId808" Type="http://schemas.openxmlformats.org/officeDocument/2006/relationships/hyperlink" Target="https://advance.lexis.com/api/document?collection=cases-ca&amp;id=urn:contentItem:5F7T-S7P1-JG02-S3X5-00000-00&amp;context=" TargetMode="External" /><Relationship Id="rId809" Type="http://schemas.openxmlformats.org/officeDocument/2006/relationships/hyperlink" Target="https://advance.lexis.com/api/document?collection=cases-ca&amp;id=urn:contentItem:5F7T-S7D1-DY89-M3XH-00000-00&amp;context=" TargetMode="External" /><Relationship Id="rId81" Type="http://schemas.openxmlformats.org/officeDocument/2006/relationships/hyperlink" Target="https://advance.lexis.com/api/document?collection=cases-ca&amp;id=urn:contentItem:5WKX-G2H1-JPGX-S2RB-00000-00&amp;context=" TargetMode="External" /><Relationship Id="rId810" Type="http://schemas.openxmlformats.org/officeDocument/2006/relationships/header" Target="header115.xml" /><Relationship Id="rId811" Type="http://schemas.openxmlformats.org/officeDocument/2006/relationships/header" Target="header116.xml" /><Relationship Id="rId812" Type="http://schemas.openxmlformats.org/officeDocument/2006/relationships/footer" Target="footer115.xml" /><Relationship Id="rId813" Type="http://schemas.openxmlformats.org/officeDocument/2006/relationships/footer" Target="footer116.xml" /><Relationship Id="rId814" Type="http://schemas.openxmlformats.org/officeDocument/2006/relationships/header" Target="header117.xml" /><Relationship Id="rId815" Type="http://schemas.openxmlformats.org/officeDocument/2006/relationships/footer" Target="footer117.xml" /><Relationship Id="rId816" Type="http://schemas.openxmlformats.org/officeDocument/2006/relationships/hyperlink" Target="https://advance.lexis.com/api/document?collection=cases-ca&amp;id=urn:contentItem:5F7T-S781-F06F-2423-00000-00&amp;context=" TargetMode="External" /><Relationship Id="rId817" Type="http://schemas.openxmlformats.org/officeDocument/2006/relationships/hyperlink" Target="https://advance.lexis.com/api/document?collection=cases-ca&amp;id=urn:contentItem:5F7T-S771-JJD0-G10X-00000-00&amp;context=" TargetMode="External" /><Relationship Id="rId818" Type="http://schemas.openxmlformats.org/officeDocument/2006/relationships/hyperlink" Target="https://advance.lexis.com/api/document?collection=cases-ca&amp;id=urn:contentItem:5F7T-S771-JJD0-G14S-00000-00&amp;context=" TargetMode="External" /><Relationship Id="rId819" Type="http://schemas.openxmlformats.org/officeDocument/2006/relationships/hyperlink" Target="https://advance.lexis.com/api/document?collection=cases-ca&amp;id=urn:contentItem:5F7T-S741-DY89-M3G5-00000-00&amp;context=" TargetMode="External" /><Relationship Id="rId82" Type="http://schemas.openxmlformats.org/officeDocument/2006/relationships/hyperlink" Target="https://advance.lexis.com/api/document?collection=cases-ca&amp;id=urn:contentItem:5F7T-S721-FD4T-B0MF-00000-00&amp;context=" TargetMode="External" /><Relationship Id="rId820" Type="http://schemas.openxmlformats.org/officeDocument/2006/relationships/hyperlink" Target="https://advance.lexis.com/api/document?collection=cases-ca&amp;id=urn:contentItem:5F7T-S741-F57G-S1HD-00000-00&amp;context=" TargetMode="External" /><Relationship Id="rId821" Type="http://schemas.openxmlformats.org/officeDocument/2006/relationships/hyperlink" Target="https://advance.lexis.com/api/document?collection=cases-ca&amp;id=urn:contentItem:5F7T-S761-FFMK-M1BV-00000-00&amp;context=" TargetMode="External" /><Relationship Id="rId822" Type="http://schemas.openxmlformats.org/officeDocument/2006/relationships/hyperlink" Target="https://advance.lexis.com/api/document?collection=cases-ca&amp;id=urn:contentItem:5F7T-S701-JBT7-X2BV-00000-00&amp;context=" TargetMode="External" /><Relationship Id="rId823" Type="http://schemas.openxmlformats.org/officeDocument/2006/relationships/hyperlink" Target="https://advance.lexis.com/api/document?collection=cases-ca&amp;id=urn:contentItem:5F7T-S781-F06F-23S1-00000-00&amp;context=" TargetMode="External" /><Relationship Id="rId824" Type="http://schemas.openxmlformats.org/officeDocument/2006/relationships/header" Target="header118.xml" /><Relationship Id="rId825" Type="http://schemas.openxmlformats.org/officeDocument/2006/relationships/header" Target="header119.xml" /><Relationship Id="rId826" Type="http://schemas.openxmlformats.org/officeDocument/2006/relationships/footer" Target="footer118.xml" /><Relationship Id="rId827" Type="http://schemas.openxmlformats.org/officeDocument/2006/relationships/footer" Target="footer119.xml" /><Relationship Id="rId828" Type="http://schemas.openxmlformats.org/officeDocument/2006/relationships/header" Target="header120.xml" /><Relationship Id="rId829" Type="http://schemas.openxmlformats.org/officeDocument/2006/relationships/footer" Target="footer120.xml" /><Relationship Id="rId83" Type="http://schemas.openxmlformats.org/officeDocument/2006/relationships/hyperlink" Target="https://advance.lexis.com/api/document?collection=cases-ca&amp;id=urn:contentItem:5F7T-S6V1-JFKM-6133-00000-00&amp;context=" TargetMode="External" /><Relationship Id="rId830" Type="http://schemas.openxmlformats.org/officeDocument/2006/relationships/hyperlink" Target="https://advance.lexis.com/api/document?collection=cases-ca&amp;id=urn:contentItem:5F7T-S7C1-JCJ5-20BD-00000-00&amp;context=" TargetMode="External" /><Relationship Id="rId831" Type="http://schemas.openxmlformats.org/officeDocument/2006/relationships/hyperlink" Target="https://advance.lexis.com/api/document?collection=legislation-ca&amp;id=urn:contentItem:5F41-1FG1-F4NT-X0H4-00000-00&amp;context=" TargetMode="External" /><Relationship Id="rId832" Type="http://schemas.openxmlformats.org/officeDocument/2006/relationships/hyperlink" Target="https://advance.lexis.com/api/document?collection=cases-ca&amp;id=urn:contentItem:5F7T-S7B1-JSRM-60J1-00000-00&amp;context=" TargetMode="External" /><Relationship Id="rId833" Type="http://schemas.openxmlformats.org/officeDocument/2006/relationships/hyperlink" Target="https://advance.lexis.com/api/document?collection=cases-ca&amp;id=urn:contentItem:5F7T-S771-F2TK-22TK-00000-00&amp;context=" TargetMode="External" /><Relationship Id="rId834" Type="http://schemas.openxmlformats.org/officeDocument/2006/relationships/hyperlink" Target="https://advance.lexis.com/api/document?collection=cases-ca&amp;id=urn:contentItem:5F7T-S7J1-DXWW-254X-00000-00&amp;context=" TargetMode="External" /><Relationship Id="rId835" Type="http://schemas.openxmlformats.org/officeDocument/2006/relationships/hyperlink" Target="https://advance.lexis.com/api/document?collection=cases-ca&amp;id=urn:contentItem:5F81-VJX1-JP9P-G3XM-00000-00&amp;context=" TargetMode="External" /><Relationship Id="rId836" Type="http://schemas.openxmlformats.org/officeDocument/2006/relationships/hyperlink" Target="https://advance.lexis.com/api/document?collection=cases-ca&amp;id=urn:contentItem:5F7T-S6Y1-F81W-2133-00000-00&amp;context=" TargetMode="External" /><Relationship Id="rId837" Type="http://schemas.openxmlformats.org/officeDocument/2006/relationships/hyperlink" Target="https://advance.lexis.com/api/document?collection=cases-ca&amp;id=urn:contentItem:5F7T-S6Y1-F81W-218D-00000-00&amp;context=" TargetMode="External" /><Relationship Id="rId838" Type="http://schemas.openxmlformats.org/officeDocument/2006/relationships/hyperlink" Target="https://advance.lexis.com/api/document?collection=cases-ca&amp;id=urn:contentItem:5F7T-S781-JSC5-M4FW-00000-00&amp;context=" TargetMode="External" /><Relationship Id="rId839" Type="http://schemas.openxmlformats.org/officeDocument/2006/relationships/header" Target="header121.xml" /><Relationship Id="rId84" Type="http://schemas.openxmlformats.org/officeDocument/2006/relationships/hyperlink" Target="https://advance.lexis.com/api/document?collection=cases-ca&amp;id=urn:contentItem:5F7T-S7M1-JFSV-G3V4-00000-00&amp;context=" TargetMode="External" /><Relationship Id="rId840" Type="http://schemas.openxmlformats.org/officeDocument/2006/relationships/header" Target="header122.xml" /><Relationship Id="rId841" Type="http://schemas.openxmlformats.org/officeDocument/2006/relationships/footer" Target="footer121.xml" /><Relationship Id="rId842" Type="http://schemas.openxmlformats.org/officeDocument/2006/relationships/footer" Target="footer122.xml" /><Relationship Id="rId843" Type="http://schemas.openxmlformats.org/officeDocument/2006/relationships/header" Target="header123.xml" /><Relationship Id="rId844" Type="http://schemas.openxmlformats.org/officeDocument/2006/relationships/footer" Target="footer123.xml" /><Relationship Id="rId845" Type="http://schemas.openxmlformats.org/officeDocument/2006/relationships/hyperlink" Target="https://advance.lexis.com/api/document?collection=cases-ca&amp;id=urn:contentItem:5F7T-S771-JWBS-61KP-00000-00&amp;context=" TargetMode="External" /><Relationship Id="rId846" Type="http://schemas.openxmlformats.org/officeDocument/2006/relationships/hyperlink" Target="https://advance.lexis.com/api/document?collection=cases-ca&amp;id=urn:contentItem:5F7T-S771-F361-M1B4-00000-00&amp;context=" TargetMode="External" /><Relationship Id="rId847" Type="http://schemas.openxmlformats.org/officeDocument/2006/relationships/hyperlink" Target="https://advance.lexis.com/api/document?collection=legislation-ca&amp;id=urn:contentItem:5F41-1FK1-FJM6-60VK-00000-00&amp;context=" TargetMode="External" /><Relationship Id="rId848" Type="http://schemas.openxmlformats.org/officeDocument/2006/relationships/hyperlink" Target="https://advance.lexis.com/api/document?collection=cases-ca&amp;id=urn:contentItem:5F8T-N3T1-JFKM-6545-00000-00&amp;context=" TargetMode="External" /><Relationship Id="rId849" Type="http://schemas.openxmlformats.org/officeDocument/2006/relationships/hyperlink" Target="https://advance.lexis.com/api/document?collection=cases-ca&amp;id=urn:contentItem:5F81-VJX1-F22N-X21D-00000-00&amp;context=" TargetMode="External" /><Relationship Id="rId85" Type="http://schemas.openxmlformats.org/officeDocument/2006/relationships/hyperlink" Target="https://advance.lexis.com/api/document?collection=cases-ca&amp;id=urn:contentItem:5F81-VJS1-JBDT-B3DB-00000-00&amp;context=" TargetMode="External" /><Relationship Id="rId850" Type="http://schemas.openxmlformats.org/officeDocument/2006/relationships/hyperlink" Target="https://advance.lexis.com/api/document?collection=cases-ca&amp;id=urn:contentItem:5F7H-KW61-F7VM-S020-00000-00&amp;context=" TargetMode="External" /><Relationship Id="rId851" Type="http://schemas.openxmlformats.org/officeDocument/2006/relationships/hyperlink" Target="https://advance.lexis.com/api/document?collection=cases-ca&amp;id=urn:contentItem:5F7V-3DF1-JP4G-63SN-00000-00&amp;context=" TargetMode="External" /><Relationship Id="rId852" Type="http://schemas.openxmlformats.org/officeDocument/2006/relationships/hyperlink" Target="https://advance.lexis.com/api/document?collection=cases-ca&amp;id=urn:contentItem:5F7T-S711-F27X-60JN-00000-00&amp;context=" TargetMode="External" /><Relationship Id="rId853" Type="http://schemas.openxmlformats.org/officeDocument/2006/relationships/hyperlink" Target="https://advance.lexis.com/api/document?collection=cases-ca&amp;id=urn:contentItem:5F7T-S6X1-K0BB-S054-00000-00&amp;context=" TargetMode="External" /><Relationship Id="rId854" Type="http://schemas.openxmlformats.org/officeDocument/2006/relationships/hyperlink" Target="https://advance.lexis.com/api/document?collection=cases-ca&amp;id=urn:contentItem:5F7T-S711-JG02-S1FJ-00000-00&amp;context=" TargetMode="External" /><Relationship Id="rId855" Type="http://schemas.openxmlformats.org/officeDocument/2006/relationships/hyperlink" Target="https://advance.lexis.com/api/document?collection=cases-ca&amp;id=urn:contentItem:5F7T-S771-JW5H-X21M-00000-00&amp;context=" TargetMode="External" /><Relationship Id="rId856" Type="http://schemas.openxmlformats.org/officeDocument/2006/relationships/hyperlink" Target="https://advance.lexis.com/api/document?collection=cases-ca&amp;id=urn:contentItem:5F7T-S741-F57G-S1RY-00000-00&amp;context=" TargetMode="External" /><Relationship Id="rId857" Type="http://schemas.openxmlformats.org/officeDocument/2006/relationships/header" Target="header124.xml" /><Relationship Id="rId858" Type="http://schemas.openxmlformats.org/officeDocument/2006/relationships/header" Target="header125.xml" /><Relationship Id="rId859" Type="http://schemas.openxmlformats.org/officeDocument/2006/relationships/footer" Target="footer124.xml" /><Relationship Id="rId86" Type="http://schemas.openxmlformats.org/officeDocument/2006/relationships/hyperlink" Target="https://advance.lexis.com/api/document?collection=cases-ca&amp;id=urn:contentItem:5F7T-S7M1-JFSV-G3NB-00000-00&amp;context=" TargetMode="External" /><Relationship Id="rId860" Type="http://schemas.openxmlformats.org/officeDocument/2006/relationships/footer" Target="footer125.xml" /><Relationship Id="rId861" Type="http://schemas.openxmlformats.org/officeDocument/2006/relationships/header" Target="header126.xml" /><Relationship Id="rId862" Type="http://schemas.openxmlformats.org/officeDocument/2006/relationships/footer" Target="footer126.xml" /><Relationship Id="rId863" Type="http://schemas.openxmlformats.org/officeDocument/2006/relationships/hyperlink" Target="https://advance.lexis.com/api/document?collection=cases-ca&amp;id=urn:contentItem:5F7T-S771-JSJC-X0C5-00000-00&amp;context=" TargetMode="External" /><Relationship Id="rId864" Type="http://schemas.openxmlformats.org/officeDocument/2006/relationships/hyperlink" Target="https://advance.lexis.com/api/document?collection=legislation-ca&amp;id=urn:contentItem:5F41-1FG1-JJYN-B03B-00000-00&amp;context=" TargetMode="External" /><Relationship Id="rId865" Type="http://schemas.openxmlformats.org/officeDocument/2006/relationships/hyperlink" Target="https://advance.lexis.com/api/document?collection=legislation-ca&amp;id=urn:contentItem:5W2C-X5J1-JJ1H-X0F6-00000-00&amp;context=" TargetMode="External" /><Relationship Id="rId866" Type="http://schemas.openxmlformats.org/officeDocument/2006/relationships/hyperlink" Target="https://advance.lexis.com/api/document?collection=cases-ca&amp;id=urn:contentItem:5F7T-S721-F57G-S18Y-00000-00&amp;context=" TargetMode="External" /><Relationship Id="rId867" Type="http://schemas.openxmlformats.org/officeDocument/2006/relationships/hyperlink" Target="https://advance.lexis.com/api/document?collection=cases-ca&amp;id=urn:contentItem:5F7T-S701-F8KH-X176-00000-00&amp;context=" TargetMode="External" /><Relationship Id="rId868" Type="http://schemas.openxmlformats.org/officeDocument/2006/relationships/hyperlink" Target="https://advance.lexis.com/api/document?collection=cases-ca&amp;id=urn:contentItem:5F7T-S761-JGHR-M2P5-00000-00&amp;context=" TargetMode="External" /><Relationship Id="rId869" Type="http://schemas.openxmlformats.org/officeDocument/2006/relationships/hyperlink" Target="https://advance.lexis.com/api/document?collection=cases-ca&amp;id=urn:contentItem:5F7T-S701-F8KH-X19N-00000-00&amp;context=" TargetMode="External" /><Relationship Id="rId87" Type="http://schemas.openxmlformats.org/officeDocument/2006/relationships/hyperlink" Target="https://advance.lexis.com/api/document?collection=cases-ca&amp;id=urn:contentItem:5F7T-S741-F528-G2JT-00000-00&amp;context=" TargetMode="External" /><Relationship Id="rId870" Type="http://schemas.openxmlformats.org/officeDocument/2006/relationships/hyperlink" Target="https://advance.lexis.com/api/document?collection=cases-ca&amp;id=urn:contentItem:5F7T-S771-FG68-G0T2-00000-00&amp;context=" TargetMode="External" /><Relationship Id="rId871" Type="http://schemas.openxmlformats.org/officeDocument/2006/relationships/hyperlink" Target="https://advance.lexis.com/api/document?collection=cases-ca&amp;id=urn:contentItem:5F7T-S741-F1H1-21B2-00000-00&amp;context=" TargetMode="External" /><Relationship Id="rId872" Type="http://schemas.openxmlformats.org/officeDocument/2006/relationships/hyperlink" Target="https://advance.lexis.com/api/document?collection=cases-ca&amp;id=urn:contentItem:5F7T-S741-DXPM-S0W3-00000-00&amp;context=" TargetMode="External" /><Relationship Id="rId873" Type="http://schemas.openxmlformats.org/officeDocument/2006/relationships/hyperlink" Target="https://advance.lexis.com/api/document?collection=cases-ca&amp;id=urn:contentItem:5F7T-S741-F1H1-21MV-00000-00&amp;context=" TargetMode="External" /><Relationship Id="rId874" Type="http://schemas.openxmlformats.org/officeDocument/2006/relationships/hyperlink" Target="https://advance.lexis.com/api/document?collection=cases-ca&amp;id=urn:contentItem:5F7T-S741-DY89-M3DD-00000-00&amp;context=" TargetMode="External" /><Relationship Id="rId875" Type="http://schemas.openxmlformats.org/officeDocument/2006/relationships/hyperlink" Target="https://advance.lexis.com/api/document?collection=cases-ca&amp;id=urn:contentItem:5F7T-S761-JS5Y-B1G9-00000-00&amp;context=" TargetMode="External" /><Relationship Id="rId876" Type="http://schemas.openxmlformats.org/officeDocument/2006/relationships/hyperlink" Target="https://advance.lexis.com/api/document?collection=cases-ca&amp;id=urn:contentItem:5F7T-S6T1-FJTD-G1PN-00000-00&amp;context=" TargetMode="External" /><Relationship Id="rId877" Type="http://schemas.openxmlformats.org/officeDocument/2006/relationships/hyperlink" Target="https://advance.lexis.com/api/document?collection=cases-ca&amp;id=urn:contentItem:5F7T-S6T1-DY89-M32P-00000-00&amp;context=" TargetMode="External" /><Relationship Id="rId878" Type="http://schemas.openxmlformats.org/officeDocument/2006/relationships/hyperlink" Target="https://advance.lexis.com/api/document?collection=cases-ca&amp;id=urn:contentItem:5F7T-S6V1-JC0G-62GW-00000-00&amp;context=" TargetMode="External" /><Relationship Id="rId879" Type="http://schemas.openxmlformats.org/officeDocument/2006/relationships/hyperlink" Target="https://advance.lexis.com/api/document?collection=cases-ca&amp;id=urn:contentItem:5F7T-S7H1-K054-G27S-00000-00&amp;context=" TargetMode="External" /><Relationship Id="rId88" Type="http://schemas.openxmlformats.org/officeDocument/2006/relationships/hyperlink" Target="https://advance.lexis.com/api/document?collection=cases-ca&amp;id=urn:contentItem:5F81-VJV1-F60C-X3FC-00000-00&amp;context=" TargetMode="External" /><Relationship Id="rId880" Type="http://schemas.openxmlformats.org/officeDocument/2006/relationships/header" Target="header127.xml" /><Relationship Id="rId881" Type="http://schemas.openxmlformats.org/officeDocument/2006/relationships/header" Target="header128.xml" /><Relationship Id="rId882" Type="http://schemas.openxmlformats.org/officeDocument/2006/relationships/footer" Target="footer127.xml" /><Relationship Id="rId883" Type="http://schemas.openxmlformats.org/officeDocument/2006/relationships/footer" Target="footer128.xml" /><Relationship Id="rId884" Type="http://schemas.openxmlformats.org/officeDocument/2006/relationships/header" Target="header129.xml" /><Relationship Id="rId885" Type="http://schemas.openxmlformats.org/officeDocument/2006/relationships/footer" Target="footer129.xml" /><Relationship Id="rId886" Type="http://schemas.openxmlformats.org/officeDocument/2006/relationships/hyperlink" Target="https://advance.lexis.com/api/document?collection=cases-ca&amp;id=urn:contentItem:5F7T-S7F1-F7VM-S42V-00000-00&amp;context=" TargetMode="External" /><Relationship Id="rId887" Type="http://schemas.openxmlformats.org/officeDocument/2006/relationships/hyperlink" Target="https://advance.lexis.com/api/document?collection=cases-ca&amp;id=urn:contentItem:5K6Y-81M1-JGPY-X21K-00000-00&amp;context=" TargetMode="External" /><Relationship Id="rId888" Type="http://schemas.openxmlformats.org/officeDocument/2006/relationships/hyperlink" Target="https://advance.lexis.com/api/document?collection=legislation-ca&amp;id=urn:contentItem:5VYK-47Y1-F06F-21ND-00000-00&amp;context=" TargetMode="External" /><Relationship Id="rId889" Type="http://schemas.openxmlformats.org/officeDocument/2006/relationships/hyperlink" Target="https://advance.lexis.com/api/document?collection=cases-ca&amp;id=urn:contentItem:5F8T-N3V1-JF75-M3KC-00000-00&amp;context=" TargetMode="External" /><Relationship Id="rId89" Type="http://schemas.openxmlformats.org/officeDocument/2006/relationships/hyperlink" Target="https://advance.lexis.com/api/document?collection=cases-ca&amp;id=urn:contentItem:5F8T-N3R1-JNS1-M12J-00000-00&amp;context=" TargetMode="External" /><Relationship Id="rId890" Type="http://schemas.openxmlformats.org/officeDocument/2006/relationships/hyperlink" Target="https://advance.lexis.com/api/document?collection=cases-ca&amp;id=urn:contentItem:5F7T-S741-F2F4-G2BN-00000-00&amp;context=" TargetMode="External" /><Relationship Id="rId891" Type="http://schemas.openxmlformats.org/officeDocument/2006/relationships/hyperlink" Target="https://advance.lexis.com/api/document?collection=cases-ca&amp;id=urn:contentItem:5F8T-N3V1-FC1F-M44Y-00000-00&amp;context=" TargetMode="External" /><Relationship Id="rId892" Type="http://schemas.openxmlformats.org/officeDocument/2006/relationships/hyperlink" Target="https://advance.lexis.com/api/document?collection=cases-ca&amp;id=urn:contentItem:5F7T-S711-FJDY-X39R-00000-00&amp;context=" TargetMode="External" /><Relationship Id="rId893" Type="http://schemas.openxmlformats.org/officeDocument/2006/relationships/hyperlink" Target="https://advance.lexis.com/api/document?collection=cases-ca&amp;id=urn:contentItem:5F7T-S751-F361-M15T-00000-00&amp;context=" TargetMode="External" /><Relationship Id="rId894" Type="http://schemas.openxmlformats.org/officeDocument/2006/relationships/hyperlink" Target="https://advance.lexis.com/api/document?collection=cases-ca&amp;id=urn:contentItem:5F7H-KW81-JW5H-X175-00000-00&amp;context=" TargetMode="External" /><Relationship Id="rId895" Type="http://schemas.openxmlformats.org/officeDocument/2006/relationships/hyperlink" Target="https://advance.lexis.com/api/document?collection=cases-ca&amp;id=urn:contentItem:5F16-9351-F2MB-S090-00000-00&amp;context=" TargetMode="External" /><Relationship Id="rId896" Type="http://schemas.openxmlformats.org/officeDocument/2006/relationships/hyperlink" Target="https://advance.lexis.com/api/document?collection=cases-ca&amp;id=urn:contentItem:5F8P-SDN1-JJD0-G2T3-00000-00&amp;context=" TargetMode="External" /><Relationship Id="rId897" Type="http://schemas.openxmlformats.org/officeDocument/2006/relationships/hyperlink" Target="https://advance.lexis.com/api/document?collection=cases-ca&amp;id=urn:contentItem:5F7T-XPY1-JBDT-B06D-00000-00&amp;context=" TargetMode="External" /><Relationship Id="rId898" Type="http://schemas.openxmlformats.org/officeDocument/2006/relationships/hyperlink" Target="https://advance.lexis.com/api/document?collection=cases-ca&amp;id=urn:contentItem:5F8T-N3R1-FJDY-X2VJ-00000-00&amp;context=" TargetMode="External" /><Relationship Id="rId899" Type="http://schemas.openxmlformats.org/officeDocument/2006/relationships/hyperlink" Target="https://advance.lexis.com/api/document?collection=cases-ca&amp;id=urn:contentItem:5F7T-S6T1-K054-G141-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71-JWBS-61HG-00000-00&amp;context=" TargetMode="External" /><Relationship Id="rId900" Type="http://schemas.openxmlformats.org/officeDocument/2006/relationships/hyperlink" Target="https://advance.lexis.com/api/document?collection=cases-ca&amp;id=urn:contentItem:5F7T-S6T1-JJ1H-X2FP-00000-00&amp;context=" TargetMode="External" /><Relationship Id="rId901" Type="http://schemas.openxmlformats.org/officeDocument/2006/relationships/hyperlink" Target="https://advance.lexis.com/api/document?collection=cases-ca&amp;id=urn:contentItem:5F7T-S6V1-JTNR-M3CD-00000-00&amp;context=" TargetMode="External" /><Relationship Id="rId902" Type="http://schemas.openxmlformats.org/officeDocument/2006/relationships/hyperlink" Target="https://advance.lexis.com/api/document?collection=cases-ca&amp;id=urn:contentItem:5F7T-S721-F57G-S0WJ-00000-00&amp;context=" TargetMode="External" /><Relationship Id="rId903" Type="http://schemas.openxmlformats.org/officeDocument/2006/relationships/hyperlink" Target="https://advance.lexis.com/api/document?collection=cases-ca&amp;id=urn:contentItem:5F7T-S731-FFFC-B0NB-00000-00&amp;context=" TargetMode="External" /><Relationship Id="rId904" Type="http://schemas.openxmlformats.org/officeDocument/2006/relationships/header" Target="header130.xml" /><Relationship Id="rId905" Type="http://schemas.openxmlformats.org/officeDocument/2006/relationships/header" Target="header131.xml" /><Relationship Id="rId906" Type="http://schemas.openxmlformats.org/officeDocument/2006/relationships/footer" Target="footer130.xml" /><Relationship Id="rId907" Type="http://schemas.openxmlformats.org/officeDocument/2006/relationships/footer" Target="footer131.xml" /><Relationship Id="rId908" Type="http://schemas.openxmlformats.org/officeDocument/2006/relationships/header" Target="header132.xml" /><Relationship Id="rId909" Type="http://schemas.openxmlformats.org/officeDocument/2006/relationships/footer" Target="footer132.xml" /><Relationship Id="rId91" Type="http://schemas.openxmlformats.org/officeDocument/2006/relationships/hyperlink" Target="https://advance.lexis.com/api/document?collection=cases-ca&amp;id=urn:contentItem:5JVG-2XS1-JN14-G1JY-00000-00&amp;context=" TargetMode="External" /><Relationship Id="rId910" Type="http://schemas.openxmlformats.org/officeDocument/2006/relationships/hyperlink" Target="https://advance.lexis.com/api/document?collection=cases-ca&amp;id=urn:contentItem:5KP4-X8R1-JW09-M426-00000-00&amp;context=" TargetMode="External" /><Relationship Id="rId911" Type="http://schemas.openxmlformats.org/officeDocument/2006/relationships/hyperlink" Target="https://advance.lexis.com/api/document?collection=cases-ca&amp;id=urn:contentItem:5K03-MBH1-FFFC-B034-00000-00&amp;context=" TargetMode="External" /><Relationship Id="rId912" Type="http://schemas.openxmlformats.org/officeDocument/2006/relationships/hyperlink" Target="https://advance.lexis.com/api/document?collection=cases-ca&amp;id=urn:contentItem:5F7T-S7K1-JX3N-B349-00000-00&amp;context=" TargetMode="External" /><Relationship Id="rId913" Type="http://schemas.openxmlformats.org/officeDocument/2006/relationships/hyperlink" Target="https://advance.lexis.com/api/document?collection=cases-ca&amp;id=urn:contentItem:5F7T-S6T1-F2F4-G1FK-00000-00&amp;context=" TargetMode="External" /><Relationship Id="rId914" Type="http://schemas.openxmlformats.org/officeDocument/2006/relationships/hyperlink" Target="https://advance.lexis.com/api/document?collection=cases-ca&amp;id=urn:contentItem:5F7T-S7K1-JX3N-B2V1-00000-00&amp;context=" TargetMode="External" /><Relationship Id="rId915" Type="http://schemas.openxmlformats.org/officeDocument/2006/relationships/hyperlink" Target="https://advance.lexis.com/api/document?collection=cases-ca&amp;id=urn:contentItem:5F7T-S761-JGHR-M2SM-00000-00&amp;context=" TargetMode="External" /><Relationship Id="rId916" Type="http://schemas.openxmlformats.org/officeDocument/2006/relationships/hyperlink" Target="https://advance.lexis.com/api/document?collection=cases-ca&amp;id=urn:contentItem:5F8T-N3V1-FC1F-M40Y-00000-00&amp;context=" TargetMode="External" /><Relationship Id="rId917" Type="http://schemas.openxmlformats.org/officeDocument/2006/relationships/hyperlink" Target="https://advance.lexis.com/api/document?collection=cases-ca&amp;id=urn:contentItem:5F7T-S7K1-JWXF-218J-00000-00&amp;context=" TargetMode="External" /><Relationship Id="rId918" Type="http://schemas.openxmlformats.org/officeDocument/2006/relationships/hyperlink" Target="https://advance.lexis.com/api/document?collection=cases-ca&amp;id=urn:contentItem:5F7T-S7H1-F016-S3X9-00000-00&amp;context=" TargetMode="External" /><Relationship Id="rId919" Type="http://schemas.openxmlformats.org/officeDocument/2006/relationships/hyperlink" Target="https://advance.lexis.com/api/document?collection=cases-ca&amp;id=urn:contentItem:5F7T-S7M1-JPP5-22SN-00000-00&amp;context=" TargetMode="External" /><Relationship Id="rId92" Type="http://schemas.openxmlformats.org/officeDocument/2006/relationships/hyperlink" Target="https://advance.lexis.com/api/document?collection=cases-ca&amp;id=urn:contentItem:5F7T-S7C1-JSRM-60TP-00000-00&amp;context=" TargetMode="External" /><Relationship Id="rId920" Type="http://schemas.openxmlformats.org/officeDocument/2006/relationships/hyperlink" Target="https://advance.lexis.com/api/document?collection=cases-ca&amp;id=urn:contentItem:5F7T-S6S1-JC5P-G0X0-00000-00&amp;context=" TargetMode="External" /><Relationship Id="rId921" Type="http://schemas.openxmlformats.org/officeDocument/2006/relationships/hyperlink" Target="https://advance.lexis.com/api/document?collection=cases-ca&amp;id=urn:contentItem:5F7T-S7N1-F57G-S2PN-00000-00&amp;context=" TargetMode="External" /><Relationship Id="rId922" Type="http://schemas.openxmlformats.org/officeDocument/2006/relationships/hyperlink" Target="https://advance.lexis.com/api/document?collection=cases-ca&amp;id=urn:contentItem:5F7T-S6T1-JJSF-2158-00000-00&amp;context=" TargetMode="External" /><Relationship Id="rId923" Type="http://schemas.openxmlformats.org/officeDocument/2006/relationships/hyperlink" Target="https://advance.lexis.com/api/document?collection=cases-ca&amp;id=urn:contentItem:5F7T-S6T1-F528-G167-00000-00&amp;context=" TargetMode="External" /><Relationship Id="rId924" Type="http://schemas.openxmlformats.org/officeDocument/2006/relationships/hyperlink" Target="https://advance.lexis.com/api/document?collection=cases-ca&amp;id=urn:contentItem:5F7T-S7K1-JX3N-B2SK-00000-00&amp;context=" TargetMode="External" /><Relationship Id="rId925" Type="http://schemas.openxmlformats.org/officeDocument/2006/relationships/hyperlink" Target="https://advance.lexis.com/api/document?collection=cases-ca&amp;id=urn:contentItem:5F7T-S7J1-JGBH-B220-00000-00&amp;context=" TargetMode="External" /><Relationship Id="rId926" Type="http://schemas.openxmlformats.org/officeDocument/2006/relationships/hyperlink" Target="https://advance.lexis.com/api/document?collection=cases-ca&amp;id=urn:contentItem:5HND-P0B1-JFDC-X4WX-00000-00&amp;context=" TargetMode="External" /><Relationship Id="rId927" Type="http://schemas.openxmlformats.org/officeDocument/2006/relationships/hyperlink" Target="https://advance.lexis.com/api/document?collection=cases-ca&amp;id=urn:contentItem:5F8T-N3V1-JF75-M3TG-00000-00&amp;context=" TargetMode="External" /><Relationship Id="rId928" Type="http://schemas.openxmlformats.org/officeDocument/2006/relationships/hyperlink" Target="https://advance.lexis.com/api/document?collection=cases-ca&amp;id=urn:contentItem:5F81-VJW1-JF75-M1FJ-00000-00&amp;context=" TargetMode="External" /><Relationship Id="rId929" Type="http://schemas.openxmlformats.org/officeDocument/2006/relationships/hyperlink" Target="https://advance.lexis.com/api/document?collection=cases-ca&amp;id=urn:contentItem:5F8T-N3T1-JGHR-M293-00000-00&amp;context=" TargetMode="External" /><Relationship Id="rId93" Type="http://schemas.openxmlformats.org/officeDocument/2006/relationships/hyperlink" Target="https://advance.lexis.com/api/document?collection=cases-ca&amp;id=urn:contentItem:5F7T-S7N1-F57G-S2HF-00000-00&amp;context=" TargetMode="External" /><Relationship Id="rId930" Type="http://schemas.openxmlformats.org/officeDocument/2006/relationships/hyperlink" Target="https://advance.lexis.com/api/document?collection=cases-ca&amp;id=urn:contentItem:5F8T-N3V1-JTGH-B19R-00000-00&amp;context=" TargetMode="External" /><Relationship Id="rId931" Type="http://schemas.openxmlformats.org/officeDocument/2006/relationships/hyperlink" Target="https://advance.lexis.com/api/document?collection=cases-ca&amp;id=urn:contentItem:5F8T-N3V1-JFKM-604N-00000-00&amp;context=" TargetMode="External" /><Relationship Id="rId932" Type="http://schemas.openxmlformats.org/officeDocument/2006/relationships/hyperlink" Target="https://advance.lexis.com/api/document?collection=cases-ca&amp;id=urn:contentItem:5F8T-N3V1-JTGH-B1GK-00000-00&amp;context=" TargetMode="External" /><Relationship Id="rId933" Type="http://schemas.openxmlformats.org/officeDocument/2006/relationships/hyperlink" Target="https://advance.lexis.com/api/document?collection=cases-ca&amp;id=urn:contentItem:5F81-VJY1-JPGX-S4HH-00000-00&amp;context=" TargetMode="External" /><Relationship Id="rId934" Type="http://schemas.openxmlformats.org/officeDocument/2006/relationships/hyperlink" Target="https://advance.lexis.com/api/document?collection=cases-ca&amp;id=urn:contentItem:5F8T-N3V1-JFKM-600T-00000-00&amp;context=" TargetMode="External" /><Relationship Id="rId935" Type="http://schemas.openxmlformats.org/officeDocument/2006/relationships/hyperlink" Target="https://advance.lexis.com/api/document?collection=cases-ca&amp;id=urn:contentItem:5F7T-S721-F5T5-M2HV-00000-00&amp;context=" TargetMode="External" /><Relationship Id="rId936" Type="http://schemas.openxmlformats.org/officeDocument/2006/relationships/hyperlink" Target="https://advance.lexis.com/api/document?collection=cases-ca&amp;id=urn:contentItem:5F81-VJX1-FCK4-G1TT-00000-00&amp;context=" TargetMode="External" /><Relationship Id="rId937" Type="http://schemas.openxmlformats.org/officeDocument/2006/relationships/hyperlink" Target="https://advance.lexis.com/api/document?collection=cases-ca&amp;id=urn:contentItem:5F8T-N3T1-JGHR-M22N-00000-00&amp;context=" TargetMode="External" /><Relationship Id="rId938" Type="http://schemas.openxmlformats.org/officeDocument/2006/relationships/hyperlink" Target="https://advance.lexis.com/api/document?collection=cases-ca&amp;id=urn:contentItem:5F8P-SFC1-JXG3-X3N2-00000-00&amp;context=" TargetMode="External" /><Relationship Id="rId939" Type="http://schemas.openxmlformats.org/officeDocument/2006/relationships/hyperlink" Target="https://advance.lexis.com/api/document?collection=cases-ca&amp;id=urn:contentItem:5J4V-Y9D1-DXPM-S4MV-00000-00&amp;context=" TargetMode="External" /><Relationship Id="rId94" Type="http://schemas.openxmlformats.org/officeDocument/2006/relationships/hyperlink" Target="https://advance.lexis.com/api/document?collection=cases-ca&amp;id=urn:contentItem:5F8T-N3V1-JTGH-B153-00000-00&amp;context=" TargetMode="External" /><Relationship Id="rId940" Type="http://schemas.openxmlformats.org/officeDocument/2006/relationships/hyperlink" Target="https://advance.lexis.com/api/document?collection=cases-ca&amp;id=urn:contentItem:5F8T-N3T1-JJSF-23CF-00000-00&amp;context=" TargetMode="External" /><Relationship Id="rId941" Type="http://schemas.openxmlformats.org/officeDocument/2006/relationships/hyperlink" Target="https://advance.lexis.com/api/document?collection=cases-ca&amp;id=urn:contentItem:5F16-9361-JYYX-638G-00000-00&amp;context=" TargetMode="External" /><Relationship Id="rId942" Type="http://schemas.openxmlformats.org/officeDocument/2006/relationships/hyperlink" Target="https://advance.lexis.com/api/document?collection=cases-ca&amp;id=urn:contentItem:5F7T-S7N1-JC5P-G2DW-00000-00&amp;context=" TargetMode="External" /><Relationship Id="rId943" Type="http://schemas.openxmlformats.org/officeDocument/2006/relationships/hyperlink" Target="https://advance.lexis.com/api/document?collection=cases-ca&amp;id=urn:contentItem:5F7T-S761-JCBX-S0MX-00000-00&amp;context=" TargetMode="External" /><Relationship Id="rId944" Type="http://schemas.openxmlformats.org/officeDocument/2006/relationships/hyperlink" Target="https://advance.lexis.com/api/document?collection=cases-ca&amp;id=urn:contentItem:5F8T-N3V1-JTGH-B11N-00000-00&amp;context=" TargetMode="External" /><Relationship Id="rId945" Type="http://schemas.openxmlformats.org/officeDocument/2006/relationships/hyperlink" Target="https://advance.lexis.com/api/document?collection=cases-ca&amp;id=urn:contentItem:5F8T-N3T1-JGHR-M22V-00000-00&amp;context=" TargetMode="External" /><Relationship Id="rId946" Type="http://schemas.openxmlformats.org/officeDocument/2006/relationships/hyperlink" Target="https://advance.lexis.com/api/document?collection=cases-ca&amp;id=urn:contentItem:5F8T-N3V1-JF75-M3NY-00000-00&amp;context=" TargetMode="External" /><Relationship Id="rId947" Type="http://schemas.openxmlformats.org/officeDocument/2006/relationships/hyperlink" Target="https://advance.lexis.com/api/document?collection=cases-ca&amp;id=urn:contentItem:5F8T-N3T1-JFKM-652S-00000-00&amp;context=" TargetMode="External" /><Relationship Id="rId948" Type="http://schemas.openxmlformats.org/officeDocument/2006/relationships/hyperlink" Target="https://advance.lexis.com/api/document?collection=cases-ca&amp;id=urn:contentItem:5F7F-5RH1-FD4T-B02M-00000-00&amp;context=" TargetMode="External" /><Relationship Id="rId949" Type="http://schemas.openxmlformats.org/officeDocument/2006/relationships/hyperlink" Target="https://advance.lexis.com/api/document?collection=cases-ca&amp;id=urn:contentItem:5F8T-N3V1-FH4C-X1XX-00000-00&amp;context=" TargetMode="External" /><Relationship Id="rId95" Type="http://schemas.openxmlformats.org/officeDocument/2006/relationships/hyperlink" Target="https://advance.lexis.com/api/document?collection=cases-ca&amp;id=urn:contentItem:5F8T-N3V1-JF75-M3S6-00000-00&amp;context=" TargetMode="External" /><Relationship Id="rId950" Type="http://schemas.openxmlformats.org/officeDocument/2006/relationships/header" Target="header133.xml" /><Relationship Id="rId951" Type="http://schemas.openxmlformats.org/officeDocument/2006/relationships/header" Target="header134.xml" /><Relationship Id="rId952" Type="http://schemas.openxmlformats.org/officeDocument/2006/relationships/footer" Target="footer133.xml" /><Relationship Id="rId953" Type="http://schemas.openxmlformats.org/officeDocument/2006/relationships/footer" Target="footer134.xml" /><Relationship Id="rId954" Type="http://schemas.openxmlformats.org/officeDocument/2006/relationships/header" Target="header135.xml" /><Relationship Id="rId955" Type="http://schemas.openxmlformats.org/officeDocument/2006/relationships/footer" Target="footer135.xml" /><Relationship Id="rId956" Type="http://schemas.openxmlformats.org/officeDocument/2006/relationships/hyperlink" Target="https://advance.lexis.com/api/document?collection=cases-ca&amp;id=urn:contentItem:5F7T-S7B1-FH4C-X3RY-00000-00&amp;context=" TargetMode="External" /><Relationship Id="rId957" Type="http://schemas.openxmlformats.org/officeDocument/2006/relationships/hyperlink" Target="https://advance.lexis.com/api/document?collection=cases-ca&amp;id=urn:contentItem:5F7T-S761-F81W-21P8-00000-00&amp;context=" TargetMode="External" /><Relationship Id="rId958" Type="http://schemas.openxmlformats.org/officeDocument/2006/relationships/hyperlink" Target="https://advance.lexis.com/api/document?collection=cases-ca&amp;id=urn:contentItem:5F7T-S781-F900-G0P5-00000-00&amp;context=" TargetMode="External" /><Relationship Id="rId959" Type="http://schemas.openxmlformats.org/officeDocument/2006/relationships/hyperlink" Target="https://advance.lexis.com/api/document?collection=cases-ca&amp;id=urn:contentItem:5F8T-N3V1-JF75-M3FN-00000-00&amp;context=" TargetMode="External" /><Relationship Id="rId96" Type="http://schemas.openxmlformats.org/officeDocument/2006/relationships/hyperlink" Target="https://advance.lexis.com/api/document?collection=cases-ca&amp;id=urn:contentItem:5F8T-N3T1-JFKM-655K-00000-00&amp;context=" TargetMode="External" /><Relationship Id="rId960" Type="http://schemas.openxmlformats.org/officeDocument/2006/relationships/hyperlink" Target="https://advance.lexis.com/api/document?collection=cases-ca&amp;id=urn:contentItem:5F8T-N3V1-FC1F-M469-00000-00&amp;context=" TargetMode="External" /><Relationship Id="rId961" Type="http://schemas.openxmlformats.org/officeDocument/2006/relationships/hyperlink" Target="https://advance.lexis.com/api/document?collection=cases-ca&amp;id=urn:contentItem:5F81-YGM1-JG02-S13T-00000-00&amp;context=" TargetMode="External" /><Relationship Id="rId962" Type="http://schemas.openxmlformats.org/officeDocument/2006/relationships/header" Target="header136.xml" /><Relationship Id="rId963" Type="http://schemas.openxmlformats.org/officeDocument/2006/relationships/header" Target="header137.xml" /><Relationship Id="rId964" Type="http://schemas.openxmlformats.org/officeDocument/2006/relationships/footer" Target="footer136.xml" /><Relationship Id="rId965" Type="http://schemas.openxmlformats.org/officeDocument/2006/relationships/footer" Target="footer137.xml" /><Relationship Id="rId966" Type="http://schemas.openxmlformats.org/officeDocument/2006/relationships/header" Target="header138.xml" /><Relationship Id="rId967" Type="http://schemas.openxmlformats.org/officeDocument/2006/relationships/footer" Target="footer138.xml" /><Relationship Id="rId968" Type="http://schemas.openxmlformats.org/officeDocument/2006/relationships/hyperlink" Target="https://advance.lexis.com/api/document?collection=cases-ca&amp;id=urn:contentItem:5F7T-S7F1-JFKM-61TC-00000-00&amp;context=" TargetMode="External" /><Relationship Id="rId969" Type="http://schemas.openxmlformats.org/officeDocument/2006/relationships/hyperlink" Target="https://advance.lexis.com/api/document?collection=legislation-ca&amp;id=urn:contentItem:5F41-1FK1-F2TK-215Y-00000-00&amp;context=" TargetMode="External" /><Relationship Id="rId97" Type="http://schemas.openxmlformats.org/officeDocument/2006/relationships/hyperlink" Target="https://advance.lexis.com/api/document?collection=cases-ca&amp;id=urn:contentItem:5F7T-S7N1-DXWW-206B-00000-00&amp;context=" TargetMode="External" /><Relationship Id="rId970" Type="http://schemas.openxmlformats.org/officeDocument/2006/relationships/hyperlink" Target="https://advance.lexis.com/api/document?collection=cases-ca&amp;id=urn:contentItem:5F7T-S771-FG68-G103-00000-00&amp;context=" TargetMode="External" /><Relationship Id="rId971" Type="http://schemas.openxmlformats.org/officeDocument/2006/relationships/hyperlink" Target="https://advance.lexis.com/api/document?collection=cases-ca&amp;id=urn:contentItem:5F7T-S761-JX8W-M2NW-00000-00&amp;context=" TargetMode="External" /><Relationship Id="rId972" Type="http://schemas.openxmlformats.org/officeDocument/2006/relationships/hyperlink" Target="https://advance.lexis.com/api/document?collection=cases-ca&amp;id=urn:contentItem:5F8P-SD31-JSRM-633X-00000-00&amp;context=" TargetMode="External" /><Relationship Id="rId973" Type="http://schemas.openxmlformats.org/officeDocument/2006/relationships/hyperlink" Target="https://advance.lexis.com/api/document?collection=cases-ca&amp;id=urn:contentItem:5F7T-S7D1-FFFC-B14B-00000-00&amp;context=" TargetMode="External" /><Relationship Id="rId974" Type="http://schemas.openxmlformats.org/officeDocument/2006/relationships/hyperlink" Target="https://advance.lexis.com/api/document?collection=cases-ca&amp;id=urn:contentItem:5F7T-S7F1-JX3N-B1KN-00000-00&amp;context=" TargetMode="External" /><Relationship Id="rId975" Type="http://schemas.openxmlformats.org/officeDocument/2006/relationships/hyperlink" Target="https://advance.lexis.com/api/document?collection=cases-ca&amp;id=urn:contentItem:5F7T-S7C1-F7ND-G044-00000-00&amp;context=" TargetMode="External" /><Relationship Id="rId976" Type="http://schemas.openxmlformats.org/officeDocument/2006/relationships/hyperlink" Target="https://advance.lexis.com/api/document?collection=cases-ca&amp;id=urn:contentItem:5F7T-S7D1-JG02-S2SX-00000-00&amp;context=" TargetMode="External" /><Relationship Id="rId977" Type="http://schemas.openxmlformats.org/officeDocument/2006/relationships/hyperlink" Target="https://advance.lexis.com/api/document?collection=cases-ca&amp;id=urn:contentItem:5F7T-S7F1-FFFC-B1R7-00000-00&amp;context=" TargetMode="External" /><Relationship Id="rId978" Type="http://schemas.openxmlformats.org/officeDocument/2006/relationships/hyperlink" Target="https://advance.lexis.com/api/document?collection=cases-ca&amp;id=urn:contentItem:5F7T-S771-JWBS-61X0-00000-00&amp;context=" TargetMode="External" /><Relationship Id="rId979" Type="http://schemas.openxmlformats.org/officeDocument/2006/relationships/header" Target="header139.xml" /><Relationship Id="rId98" Type="http://schemas.openxmlformats.org/officeDocument/2006/relationships/hyperlink" Target="https://advance.lexis.com/api/document?collection=cases-ca&amp;id=urn:contentItem:5K27-9R71-JWBS-63Y8-00000-00&amp;context=" TargetMode="External" /><Relationship Id="rId980" Type="http://schemas.openxmlformats.org/officeDocument/2006/relationships/header" Target="header140.xml" /><Relationship Id="rId981" Type="http://schemas.openxmlformats.org/officeDocument/2006/relationships/footer" Target="footer139.xml" /><Relationship Id="rId982" Type="http://schemas.openxmlformats.org/officeDocument/2006/relationships/footer" Target="footer140.xml" /><Relationship Id="rId983" Type="http://schemas.openxmlformats.org/officeDocument/2006/relationships/header" Target="header141.xml" /><Relationship Id="rId984" Type="http://schemas.openxmlformats.org/officeDocument/2006/relationships/footer" Target="footer141.xml" /><Relationship Id="rId985" Type="http://schemas.openxmlformats.org/officeDocument/2006/relationships/hyperlink" Target="https://advance.lexis.com/api/document?collection=cases-ca&amp;id=urn:contentItem:5F7T-S7C1-JSRM-614J-00000-00&amp;context=" TargetMode="External" /><Relationship Id="rId986" Type="http://schemas.openxmlformats.org/officeDocument/2006/relationships/hyperlink" Target="https://advance.lexis.com/api/document?collection=cases-ca&amp;id=urn:contentItem:5F7T-S711-JB2B-S19X-00000-00&amp;context=" TargetMode="External" /><Relationship Id="rId987" Type="http://schemas.openxmlformats.org/officeDocument/2006/relationships/hyperlink" Target="https://advance.lexis.com/api/document?collection=cases-ca&amp;id=urn:contentItem:5F8T-N3T1-JGHR-M21F-00000-00&amp;context=" TargetMode="External" /><Relationship Id="rId988" Type="http://schemas.openxmlformats.org/officeDocument/2006/relationships/hyperlink" Target="https://advance.lexis.com/api/document?collection=cases-ca&amp;id=urn:contentItem:5F16-93B1-JN14-G0J1-00000-00&amp;context=" TargetMode="External" /><Relationship Id="rId989" Type="http://schemas.openxmlformats.org/officeDocument/2006/relationships/hyperlink" Target="https://advance.lexis.com/api/document?collection=cases-ca&amp;id=urn:contentItem:5F7V-3DF1-FGJR-2404-00000-00&amp;context=" TargetMode="External" /><Relationship Id="rId99" Type="http://schemas.openxmlformats.org/officeDocument/2006/relationships/hyperlink" Target="https://advance.lexis.com/api/document?collection=cases-ca&amp;id=urn:contentItem:5F7T-S7M1-DYMS-6201-00000-00&amp;context=" TargetMode="External" /><Relationship Id="rId990" Type="http://schemas.openxmlformats.org/officeDocument/2006/relationships/hyperlink" Target="https://advance.lexis.com/api/document?collection=cases-ca&amp;id=urn:contentItem:5F81-WC31-F5KY-B4TG-00000-00&amp;context=" TargetMode="External" /><Relationship Id="rId991" Type="http://schemas.openxmlformats.org/officeDocument/2006/relationships/hyperlink" Target="https://advance.lexis.com/api/document?collection=cases-ca&amp;id=urn:contentItem:5F7T-S6X1-JTNR-M3YN-00000-00&amp;context=" TargetMode="External" /><Relationship Id="rId992" Type="http://schemas.openxmlformats.org/officeDocument/2006/relationships/hyperlink" Target="https://advance.lexis.com/api/document?collection=cases-ca&amp;id=urn:contentItem:5F7T-S751-JGHR-M1VX-00000-00&amp;context=" TargetMode="External" /><Relationship Id="rId993" Type="http://schemas.openxmlformats.org/officeDocument/2006/relationships/hyperlink" Target="https://advance.lexis.com/api/document?collection=cases-ca&amp;id=urn:contentItem:5F7T-S731-F016-S378-00000-00&amp;context=" TargetMode="External" /><Relationship Id="rId994" Type="http://schemas.openxmlformats.org/officeDocument/2006/relationships/hyperlink" Target="https://advance.lexis.com/api/document?collection=cases-ca&amp;id=urn:contentItem:5F8T-N3P1-FC6N-X1C7-00000-00&amp;context=" TargetMode="External" /><Relationship Id="rId995" Type="http://schemas.openxmlformats.org/officeDocument/2006/relationships/header" Target="header142.xml" /><Relationship Id="rId996" Type="http://schemas.openxmlformats.org/officeDocument/2006/relationships/header" Target="header143.xml" /><Relationship Id="rId997" Type="http://schemas.openxmlformats.org/officeDocument/2006/relationships/footer" Target="footer142.xml" /><Relationship Id="rId998" Type="http://schemas.openxmlformats.org/officeDocument/2006/relationships/footer" Target="footer143.xml" /><Relationship Id="rId999" Type="http://schemas.openxmlformats.org/officeDocument/2006/relationships/header" Target="header144.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Phantom Mortgage Corp. v. Kyle, [2015] B.C.J. No. 1111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115051711</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