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Vince Estate v. Christian Reformed Seniors Housing Society, [2002] B.C.J. No. 2244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21 - 23,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1,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C991941, C991942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2244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1392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117 A.C.W.S. (3d) 232</w:t>
      </w:r>
    </w:p>
    <w:p>
      <w:pPr>
        <w:spacing w:before="120" w:line="260" w:lineRule="atLeast"/>
        <w:rPr>
          <w:lang w:val="en-US" w:eastAsia="en-US" w:bidi="ar-SA"/>
        </w:rPr>
      </w:pPr>
      <w:r>
        <w:rPr>
          <w:rFonts w:ascii="arial" w:eastAsia="arial" w:hAnsi="arial" w:cs="arial"/>
          <w:color w:val="000000"/>
          <w:sz w:val="20"/>
          <w:lang w:val="en-US" w:eastAsia="en-US" w:bidi="ar-SA"/>
        </w:rPr>
        <w:t>Between Sandra Meyer and Diane White, Executors of the Estates of James Ernest Vince and Vera Alexandra Vince, plaintiffs, and Christian Reformed Senior Housing Society, Marlene Hart and Ken Hart Realty Ltd., defendants (Vancouver Registry No. C991941) And between Sandra Meyer and Diane White, Executors of the Estates of James Ernest Vince and Vera Alexandra Vince, plaintiffs, and Donald H. Forbes, defendant (Vancouver Registry No. C991942)</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color w:val="000000"/>
          <w:sz w:val="20"/>
          <w:lang w:val="en-US" w:eastAsia="en-US" w:bidi="ar-SA"/>
        </w:rPr>
        <w:t>Practice — Applications and motions — Applications — On affidavit evidence — Evidence — Affidavits, use of — Cross-examination of deponent.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Hart and the other defendants to dismiss the claim by the plaintiff executors. The executors claimed against Hart and the others for fraudulent or negligent misrepresentation. They alleged that Hart and the others had misrepresented to their parents that they had purchased a fee simple interest in a condominium unit, when in fact they had purchased a life estate. Hart and the others maintained that they properly explained to the parents and the executors the nature of the interest being purchased. </w:t>
            </w:r>
            <w:r>
              <w:rPr>
                <w:lang w:val="en-US" w:eastAsia="en-US" w:bidi="ar-SA"/>
              </w:rPr>
              <w:cr/>
            </w:r>
          </w:p>
          <w:p>
            <w:pPr>
              <w:spacing w:before="120" w:line="260" w:lineRule="atLeast"/>
              <w:ind w:left="240"/>
              <w:jc w:val="both"/>
              <w:rPr>
                <w:lang w:val="en-US" w:eastAsia="en-US" w:bidi="ar-SA"/>
              </w:rPr>
            </w:pPr>
            <w:bookmarkStart w:id="2" w:name="Holdings of Court"/>
            <w:bookmarkEnd w:id="2"/>
            <w:r>
              <w:rPr>
                <w:rFonts w:ascii="arial" w:eastAsia="arial" w:hAnsi="arial" w:cs="arial"/>
                <w:color w:val="000000"/>
                <w:sz w:val="20"/>
                <w:lang w:val="en-US" w:eastAsia="en-US" w:bidi="ar-SA"/>
              </w:rPr>
              <w:t>HELD: Application adjourned to allow for cross-examination of the parties.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It was not appropriate to draw conclusions of credibility solely from the affidavit material. The issues of credibility could not be resolved by reading the affidavits and examinations for discovery transcripts. The findings of fact necessary to give judgment on the application were not possible without having at least the principal parties cross-examined on their affidavits. </w:t>
            </w:r>
            <w:r>
              <w:rPr>
                <w:lang w:val="en-US" w:eastAsia="en-US" w:bidi="ar-SA"/>
              </w:rPr>
              <w:cr/>
            </w:r>
          </w:p>
          <w:p>
            <w:pPr>
              <w:rPr>
                <w:lang w:val="en-US" w:eastAsia="en-US" w:bidi="ar-SA"/>
              </w:rPr>
            </w:pPr>
          </w:p>
        </w:tc>
      </w:tr>
    </w:tbl>
    <w:p>
      <w:pPr>
        <w:jc w:val="both"/>
        <w:rPr>
          <w:lang w:val="en-US" w:eastAsia="en-US" w:bidi="ar-SA"/>
        </w:rPr>
      </w:pPr>
      <w:bookmarkStart w:id="3" w:name="Legislation Cited"/>
      <w:bookmarkEnd w:id="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26" style="position:absolute;z-index:2517094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27" style="position:absolute;z-index:2517606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R.S. Henderson, for the plaintiffs. J. Fairburn, for the defendant, Christian Reform Senior Housing Society. G.C. Blanchard, for the defendants, Marlene Hart and Ken Hart Realty. A.A. Macdonald, for the defendant, Donald H. Forbes.</w:t>
      </w:r>
      <w:r>
        <w:rPr>
          <w:lang w:val="en-US" w:eastAsia="en-US" w:bidi="ar-SA"/>
        </w:rPr>
        <w:cr/>
      </w:r>
    </w:p>
    <w:p>
      <w:pPr>
        <w:spacing w:after="240"/>
        <w:rPr>
          <w:lang w:val="en-US" w:eastAsia="en-US" w:bidi="ar-SA"/>
        </w:rPr>
      </w:pPr>
      <w:bookmarkStart w:id="5" w:name="Judgment"/>
      <w:bookmarkEnd w:id="5"/>
      <w:r>
        <w:pict>
          <v:line id="_x0000_s1028" style="position:absolute;z-index:2518118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 w:name="MELNICK J."/>
            <w:bookmarkEnd w:id="6"/>
            <w:r>
              <w:rPr>
                <w:rFonts w:ascii="arial" w:eastAsia="arial" w:hAnsi="arial" w:cs="arial"/>
                <w:b/>
                <w:color w:val="000000"/>
                <w:sz w:val="30"/>
                <w:lang w:val="en-US" w:eastAsia="en-US" w:bidi="ar-SA"/>
              </w:rPr>
              <w:t>MELNICK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claim against the defendants Christian Reformed Seniors Housing Society ("Housing Society"), Marlene Hart ("Ms. Hart") and Ken Hart Realty Ltd. ("Hart Realty") for fraudulent or negligent misrepresentation. The plaintiffs claim against Donald H. Forbes ("Mr. Forbes")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his duty of care as a solicitor. Ms. Hart and Hart Realty, Mr. Forbes, and Housing Society have each brought separate applications under Rule 18A to have the plaintiffs' claims against them dismissed (with the exception of a separate cause of action brought only against Housing Society). It is the position of the plaintiffs that there are issues of credibility that cannot be resolved on a summary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sisters who are executors of the estates of their parents. In early 1995 their parents, James Ernest Vince ("Mr. Vince") and Vera Alexandra Vince ("Mrs. Vince"), purchased a life estate in a condominium unit in a seniors complex developed by Housing Society. The purchase price was $205,000. The plaintiffs, who assisted Mr. and Mrs. Vince in negotiating and finalizing the purchase of the life estate, maintain that both they and their parents were made to understand by literature provided by Housing Society and representations made by Ms. Hart and Hart Realty that Mr. and Mrs. Vince were in fact purchasing a fee simple interest in the condominium unit. They also maintain that Mr. Forbes, the lawyer they engaged on their parents' behalf to explain the nature of the interest Mr. and Mrs. Vince were purchasing and to do the conveyance, led them to believe that they were purchasing a fee simple interest for the lifetime of Mr. and Mrs. Vince or the survivor of them. They also maintain that the disclosure statement provided by Housing Society (which has subsequently been substantially amended to properly disclose the nature of the interests prospective purchasers are buying) was misleading in that it suggested that the nature of the interest was that of ownership.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its part, Housing Society suggests that there was no evidence suggesting that Mr. and Mrs. Vince had relied upon any specific advertising of Housing Society. Further, Ms. Hart, Mr. Ken Hart of Hart Realty, and Mr. Forbes all maintain in their affidavits that they were scrupulous about explaining to Mr. and Mrs. Vince and to Sandra Meyer ("Ms. Meyer") and Diane White ("Ms. White") the nature of the interest being purchased.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Other than any written representations made by it in its disclosure statement, other documents relating to the condominium development, or advertisements to the public at large, Housing Society maintains that the only representations that could have been made to Mr. and Mrs. Vince were by the realtors they engaged for that purpose, Hart Realty. Thus, says Housing Society, if I am satisfied that there was no misstatement by Ms. Hart or Hart Realty, then they have no vicarious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Further, the plaintiffs say that Mr. and Mrs. Vince were misled as to the staff that would be available on an ongoing basis at Covenant Court, the housing development. The advertisements indicated, and the plaintiffs and Mr. and Mrs. Vince were advised, that the manager of the complex was a registered nurse. They agree that the individual in question, who was the manager at the time they purchased their life estate in Covenant Court, would not be providing medical help to occupants in her capacity as a nurse. However, they say that they understood a nurse would be the manager and, knowing that such a person was available to interact with occupants, this provided comfort to the plaintiffs and to Mr. and Mrs. Vince.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the death of Mrs. Vince in 1996, but before the death of Mr. Vince in 1997, the then manager was replaced by an individual who was not a nurse. This apparently caused Mr. Vince and the plaintiffs dismay. Housing Society maintains that it had no obligation to provide a manager with a nursing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no evidence that suggested that either Mr. or Mrs. Vince or the plaintiffs suffered any particular damage as a result of Housing Society replacing the original manager with an individual who was not a nurse. It was not suggested, for example, that the Vinces' life estate was less marketable because the new manager was not a nurse. In the view of the various defendants, however, it was this change in the management of Covenant Court which was the genesis of the plaintiffs' and Mr. Vince's unhappiness with their investment.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say that they and Mr. Vince first became aware of the true nature of the Vinces' interest in their condominium unit during exchanges with an individual or individuals from Housing Society over the change of manager.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If I accept the evidence of Ms. Hart, Mr. Hart and Mr. Forbes as to how careful and scrupulous they were in explaining to Mr. and Mrs. Vince and the plaintiffs the nature of the interest being purchased, it is hard to believe how anyone, even unsophisticated purchasers for whom the concept of condominiums and leasehold interests was not familiar, would have failed to appreciate that they were not purchasing a fee simple interest. Both Ms. Meyer and Ms. White have acknowledged that they were aware that the nature of the interest being purchased was a life lease. The application form completed in connection with the application to purchase referred to the applicants as the "occupant" and Housing Society as the "owner". Ms. Meyer and Ms. White, who acted on powers of attorney to purchase the life estate for their parents, entered into a "life-lease occupancy agreement" in which Mr. and Mrs. Vince were described as "occupants", Housing Society as "owner". After completion of the conveyance, they were provided with a state of title certificate which described their interest as a life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Ms. White makes it clear that although they were told that the nature of the interest that would be purchased was a life lease, it was explained by Ms. Hart that her parents would be the owners of the condominium unit. The plaintiffs maintain that Mr. and Mrs. Vince would not have purchased the life estate from Housing Society if they were not to be owners "in the normal sense" since that type of ownership was important to them. Further, Ms. White maintained that Mr. Forbes explained the nature of a life lease to them as "ownership for life". She further maintains that Mr. Forbes did not caution them that the market value of such an interest might be different from that of a fee simple strata unit. Mr. Forbes, on the other hand, maintains that he warned the plaintiffs that, upon the death of the survivor of the Vinces', the resale value of the unit could be affected by there being a smaller pool of potential buyers than would be the case if the unit was owned in fee simple and, further, that the resale value of the unit would also depend on how well Housing Society managed Covenant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questions to be answered are whether Mr. and Mrs. Vince and the plaintiffs in fact were misled in any way by any of the defendants as to the true nature of the interest Mr. and Mrs. Vince were acquiring, and whether Mr. Forbes gave inadequate, negligent, or misleading advice as to the nature of that interest. The question is not what a reasonable individual would have understood, but what these plaintiffs and Mr. and Mrs. Vince in fact understood. What Mr. and Mrs. Vince understood, of course, I can only know from what the plaintiffs say their parents understood or by what the other parties say they made them understand. For example, Mr. Forbes said that when he met with Mr. and Mrs. Vince they "...at all times expressed an understanding of the documents we reviewed and of my advice and appeared to me to fully understand the nature and effect of such documents and my advice". Mr. Forbes says that Mr. and Mrs. Vince confirmed to him their understanding that the life lease that they were purchasing provided that, after the death of the survivor of them, the unit would be re-leased by Housing Society and the plaintiffs would obtain 90% of the resale value. There is no dispute between the parties that it was a condition of purchase that, after the death of the survivor of Mr. and Mrs. Vince, the condominium unit would have to be sold and Housing Society was entitled to retain 10% of the sale price.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fact, the life interest of Mr. and Mrs. Vince in their condominium unit in Covenant Court did not sell until the spring of 2001, and then for only $105,000. The extent to which the delay of over three years in reselling the life estate was attributable to Housing Society and a requirement that it file a new disclosure statement with better particulars of the nature of the interest of its strata units, is agreed not to be part of these proceedings. However, Ms. White maintains that, while general market factors had an affect in diminishing the fair market value of the unit, the fact that the nature of the leasehold interest was now well known limited the number of potential buyers.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Increasingly, parties to litigation are turning to the summary trial on affidavits provided for by Rule 18A. Cases such as Inspiration Management Ltd. v. McDermid St. Lawrence Ltd. </w:t>
      </w:r>
      <w:hyperlink r:id="rId1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make it clear that trial judges hearing summary trials can make decisions on credibility from affidavits in appropriate circumstances. There are times, however, where it is not appropriate to draw conclusions of credibility solely from the affidavit material. This is one of those times. I have reviewed the material provided by the parties, and read their affidavits and excerpts from their examinations for discovery. After having done so, I conclude that I cannot resolve the issues of credibility and thus cannot find the facts necessary to give judgment on these applications without hearing at least the principal parties cross-examined on their affidavits. By principal parties, I mean Ms. White, Ms. Meyer, Ms. Hart and Mr. Forbes. For the sake of economy, I am prepared to remain seized of the matter and hear such cross-examination at a time to be arranged by counsel. I wish to hear from counsel as to the acceptability of this procedure.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MELNICK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Wadhams v. Andy Estate, [2003] B.C.J. No. 2722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29 and October 1,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28,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B923796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2722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1792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127 A.C.W.S. (3d) 341</w:t>
      </w:r>
    </w:p>
    <w:p>
      <w:pPr>
        <w:spacing w:before="120" w:line="260" w:lineRule="atLeast"/>
        <w:rPr>
          <w:lang w:val="en-US" w:eastAsia="en-US" w:bidi="ar-SA"/>
        </w:rPr>
      </w:pPr>
      <w:r>
        <w:rPr>
          <w:rFonts w:ascii="arial" w:eastAsia="arial" w:hAnsi="arial" w:cs="arial"/>
          <w:color w:val="000000"/>
          <w:sz w:val="20"/>
          <w:lang w:val="en-US" w:eastAsia="en-US" w:bidi="ar-SA"/>
        </w:rPr>
        <w:t>Between Raymond Wadhams, plaintiff, and The Estate of Chester Andy and The Estate of Herbert Hanuse,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0" style="position:absolute;z-index:2516592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 w:name="Keywords_0"/>
      <w:bookmarkEnd w:id="7"/>
      <w:r>
        <w:rPr>
          <w:rFonts w:ascii="arial" w:eastAsia="arial" w:hAnsi="arial" w:cs="arial"/>
          <w:b/>
          <w:color w:val="000000"/>
          <w:sz w:val="20"/>
          <w:lang w:val="en-US" w:eastAsia="en-US" w:bidi="ar-SA"/>
        </w:rPr>
        <w:t>Practice — Judgment and orders — Setting aside orders — Grounds for — Consent orders — Parties — Adding or substituting defendants.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 w:name="Case Summary_0"/>
            <w:bookmarkEnd w:id="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Hanuse to set aside a consent order. Wadhams brought an action against Andy, alleging that Andy was the driver of a car in which Wadhams was injured. Hanuse's son was also an occupant of the vehicle, and died in the accident. Andy alleged that Hanuse's son was the driver. Hanuse's grandchild sued Andy for her father's wrongful death. Hanuse was unrepresented, unsophisticated, and without understanding of legal matters. Counsel for Wadhams gave Hanuse a consent order which he signed, allowing his son's estate to be added to Wadhams's action as a defendant. The son's estate had a possible limitation defence to Wadhams's action. Hanuse thought the order would get money for his grandchild and thought that the grandchild's lawyer had approved it on behalf of his son's estate. He was mistaken. His son's estate was added to the action. Hanuse failed to file a defence on behalf of the son's estate. Hanuse sought to set aside the consent order, arguing that his consent was not given with full understanding and was a mistake of fact. </w:t>
            </w:r>
            <w:r>
              <w:rPr>
                <w:lang w:val="en-US" w:eastAsia="en-US" w:bidi="ar-SA"/>
              </w:rPr>
              <w:cr/>
            </w:r>
          </w:p>
          <w:p>
            <w:pPr>
              <w:spacing w:before="120" w:line="260" w:lineRule="atLeast"/>
              <w:ind w:left="240"/>
              <w:jc w:val="both"/>
              <w:rPr>
                <w:lang w:val="en-US" w:eastAsia="en-US" w:bidi="ar-SA"/>
              </w:rPr>
            </w:pPr>
            <w:bookmarkStart w:id="9" w:name="Holdings of Court_0"/>
            <w:bookmarkEnd w:id="9"/>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consent order adding the son's estate was set aside. Since Hanuse was self-represented, Wadhams's lawyer failed in his duty to ensure that Hanuse received legal advice as to the implications of his son's estate's limitation defence, and of consenting to his son's estate being added as a defendant. Wadhams, as an adverse party, was not entitled to obtain Hanuse's consent without ensuring that it was given with full information and legal advice. </w:t>
            </w:r>
            <w:r>
              <w:rPr>
                <w:lang w:val="en-US" w:eastAsia="en-US" w:bidi="ar-SA"/>
              </w:rPr>
              <w:cr/>
            </w:r>
          </w:p>
          <w:p>
            <w:pPr>
              <w:rPr>
                <w:lang w:val="en-US" w:eastAsia="en-US" w:bidi="ar-SA"/>
              </w:rPr>
            </w:pPr>
          </w:p>
        </w:tc>
      </w:tr>
    </w:tbl>
    <w:p>
      <w:pPr>
        <w:jc w:val="both"/>
        <w:rPr>
          <w:lang w:val="en-US" w:eastAsia="en-US" w:bidi="ar-SA"/>
        </w:rPr>
      </w:pPr>
      <w:bookmarkStart w:id="10" w:name="Legislation Cited_0"/>
      <w:bookmarkEnd w:id="1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31" style="position:absolute;z-index:2517104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41.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Insurance (Motor Vehicles) Act, </w:t>
      </w:r>
      <w:hyperlink r:id="rId19" w:history="1">
        <w:r>
          <w:rPr>
            <w:rFonts w:ascii="arial" w:eastAsia="arial" w:hAnsi="arial" w:cs="arial"/>
            <w:i/>
            <w:color w:val="0077CC"/>
            <w:sz w:val="20"/>
            <w:u w:val="single"/>
            <w:shd w:val="clear" w:color="auto" w:fill="FFFFFF"/>
            <w:lang w:val="en-US" w:eastAsia="en-US" w:bidi="ar-SA"/>
          </w:rPr>
          <w:t>R.S.B.C. 1996, c. 231, s. 20</w:t>
        </w:r>
      </w:hyperlink>
      <w:r>
        <w:rPr>
          <w:rFonts w:ascii="arial" w:eastAsia="arial" w:hAnsi="arial" w:cs="arial"/>
          <w:color w:val="000000"/>
          <w:sz w:val="20"/>
          <w:lang w:val="en-US" w:eastAsia="en-US" w:bidi="ar-SA"/>
        </w:rPr>
        <w:t>(7).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Limitation Act,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2" style="position:absolute;z-index:2517616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C.M. McClughan, for the plaintiff. M.P. Ragona, Q.C. and T. Jesperson, for the Estate of Herbert Hanuse. R. Hungerford, for the Estate of Chester Andy.</w:t>
      </w:r>
      <w:r>
        <w:rPr>
          <w:lang w:val="en-US" w:eastAsia="en-US" w:bidi="ar-SA"/>
        </w:rPr>
        <w:cr/>
      </w:r>
    </w:p>
    <w:p>
      <w:pPr>
        <w:spacing w:after="240"/>
        <w:rPr>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 w:name="WARREN J."/>
            <w:bookmarkEnd w:id="13"/>
            <w:r>
              <w:rPr>
                <w:rFonts w:ascii="arial" w:eastAsia="arial" w:hAnsi="arial" w:cs="arial"/>
                <w:b/>
                <w:color w:val="000000"/>
                <w:sz w:val="30"/>
                <w:lang w:val="en-US" w:eastAsia="en-US" w:bidi="ar-SA"/>
              </w:rPr>
              <w:t>WARREN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Raymond Wadhams was an occupant in a motor vehicle which was involved in a catastrophic accident in the spring of 1992. Chester Andy, Herbert Hanuse and two young males were also occupants. Herbert Hanuse was killed in the accident. The car had been stolen some time earlier that day and just before the accident it was being hotly pursued by the police. As the driver of the vehicle, Mr. Andy was charged with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and, following a trial in Provincial Court, was found guilty and sentenced to five years in prison. Neither the conviction nor the sentence was appealed.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July 6, 1992, Mr. Wadhams, then represented by other counsel, commenced this action against Mr. Andy. Some years later, in 1996, during Mr. Andy's examination for discovery while he was in custody, he indicated that it may have been Herbert Hanuse who had been the actual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 has been other litigation that flowed from the accident. The plaintiff and his mother sued Chester Andy and one Margarita Obana Bergola on an "in trust" claim, and the son of the deceased Herbert Hanuse commenced an action under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by his guardian ad litem, Vicki Thompson, who was represented by Renee Taylor. Robert Hungerford represented Chester Andy, an uninsured motorist, by operation of section 20(7)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an effort by counsel to simplify the outstanding actions, it was agreed in September 1996 that the "in trust" claim of Leona Wadhams would be included in this action; that Herbert Hanuse would be added as a defendant in this action; and that all matters would be consolidated; but that the defendant Mr. Andy reserved his rights to raise any possible defences and particularly any defence under the Limitation Act,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This agreement was reached after Mr. Hungerford had been served with various applications. It does not appear that Herbert Hanuse, or rather his estate, had been served or notified of this arrangement. No steps were taken to draft a consent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To complicate matters further, Mr. Andy died some years ago from unrelated causes and it is his estate which is now the named defendant in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Family Compensation Act action by Herbert Martine Hanuse Jr., an infant by his guardian ad litem, Vicki Thompson, was dismissed on February 14, 2003 for want of prosecution. Counsel for Ms. Thompson, Renee Taylor, did not appear on that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February 14, 2003, Ms. McClughan, counsel for Mr. Wadhams, wrote to Albert Hanuse, the father of Herbert Hanuse, in the following terms: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confirm that Ms. Renee Taylor advised the writer that you were agreeable to being the legal representative for the estate of your deceased son, Herbert Hanuse. Ms. Taylor also advised the writer that you agreed to Mr. Wadhams adding the estate of Herbert Hanuse as a defendant in this action. We have enclosed a consent order for your signature. Please review same and sign it in the appropriate place provided, and return it to our office in the enclosed self-addressed, stamped envelope.</w:t>
      </w:r>
    </w:p>
    <w:p>
      <w:pPr>
        <w:spacing w:before="120" w:line="260" w:lineRule="atLeast"/>
        <w:ind w:left="720"/>
        <w:rPr>
          <w:lang w:val="en-US" w:eastAsia="en-US" w:bidi="ar-SA"/>
        </w:rPr>
      </w:pPr>
      <w:r>
        <w:rPr>
          <w:rFonts w:ascii="arial" w:eastAsia="arial" w:hAnsi="arial" w:cs="arial"/>
          <w:color w:val="000000"/>
          <w:sz w:val="20"/>
          <w:lang w:val="en-US" w:eastAsia="en-US" w:bidi="ar-SA"/>
        </w:rPr>
        <w:t>We thank you for your assistance in this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consent order was returned by Mr. Hanuse Sr. on March 14, 2003 and on April 21, 2003 was forwarded to Mr. Hungerford by Ms. McClughan. The consent order signed by Ms. McClughan, Mr. Hungerford, Alfred Hanuse, and Greg Cranston on behalf of Leona Wadhams was entered July 24, 2003. It was not spoken to. On July 25, 2003, an amended writ of summons and statement of claim adding the Estate of Herbert Hanuse as a defendant and naming his father Alfred Hanuse as representative was duly filed and later served on Mr. Hanuse Sr. He defaulted in filing an appearance to the action and Ms. McClughan informed counsel for ICBC, M.P. Ragona, Q.C., who, pursuant to section 20(7) of the Insurance (Motor Vehicle) Act, filed an appearance on behalf of the Estate on September 9, 2003. The action was set for trial before a civil jury commencing September 29, but on application on behalf of the plaintiff, I adjourned the trial to a date to be fixed.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the adjournment of the trial, counsel for the Estate of Herbert Hanuse applied to have the consent order set aside and these reasons deal with that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evidence given under oath on September 29, 2003, Mr. Hanuse Sr. advised the Court that he had appointed Renee Taylor to be his lawyer in the action to obtain compensation for his son's death, under the Family Compensation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Hanuse Sr. testified that he believed the consent order which he signed, adding Herbert Hanuse's Estate as a defendant in this action, was related to the Family Compensation Act action. He testified that he did not really understand the paperwork he received from counsel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Taylor testified that she acted for Ms. Thompson and at no time did she act for Mr. Hanuse Sr. She acknowledged receiving a letter dated July 8, 2002 from plaintiff's counsel asking for the name of someone who could represent Herbert Hanuse. She testified that she spoke with Ms. Thompson and then with Mr. Hanuse Sr. However, she declined to act for Mr. Hanuse Sr. because of the conflict of interest with her duties as counsel for the child. She told Mr. Hanuse Sr. that there was peril in his agreeing to represent the Estate and that he should get independent legal advice.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 follow-up letter of July 9, 2002 after a pre-trial conference, plaintiff's counsel wrote to Mr. Hungerford and Ms. Taylor, inter alia, setting out that if she were not able to secure someone willing to represent the Estate of Herbert Hanuse, plaintiff's counsel would apply. On July 22, 2002 plaintiff's counsel wrote to Mr. Hungerford and copied Ms. Taylor, advising that Ms. Taylor consented to the Hanuse action being heard at the same time as the Wadhams action; Ms. Taylor had instructions to consent to Herbert Hanuse being added to the Wadhams action; and "Mr. Alfred Hanuse Senior will represent Herbert Hanuse in the proceeding." In a letter dated August 27, 2002 Ms. McClughhan wrote to Mr. Hungerford advising of difficulty in contacting Ms. Taylor, who was away from her office for much of August, and enclosing a form of consent order. Ms. Taylor is shown as "Counsel for the Estate of Herbert Hanuse". Ms. Taylor testified of conversations with Mr. Hanuse Sr. during 2002 including that he had some documents he was going to sign and her advice that he should get a lawyer to look at them. It was her impression that Mr. Hanuse Sr. had actually signed the documents at the time she told him to speak to a lawyer, as she "thought there was considerable peril, that he should be seeking counsel." In cross-examination, Ms. Taylor said that Mr. Hanuse Sr., although bright, did not have much of an education past Grade 8 or 9. She acknowledged that at no time did she discuss any law with Mr. Hanuse Sr., particularly the provisions of the Limitations Act, although he agreed to represent the Estate.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Ragona's application is for an order that the consent order entered July 24, 2003 purporting to add the Estate of Herbert Hanuse as a defendant be set aside and the Estate of Herbert Hanuse be removed as a party to this action. Mr. Ragona argues that on the evidence, Mr. Hanuse Sr. was only interested in getting money for his grandchild under the Family Compensation Act and clearly, on the evidence of Ms. Taylor, her client was not Mr. Hanuse, but the grandchild. He submits that the order of August 27, 2002 drafted by plaintiff's counsel showing Ms. Taylor as counsel for the Estate of Herbert Hanuse is wrong and all correspondence directed to Ms. Taylor was sent only as a courtesy and wrongly indicating her status as counsel for the Estate of Herbert Hanuse. The evidence of Mr. Hanuse Sr. was that the papers he had signed meant to him only that it had something to do with getting money for his grandson.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Ragona submitted that it is incumbent upon counsel to fully inform an unrepresented litigant of the consequences of consenting to represent the Estate. He submitted that the covering letter from Ms. McClughan to Mr. Hanuse Sr., accompanying the draft form of consent order, made no mention of any consequences that would flow as a result of consenting to represent the Estate or of having the Estate added as a party, and did not recommend that Mr. Hanuse Sr. seek independent legal advice. He further submits that it should have been obvious to counsel for the plaintiff that the consent to be added as a defendant was a mistake, given that there was an apparent and compelling argument supporting a defence under the Limitation Act. Certainly by 1996, when Chester Andy indicated that Herbert Hanuse may in fact had been the driver, some steps could have been and should have been taken at that time to add the Estate as a defendant even though the limitation period had expired two years before. While there was an application launched in 1996 to add Herbert Hanuse, it was not actually dealt with until 2002 and in any event, was well beyond the limitation period. In these circumstances, Mr. Ragona argued that Mr. Hanuse Sr. should have been fully informed.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Ragona argues that the application should not have been dealt with by desk order, and that had the matter gone before a judge or master in Chambers with Mr. Hanuse Sr. unrepresented, it is highly unlikely that an order adding the Estate as a defendant would have been granted. In any event, given these circumstances, Mr. Ragona argues, the application should have been spoken to in open court so that a judge or master could have had an opportunity of explaining to Mr. Hanuse Sr. the consequences of such a consent.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his written submissions, Mr. Ragona said that there are really two arguments to support an order setting aside the consent order: Mr. Hanuse Sr. needed some legal authority to consent to represent the estate of his late son; and, Mr. Hanuse Sr.'s consent was the result of a mistake of fact and entry of the order was an abuse of process. He submits that the Court has the jurisdiction to strike the order out, pursuant to Rule 41 of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No authority was provided for the first part of the argument but in support of the second argument, counsel relied upon the decision in Gray v. Harrison, </w:t>
      </w:r>
      <w:hyperlink r:id="rId21" w:history="1">
        <w:r>
          <w:rPr>
            <w:rFonts w:ascii="arial" w:eastAsia="arial" w:hAnsi="arial" w:cs="arial"/>
            <w:i/>
            <w:color w:val="0077CC"/>
            <w:sz w:val="20"/>
            <w:u w:val="single"/>
            <w:shd w:val="clear" w:color="auto" w:fill="FFFFFF"/>
            <w:lang w:val="en-US" w:eastAsia="en-US" w:bidi="ar-SA"/>
          </w:rPr>
          <w:t>[1978] B.C.J. No. 813</w:t>
        </w:r>
      </w:hyperlink>
      <w:r>
        <w:rPr>
          <w:rFonts w:ascii="arial" w:eastAsia="arial" w:hAnsi="arial" w:cs="arial"/>
          <w:color w:val="000000"/>
          <w:sz w:val="20"/>
          <w:lang w:val="en-US" w:eastAsia="en-US" w:bidi="ar-SA"/>
        </w:rPr>
        <w:t xml:space="preserve"> (S.C.). There, a consent judgment dismissing the action was set aside because the dismissal was made under the mistaken belief that no infant was involved. That application was brought pursuant to Rule 41. Here, counsel submits that the consent of Mr. Hanuse Sr. that the Estate be added was made in ignorance on his part and is analogous to a mistake of the level of significance found in Gray, supra.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Ragona argues that where the Court is satisfied that the consent by a party was to its own prejudice and in ignorance, then the Court may set aside the order if the applicant can show the mistake ought to have been obvious to the other side: Crozier v. Imperial Ventures Ltd. (Receiver of) (1991), 2 C.P.C. (3d) 250, </w:t>
      </w:r>
      <w:hyperlink r:id="rId22" w:history="1">
        <w:r>
          <w:rPr>
            <w:rFonts w:ascii="arial" w:eastAsia="arial" w:hAnsi="arial" w:cs="arial"/>
            <w:i/>
            <w:color w:val="0077CC"/>
            <w:sz w:val="20"/>
            <w:u w:val="single"/>
            <w:shd w:val="clear" w:color="auto" w:fill="FFFFFF"/>
            <w:lang w:val="en-US" w:eastAsia="en-US" w:bidi="ar-SA"/>
          </w:rPr>
          <w:t>[1991] B.C.J. No. 3705</w:t>
        </w:r>
      </w:hyperlink>
      <w:r>
        <w:rPr>
          <w:rFonts w:ascii="arial" w:eastAsia="arial" w:hAnsi="arial" w:cs="arial"/>
          <w:color w:val="000000"/>
          <w:sz w:val="20"/>
          <w:lang w:val="en-US" w:eastAsia="en-US" w:bidi="ar-SA"/>
        </w:rPr>
        <w:t xml:space="preserve"> (S.C.) and Merrell v. Merrell </w:t>
      </w:r>
      <w:hyperlink r:id="rId23" w:history="1">
        <w:r>
          <w:rPr>
            <w:rFonts w:ascii="arial" w:eastAsia="arial" w:hAnsi="arial" w:cs="arial"/>
            <w:i/>
            <w:color w:val="0077CC"/>
            <w:sz w:val="20"/>
            <w:u w:val="single"/>
            <w:shd w:val="clear" w:color="auto" w:fill="FFFFFF"/>
            <w:lang w:val="en-US" w:eastAsia="en-US" w:bidi="ar-SA"/>
          </w:rPr>
          <w:t>(1997), 34 B.C.L.R. (3d) 218</w:t>
        </w:r>
      </w:hyperlink>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[1997] B.C.J. No. 1141</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Further, plaintiff's counsel was aware that the Estate was an uninsured motorist and that the claim would end up being paid by the Insurance Corporation of British Columbia. In these circumstances, ICBC should have been notified of the intention to add the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Ragona also submits that there was an obligation on the part of plaintiff's counsel to get more information so that Mr. Hanuse Sr. could have understood the nature of the proceedings. When plaintiff's counsel sent the draft form of consent order to Mr. Hanuse Sr. there was no explanation of the importance of such an appointment and no suggestion he seek independent legal advice.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Ragona submitted that the evidence of Mr. Hanuse Sr. indicated that he did not understand what was involved in consenting to represent the estate of his 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McClughan in her reply pointed to the affidavit of Shannon Burden of her office deposing that Ms. Taylor had advised on or about July 22, 2002 that Mr. Hanuse Sr. had agreed to represent the Estate and to add the Estate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Taylor's role in these actions appears to have been hampered by a difficulty in obtaining instructions from Vicki Thompson and, although she was copied with the correspondence, there was little in response from her after July 22, 2002. Nevertheless the plaintiff submits that he was entitled to rely upon this information, particularly after Mr. Hanuse Sr. had spoken with Ms. McClughan's office and advised he had a lawyer and would be signing. There was no indication to Ms. McClughan that Mr. Hanuse Sr. did not understand or agree to represent the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McClughan submits that there is no prejudice to Herbert Hanuse or his estate or, for that matter, the Insurance Corporation of British Columbia. Herbert Hanuse is deceased and his estate has had notice of the various actions arising from the accident of March 28, 1992 and has consented to the Estate being added. Further, ICBC consented to the addition of the Estate as a defendant in these proceedings.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During Mr. Hanuse Sr.'s evidence on September 29, 2003 there were a number of contradictory statements and it was apparent to me that he was confused as to the role of Ms. Taylor, her duties and the importance of his participation in the appointment of a representative.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evidence in chief he testified that he received the form of consent order and signed it but he did so without legal advice and did not understand it. He said he did this because he wanted to get money for his grandson. In cross-examination he said Ms. Taylor suggested he become the representative of the Estate and explained to him what that involved. His telephone calls to her went unanswered and Ms. Taylor told him she was "stepping out" of the file. Mr. Hanuse Sr. then dealt directly with the office of plaintiff's counsel and her paralegals and signed the orders and received copies of both the order and the amended statement of claim after the order was entered on July 24,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Wagg v. Canada, </w:t>
      </w:r>
      <w:hyperlink r:id="rId24" w:history="1">
        <w:r>
          <w:rPr>
            <w:rFonts w:ascii="arial" w:eastAsia="arial" w:hAnsi="arial" w:cs="arial"/>
            <w:i/>
            <w:color w:val="0077CC"/>
            <w:sz w:val="20"/>
            <w:u w:val="single"/>
            <w:shd w:val="clear" w:color="auto" w:fill="FFFFFF"/>
            <w:lang w:val="en-US" w:eastAsia="en-US" w:bidi="ar-SA"/>
          </w:rPr>
          <w:t>2003 FCA 303</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[2003] F.C.J. No. 1115</w:t>
        </w:r>
      </w:hyperlink>
      <w:r>
        <w:rPr>
          <w:rFonts w:ascii="arial" w:eastAsia="arial" w:hAnsi="arial" w:cs="arial"/>
          <w:color w:val="000000"/>
          <w:sz w:val="20"/>
          <w:lang w:val="en-US" w:eastAsia="en-US" w:bidi="ar-SA"/>
        </w:rPr>
        <w:t>, the Federal Court of Appeal held at [paragraph] 30-33 that the burden is on the person seeking to set aside a consent order but where the litigant is self-represented, the Court can intervene for the purpose of focussing the proceedings. The judge has an obligation to direct an unrepresented litigant's attention to salient points of law and procedure and ensure the litigant understands the nature of the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July 22, 2002 letter from Ms. McClughan to Mr. Hungerford and Ms. Taylor confirmed advice from Ms. Taylor that "her client" consented to Herbert Hanuse being added as a defendant and that Alfred Hanuse would represent Herbert Hanuse. The recital of the information she received from Ms. Taylor is ambiguous in defining just who Ms. Taylor's client was and I am not much better informed after the testimony of Ms. Taylor and Mr. Hanuse Sr.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Certainly with the lack of active participation by Ms. Taylor during the fall of 2002 and early winter of 2003 and the dismissal of the Family Compensation Act action, it was clear, or should have been clear, that whatever role Ms. Taylor may have played in advising opposing counsel that Mr. Hanuse Sr. agreed to represent the estate of his late son, that role was at an end. In those circumstances, greater care was required in dealing with Mr. Hanuse Sr. in order to ensure that his consent was fully informed.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letter of February 14, 2003 presented Mr. Hanuse Sr. with a reaffirmation that Ms. Taylor had somehow approved of his appointment. It gave him some reassurance that a lawyer had approved his appointment, without advising him to seek more legal advice.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something more was required, particularly in the tangled circumstances of this case and given the very live issue of the limitation defence. While there is evidence that Mr. Hanuse Sr. communicated with Ms. McClughan's office to say that he had received the documents and spoken to a lawyer "who would take care of everything", some serious effort should have been made to ensure that a lawyer had indeed advised Mr. Hanuse Sr. He is an unsophisticated man with no experience in legal matters of this importance. There was a much delayed process of complex litigation with serious legal issues to be argued; interested parties had died; one action had been dismissed for want of prosecution; Mr. Hanuse Sr. was unrepresented and there was no caution contained in the letter of February 14, 2003 that would alert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counsel for the Estate of Herbert Hanuse that the adverse parties are not entitled to take advantage of the consent that was given without full information and legal advice. The consent order is set aside. The Estate of Herbert Hanuse is entitled to its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WARREN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Webber v. Kelowna (City), [2001] B.C.J. No. 434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Drossos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 and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47929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434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746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Edwin Robert Webber, plaintiff, and City of Kelowna and the Solicitor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Labour law — Public service labour relations — Adjudication of grievances by adjudicators or boards — Jurisdiction of adjudicators or boards — Civil action — Circumstances where not available.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city of Kelowna to dismiss Webber's action for wrongful dismissal on the ground that it was within the exclusive jurisdiction of a labour arbitrator. Webber worked as a civilian relief guard with the Royal Canadian Mounted Police. However, his contract of employment was with the city, and was subject to a collective agreement between his union and the city. An inmate where Webber worked accused him of improperly entering the inmate's cell and touching him.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RCMP suspended Webber and the city was wrongly under the impression that he had lost his security clearance. This meant that he did not qualify for certain alternative employment, and led to his termination. In his wrongful dismissal claim against Kelowna and the Solicitor General of Canada, he recited these facts and alleged that Kelowna and the RCMP defamed him. Kelowna argued that, pursuant to the collective agreement and the British Columbia Labour Relations Code, the dispute was within the exclusive jurisdiction of a labour arbitrator.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dismissed. As the circumstances of Webber's dispute arose from his employment under the collective agreement, the dispute fell within the agreement, which provided exclusive jurisdiction to the arbitrator. There was no collateral or residual relationship between Webber and the city. Whatever Webber's claims were against the police, the city was entitled to exercise its rights under the collective agreement. The labour board could provide Webber relief from any delay, and none of the circumstances, including the city's mistaken belief as to Webber's security status, vitiated the application of the collective agreement.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14(6)(c).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Labour Relations Code, R.S.B.C. 1996, c. 44, ss. 48, 49, 84, 85, 89, 92, 95, 99,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Wayne L. Alton, for the plaintiff. Robert W. Grant, for the defendant, City of Kelowna. Clarke Burnett, for the defendant, Solicitor General of Canada.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February 26,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DROSSOS J."/>
            <w:bookmarkEnd w:id="20"/>
            <w:r>
              <w:rPr>
                <w:rFonts w:ascii="arial" w:eastAsia="arial" w:hAnsi="arial" w:cs="arial"/>
                <w:b/>
                <w:color w:val="000000"/>
                <w:sz w:val="30"/>
                <w:lang w:val="en-US" w:eastAsia="en-US" w:bidi="ar-SA"/>
              </w:rPr>
              <w:t>DROSSOS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main claim of the plaintiff, James Webber, in this action against the defendant, City of Kelowna (City), and the defendant, Solicitor General of Canada (R.C.M.P.), is for damages for his wrongful dismissal in breach of his contract of employment with the defendants as a civilian relief guard at the local R.C.M.P. detachment and its jail facilities (detachment), in the City of Kelowna, British Columbia. He also claims for loss of income and benefits and for damages to his reputation and dignity and for humiliation and aggravated damages as a result of the defendants'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City now applies by Notice of Motion to dismiss the plaintiff's claims against the City on the grounds that this Honourable Court has no jurisdiction over the subject matter of the plaintiff's claims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worked as an auxiliary officer from on or about November, 1987, and as a relief guard at the R.C.M.P. detachment from on or about July, 1992, until he was relieved of his duties on January 9, 1998, by the City pursuant to a complaint from the R.C.M.P. of a security breach and an alleged suspension of the plaintiff's reliability security clearance.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should be noted that the plaintiff is not a member or officer of the R.C.M.P. but falls in the category of a civilian relief guard under the direction of the R.C.M.P. when on duty at the Kelowna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Solicitor General of Canada (R.C.M.P.), was at all material times to the claims in these proceedings responsible for the employment of R.C.M.P. officers at the Kelowna detachment as well as elsewhere in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all material times, the plaintiff was a dues paying member of the Canadian Union of Public Employees, Local 338 (CUPE Local 338 or the Union) and employed under the Union's 1995-1996-1997-1998 Collective Agreement with the City of Kelowna. The Agreement contains specific provisions at pages 41 and 42 governing the employment of relief guards such as the plaintiff, which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Page 41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EXCEPTIONS TO NORMAL WORK DAY, NORMAL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WORK WEEK AND OTHER CONDITIONS OF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nature of their work, the hours and days of work and any other special conditions of employment applicable to the employees referred to in this Schedule shall be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Page 42</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Guards and Matrons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None of the provisions of this agreement, including employee categories, other than wage rates, union dues deductions, access to grievance procedure, shift premiums (subject to Article 26.06 - No Pyramiding) and Article 33.02 - payment in lieu of all vacation and fringe benefits shall apply to persons hired as Relief Guards or Matrons. Due to the nature of the scheduling process for Matrons, they shall receive payment for Statutory Holidays in accordance with Article 22.06. Relief Guards and Matron shall mean any person who is not employed full time and who is hired due to prisoner load or to relieve full time staff on their days off and when absent from duty due to sickness, statutory holidays, annual vacation and leave of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effect, the City employs and pays the relief guards under the Collective Agreement and provides them to the R.C.M.P. Kelowna detachment for duties as relief guards. While at the detachment, the relief guards are under the sole control and direction of the R.C.M.P. as to their duties and performance of the same. One of the conditions of employment at the detachment is that a guard have and continue to maintain a reliability security clearance with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What led up to the plaintiff's alleged wrongful dismissal, inter alia, arose out of an alleged incident which occurred at the R.C.M.P. detachment on November 16, 1997. While on duty that day, the plaintiff apparently entered on several occasions a young inmate's cell where exigent circumstances did not then exist and in the absence of the presence of a member of the R.C.M.P. Pursuant thereto, the inmate lodged a complaint of inappropriate touching by the plaintiff. The plaintiff also failed to record and document in the detachment log book his entry into the cell of the inmate and the resulting observations he made. His entering into a cell without the presence of a member of the R.C.M.P. and failure to make a record of such entry was considered by the R.C.M.P. a serious breach of its policy. The inappropriate touching of an inmate was also a serious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criminal investigation into Mr. Webber's actions was commenced, and in addition, an administrative review order was made to determine whether policy had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R.C.M.P. considered the nature of the allegations so serious that Mr. Webber was not called in for work at the Kelowna detachment pending the completion of the investigations. In the meantime, on January 9, 1998, Mr. Ted Gibson, the Police Administration Supervisor for the City of Kelowna, advised Mr. Webber that while the matter was pending, the City could not use his services. The City also requested Mr. Webber to surrender his auxiliary badge and the keys to his gun locker and he was informed, effective 12:00 noon, on January 9, 1998, that he was no longer authorized in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apparently thought from information received from the R.C.M.P. that Mr. Webber's reliability security clearance had been revoked or temporarily suspended, at least, for the Kelowna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was later determined that such was not, in fact, the case and that Mr. Webber's security clearance continues to subsist. However, the City by the affidavit of its Director of Human Resources, Rick Baker, sworn on July 27, 2000, and filed in these proceedings takes the position that the plaintiff's employment as a relief guard by the City from July, 1992, ceased on January 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January 9, 1998, various discussions and negotiations were had over a period of time between the plaintiff and the R.C.M.P. concerning his employment other than as a relief guard or at the Kelowna detachment, but for work at the new operational communications centre of the R.C.M.P. However, because of continuing confusion, misinformation or error amongst the R.C.M.P. officials or members dealing with this matter over the precise status of Mr. Webber's security clearance, he lost what opportunity he had, or was unable, to obtain a position at the communications centre. The City apparently had little, or no participation, in these negotiations and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Webber had some discussions with his union representative, the President, Ms. Mary-Lou Bailey, of CUPE Local 338 about the termination of his employment and a grievance under the Collective Agreement. What transpired is set out in Ms. Bailey's letter of September 11, 2000, to the plaintiff's lawyer,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September 11,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Alton &amp; Associates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Barristers, Solicitors &amp; Notaries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2532 Main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WESTBANK, BC V4T 2E3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ATTN: Wayne Alton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Alton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James Edwin Robert Webber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letter will serve as information regarding the above mentioned individual and his previous employment with the City of Kelowna and is the best of my recollection.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 Webber worked in the capacity of Relief Civilian Guard and was covered under a provision within the Collective Agreement between the City of Kelowna and CUPE Local 338. When I first spoke to James, he advised me that the City had terminated his employment. As I investigated this for him, I was told by his supervisor, Ted Gibson, that the RCMP had temporarily suspended James' security clearance until the RCMP had completed their investigation of allegations against him from an inmate. Until his security clearance was put back into place, James did not meet the minimum qualifications of the Relief Civilian Guard to be able to work in the detachment.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those circumstances (I believe) I advised James that there was no avenue to grieve because the RCMP had revoked/suspended his security clearance not the City and the Collective Agreement was with the City and not the RCMP. As a relief employee, I understood James would not be called in to work any relief shifts until his security clearance was back in place. Therefor, the City hadn't really terminated him at this point and there was no grievance avenue for James because there was no violation of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that a period of time lapsed before I heard anything further from James Webber. As far as I recall, James did call me sometime later and advised that he had another opportunity to work at the RCMP office in a different location. This position was outside the Collective Agreement covering CUPE classifications. I don't recall hearing from James again until recently when he called to have me locate my notes. I was unsuccessful in finding any notes on this matter and have still not found anything.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you can call me at 762-8576.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Mary-Lou Bailey,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Whether or not the advice given by the President, Mary-Lou Bailey, to Mr. Webber was sound is not for this court to decide. However, even though Mr. Webber became aware, at the latest, from the R.C.M.P. "E" division, September 10, 1998, letter by S.R. Cameron, Chief Superintendent Officer in Charge, Human Resources, to the plaintiff's lawyer that the plaintiff's enhancement reliability security clearance was never suspended or revoked and remained past due for update, the plaintiff has not since becoming aware requested his union to grieve this matter under the Collective Agreement. He chose, instead, to commence this action by Writ of Summons filed January 21,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To date, no formal grievance under the Collective Agreement has been filed by the union on behalf of its member, Mr. Webber or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 AND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City of Kelowna now applies by Notice of Motion to determine the issue of whether this Honourable Court has the jurisdiction to hear the matters raised by the plaintiff's Statement of Claim against it or whether such fall within the exclusive jurisdiction of an arbitrator and the arbitration provisions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City accordingly seeks pursuant to Rule 14(6)(c) of the Rules of Court an order dismissing this action against the City on the basis that this Honourable Court has no jurisdiction over the subject matter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Those provisions and sections of the Labour Relations Code, </w:t>
      </w:r>
      <w:hyperlink r:id="rId33" w:history="1">
        <w:r>
          <w:rPr>
            <w:rFonts w:ascii="arial" w:eastAsia="arial" w:hAnsi="arial" w:cs="arial"/>
            <w:i/>
            <w:color w:val="0077CC"/>
            <w:sz w:val="20"/>
            <w:u w:val="single"/>
            <w:shd w:val="clear" w:color="auto" w:fill="FFFFFF"/>
            <w:lang w:val="en-US" w:eastAsia="en-US" w:bidi="ar-SA"/>
          </w:rPr>
          <w:t>R.S.B.C. 1996, c. 44</w:t>
        </w:r>
      </w:hyperlink>
      <w:r>
        <w:rPr>
          <w:rFonts w:ascii="arial" w:eastAsia="arial" w:hAnsi="arial" w:cs="arial"/>
          <w:color w:val="000000"/>
          <w:sz w:val="20"/>
          <w:lang w:val="en-US" w:eastAsia="en-US" w:bidi="ar-SA"/>
        </w:rPr>
        <w:t>, as amended (Labour Code), germane to the issues of the primacy of the Collective Agreement and the exclusive jurisdiction of an arbitrator over issues arising out of a collective agreement read: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 bound by collective agreement - A collective agreement is binding 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trade union that has entered into it or on whose behalf a council of trade unions has entered into it, and every employee of an employer who has entered into it and who is included in or affected by the agreement,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who has entered into it and on whose behalf an employers' organization authorized by that employer has entered into it.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Terms of collective agreement to be carried out - (1) A person bound by a collective agreement, whether entered into before or after the coming into force of this Code, must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everything the person is required to do,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refrain from doing anything the person is required to refrain from doing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the provisions of the collective agreement.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requires or authorizes a person to do anything that conflicts with a requirement of or under this Code.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any conflict between a provision of a collective agreement and a requirement of or under this Code, the requirement of or under this Code prevails.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Dismissal or arbitration provision - (1) Every collective agreement must contain a provision governing dismissal or discipline of an employee bound by the agreement, and that or another provision must require that the employer have a just and reasonable cause for dismissal or discipline of an employee, but this section does not prohibit the parties to a collective agreement from including in it a different provision for employment of certain employees on a probationary basis.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collective agreement must contain a provision for final and conclusive settlement without stoppage of work, by arbitration or another method agreed to by the parties, of all disputes between the persons bound by the agreement respecting its interpretation, application, operation or alleged violation, including a question as to whether a matter is arbitrable.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collective agreement does not contain a provision referred to in subsections (1) and (2), the collective agreement is deemed to contain those of the following provisions it does not contain: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must not dismiss or discipline an employee bound by this agreement except for just and reasonable cause;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difference arises between the parties relating to the dismissal or discipline of an employee, or to the interpretation, application, operation or alleged violation of this agreement, including a question as to whether a matter is arbitrable, either of the parties, without stoppage of work, may, after exhausting any grievance procedure established by this agreement, notify the other party in writing of its desire to submit the difference to arbitration, and the parties must agree on a single arbitrator, the arbitrator must hear and determine the difference and issue a decision, which is final and binding on the parties and any person affected by 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Authority of arbitration board - For the purposes set out in section 82, an arbitration board has the authority necessary to provide a final and conclusive settlement of a dispute arising under a collective agreement, and without limitation, may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 order setting the monetary value of an injury or loss suffered by an employer, trade union or other person as a result of a contravention of a collective agreement, and directing a person to pay a person all or part of the amount of that monetary value,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employer to reinstate an employee dismissed in contravention of a collective agreement,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employer or trade union to rescind and rectify a disciplinary action that was taken in respect of an employee and that was imposed in contravention of a collective agreement,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that a dismissal or discipline is excessive in all circumstances of the case and substitute other measures that appear just and equitable,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relieve, on just and reasonable terms, against breaches of time limits or other procedural requirements set out in the collective agreement,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or reject an application or grievance or refuse to settle a difference, if in the arbitration board's opinion, there has been unreasonable delay by the person bringing the application or grievance or requesting the settlement, and the delay has operated to the prejudice or detriment of the other party to the difference,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 and apply any Act intended to regulate the employment relationship of the persons bound by a collective agreement, even though the Act's provisions conflict with the terms of the collective agreement,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settlement of the dispute and, with the agreement of the parties, the arbitration board may use mediation, conciliation or other procedures at any time during the arbitral proceedings to encourage settlement.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Powers of arbitration board - (1) An arbitration board may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its own procedure,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and accept evidence and information on oath, affidavit or otherwise as in its discretion it considers proper, whether or not the evidence is admissible in a court of law,</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prehearing matters and issue prehearing orders,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enter during regular working hours any land, ship, vessel, vehicle, aircraft or other means of conveyance or transport, factory, workshop or place of any kind where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is or has been done or commenced by employees,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carries on business,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anything is taking place or has taken place concerning a matter referred to the arbitration board under this Code,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may inspect any work, material, appliance, machinery, equipment or thing in it, and interrogate any person in relation to it,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 a person to do anything the arbitration board may do under paragraph (d) and report to the arbitration board in the presence of the parties or their representatives as a witness subject to cross examination by each party.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jurisdiction of an arbitration board to hear and determine a difference does not cease until the matters in dispute have been finally resolved.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decision - The decision of an arbitration board is binding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parties,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collective agreement between a trade union and an employers' organization, on the employers who are bound by the agreement and who are affected by the decision,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collective agreement between a council of trade unions and an employer or an employers' organization, on the council, the constituent trade unions in it and the employer or employers who are covered by the agreement and who are affected by the decision,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employees who are bound by the collective agreement and who are affected by the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they must comply in all respects with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99 sets out the appeal provisions from a decision of an Arbitration Board to the Labour Relations Board and section 100 of the appeal provisions from the Arbitration Board to the Court of Appeal in that the Court of Appeal may review the decision or award an arbitration board if the basis of the decision or award is a matter or issue of the general law not included in section 99(1).</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final - Except as provided in this Part, the decision or award of an arbitration board under this Code is final and conclusive and is not open to question or review in a court on any grounds whatsoever, and proceedings by or before an arbitration board must not be restrained by injunction, prohibition or other process or proceeding in a court and are not removable by certiorari or otherwise into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mandatory requirements set out in section 84(2) of the Code for the inclusion in a collective agreement of a settlement provision for all disputes between persons bound by the agreement is substantively indistinguishable from those similar provisions in the statutory legislation of the Province of Ontario and the Province of New Brunswick which were in issue in Weber v. Ontario Hydro </w:t>
      </w:r>
      <w:hyperlink r:id="rId34" w:history="1">
        <w:r>
          <w:rPr>
            <w:rFonts w:ascii="arial" w:eastAsia="arial" w:hAnsi="arial" w:cs="arial"/>
            <w:i/>
            <w:color w:val="0077CC"/>
            <w:sz w:val="20"/>
            <w:u w:val="single"/>
            <w:shd w:val="clear" w:color="auto" w:fill="FFFFFF"/>
            <w:lang w:val="en-US" w:eastAsia="en-US" w:bidi="ar-SA"/>
          </w:rPr>
          <w:t>(1995), 125 D.L.R. (4th) 583</w:t>
        </w:r>
      </w:hyperlink>
      <w:r>
        <w:rPr>
          <w:rFonts w:ascii="arial" w:eastAsia="arial" w:hAnsi="arial" w:cs="arial"/>
          <w:color w:val="000000"/>
          <w:sz w:val="20"/>
          <w:lang w:val="en-US" w:eastAsia="en-US" w:bidi="ar-SA"/>
        </w:rPr>
        <w:t xml:space="preserve"> (S.C.C.) (Weber) and The Queen in the Right of New Brunswick v. O'Leary </w:t>
      </w:r>
      <w:hyperlink r:id="rId35" w:history="1">
        <w:r>
          <w:rPr>
            <w:rFonts w:ascii="arial" w:eastAsia="arial" w:hAnsi="arial" w:cs="arial"/>
            <w:i/>
            <w:color w:val="0077CC"/>
            <w:sz w:val="20"/>
            <w:u w:val="single"/>
            <w:shd w:val="clear" w:color="auto" w:fill="FFFFFF"/>
            <w:lang w:val="en-US" w:eastAsia="en-US" w:bidi="ar-SA"/>
          </w:rPr>
          <w:t>(1995), 125 D.L.R. (4th) 609</w:t>
        </w:r>
      </w:hyperlink>
      <w:r>
        <w:rPr>
          <w:rFonts w:ascii="arial" w:eastAsia="arial" w:hAnsi="arial" w:cs="arial"/>
          <w:color w:val="000000"/>
          <w:sz w:val="20"/>
          <w:lang w:val="en-US" w:eastAsia="en-US" w:bidi="ar-SA"/>
        </w:rPr>
        <w:t xml:space="preserve"> (S.C.C.) (O'Leary).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Weber the Supreme Court of Canada found that an arbitrator under a collective agreement has exclusive jurisdiction to the exclusion of the courts over all disputes and differences arising, expressly, or inferentially, out of the collective agreement where the essential character of the dispute arises from the interpretation, application, administration or violation of the collective agreement. Further, that an arbitrator's jurisdiction, so long as it arises, in its essential character, from the collective agreement is exclusive and the courts cannot try it. Thus, in Weber the plaintiff employee's allegations of invasion of privacy in tort where the essential character of the dispute on its factual matrix related to and arose from the collective agreement the labour tribunal had the exclusive jurisdiction to resolve it. In O'Leary, the Supreme Court of Canada similarly found that the employer's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its employee were within the arbitrator's exclusive jurisdiction. In both cases, the plaintiff's action was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Also, in Weber, the Supreme Court of Canada found a legal basis for exclusive arbitral jurisdiction in the mandatory arbitration clauses in the relevant labour relations statutes. Subsequent decisions of the courts in British Columbia have followed and applied Weber on finding that the mandatory arbitration provisions in section 84(2) of the Code confer an exclusive jurisdiction on the arbitrator to the exclusion of the courts over a dispute the essential character of which arises from the collective agreement. See Bergman v. CUPE, Local 608, </w:t>
      </w:r>
      <w:hyperlink r:id="rId36" w:history="1">
        <w:r>
          <w:rPr>
            <w:rFonts w:ascii="arial" w:eastAsia="arial" w:hAnsi="arial" w:cs="arial"/>
            <w:i/>
            <w:color w:val="0077CC"/>
            <w:sz w:val="20"/>
            <w:u w:val="single"/>
            <w:shd w:val="clear" w:color="auto" w:fill="FFFFFF"/>
            <w:lang w:val="en-US" w:eastAsia="en-US" w:bidi="ar-SA"/>
          </w:rPr>
          <w:t>[1999] B.C.J. No. 1242</w:t>
        </w:r>
      </w:hyperlink>
      <w:r>
        <w:rPr>
          <w:rFonts w:ascii="arial" w:eastAsia="arial" w:hAnsi="arial" w:cs="arial"/>
          <w:color w:val="000000"/>
          <w:sz w:val="20"/>
          <w:lang w:val="en-US" w:eastAsia="en-US" w:bidi="ar-SA"/>
        </w:rPr>
        <w:t xml:space="preserve"> (S.C.B.C.).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similarly have no difficulty on following Davies, J. in Bergman v. CUPE on holding to the principles expressed in Weber and O'Leary as to the exclusive jurisdiction of an arbitrator to the exclusion of the courts over a labour dispute having its genesis, directly or inferentially, from the collective agreement as based on the Labour Code, in particular section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now turns to consider the grievance provisions of the Collective Agreement under its Article 10: Grievance Procedure commencing at page 4 through to and including page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10.01 covers permission to leave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10.02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 of Grievance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"Grievance" means any difference between the persons bound by this Agreement concerning its interpretation, application, operation, or any alleged violation thereof, including any question as to whether any matter is arbitrable, and shall also mean any difference arising from disciplinary action or relating to employment where it is alleged that the Employer has acted unjustly. ... All grievances shall be finally and conclusively settled in the manner set out in this Article without slowdown or stoppage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10.03 deals with the settling of grievances and sets out the Step 1 procedure, and failing settlement at that stage, then the Step 2 procedure applies of which the fourth, fifth, sixth, and seventh paragraphs at page 5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grievance meeting held between the Parties, both Parties shall present and hear all of the known evidence and facts related to the dispute. Both Parties commit to bringing forward all known evidence and facts of the case and not to withhold any known evidence or facts, in the best interests of resolving the dispute to the benefit of the Parties and the Grievor.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the dispute remain unresolved following this meeting, the Parties shall be restricted to using only that evidence and those facts relied upon at the grievance meetings in any arbitration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either of the Parties become aware of any relevant or pertinent evidence or facts related to the dispute following the grievance meeting, which were unknown to that Party at the time of the grievance meeting, the Party shall be obligated to immediately inform the other Party of the new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provide such information to the other Party prior to any arbitration proceeding into the dispute shall disqualify that Party from relying on such new information at any arbitration proceeding into that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10.04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Employer shall advise the Union of its decision within 5 days following the Step 2 grievance meeting. The Union shall notify the Employer within 15 days after receiving the Employer's Step 2 response if it intends </w:t>
      </w:r>
      <w:r>
        <w:rPr>
          <w:rFonts w:ascii="arial" w:eastAsia="arial" w:hAnsi="arial" w:cs="arial"/>
          <w:color w:val="000000"/>
          <w:sz w:val="20"/>
          <w:u w:val="single"/>
          <w:lang w:val="en-US" w:eastAsia="en-US" w:bidi="ar-SA"/>
        </w:rPr>
        <w:t>to proceed to Arbitration and shall name its nominee to the Arbitration panel</w:t>
      </w:r>
      <w:r>
        <w:rPr>
          <w:rFonts w:ascii="arial" w:eastAsia="arial" w:hAnsi="arial" w:cs="arial"/>
          <w:color w:val="000000"/>
          <w:sz w:val="20"/>
          <w:lang w:val="en-US" w:eastAsia="en-US" w:bidi="ar-SA"/>
        </w:rPr>
        <w:t xml:space="preserve">. In the event that the Union does not notify the Employer that it will </w:t>
      </w:r>
      <w:r>
        <w:rPr>
          <w:rFonts w:ascii="arial" w:eastAsia="arial" w:hAnsi="arial" w:cs="arial"/>
          <w:color w:val="000000"/>
          <w:sz w:val="20"/>
          <w:u w:val="single"/>
          <w:lang w:val="en-US" w:eastAsia="en-US" w:bidi="ar-SA"/>
        </w:rPr>
        <w:t>proceed to Arbitration</w:t>
      </w:r>
      <w:r>
        <w:rPr>
          <w:rFonts w:ascii="arial" w:eastAsia="arial" w:hAnsi="arial" w:cs="arial"/>
          <w:color w:val="000000"/>
          <w:sz w:val="20"/>
          <w:lang w:val="en-US" w:eastAsia="en-US" w:bidi="ar-SA"/>
        </w:rPr>
        <w:t xml:space="preserve"> within the prescribed 15 day time limit, the Grievance shall be deemed to be abandoned and all rights to the Grievance Procedure at an end.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(underlining mine for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Articles 10.05, 10.06, 10.07, and 10.08 in chronological order deal with Policy Grievances; Grievances on Safety; Replies in Writing; and Employee May Discuss His/Her Own Personal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10.09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Employer Grievance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Employer may submit a grievance in writing to the Union, upon receipt of which the Union, through one or more of its Officers or the Grievance Committee, shall meet with the Municipal Administrator or person holding an equivalent position, or his authorized representative, with a view to bringing about a settlement. If a satisfactory settlement is not reached within seven (7) days after the Employer submitted the grievance in writing to the Union, </w:t>
      </w:r>
      <w:r>
        <w:rPr>
          <w:rFonts w:ascii="arial" w:eastAsia="arial" w:hAnsi="arial" w:cs="arial"/>
          <w:color w:val="000000"/>
          <w:sz w:val="20"/>
          <w:u w:val="single"/>
          <w:lang w:val="en-US" w:eastAsia="en-US" w:bidi="ar-SA"/>
        </w:rPr>
        <w:t>the Employer may refer the grievance to a Board of Arbitration as set out in Article 11</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(underlining mine for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apparent from the terms of the Article 10, Grievance Procedure, above quoted, in particular those paragraphs, where underlined in part, of 10.03, 10.04, and 10.09 that the references to arbitration proceedings, "proceed to Arbitration and shall name its nominee to the Arbitration panel", and that "the Employer may refer the grievance to a Board of Arbitration as set out in Article 11," that Article 10 contemplates that the arbitration provisions of the Collective Agreement are available to the grievance process and apply. Accordingly, if the grievance procedure applies to relief guards as it clearly does by the provisions of Schedule "B", paragraph 6, Relief Guards and Matrons, of the Collective Agreement (supra page 4) that relief guards have "access to grievance procedure" then it follows that the guards have the benefit of the arbitration provisions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Article 11: Arbitration; 11.01 Board of Arbitration, (a), (b), and (c) set out the procedure for selecting the arbitration board and the time parameters of when it shall hear the grievance and deliver its written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11.02, 11.03, and 11.04 deal with, in order, amending of time limits, witnesses, and use of a single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Article 12: Discharge, Suspension and Discipline reads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Warnings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Whenever the Employer deems it necessary to censure an employee in a manner indicating that dismissal may follow any repetition of the act complained of or omission referred to, or may follow if such employee fails to bring his work up to a required standard by a given date, the Employer shall within five (5) days thereafter give written particulars of such censure to the employee involved, with a copy thereof to the Secretary of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Discharge or Suspension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Discharge or suspension of an employee shall be for proper cause. Proper cause shall not include the refusal of an employee to cross a picket line maintained at the premises of the Employer by other employees of the Employer who are engaged in a legal strike.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When an employee is discharged or suspended, he shall be given the reasons, in writing, within 24 hours of such suspension 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claim by an employee that he has been discharged or suspended for other than proper cause shall be treated as a special grievance and shall be submitted at Step 2 of Article 10.03.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12.04</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Should it be found upon investigation that an employee has been suspended or discharged for other than proper cause, such employee shall be immediately reinstated in his former position, without loss of seniority, and shall be compensated for all time lost in an amount equal to his normal earnings during the pay period next preceding such discharge or suspension, or by any other arrangement as to compensation which is just and equitable in the opinion of the parties or in the opinion of a Board of Arbitration, if the matter is referred to such a Board.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Employer agrees that all employees will have access to their personnel file and may review same in the presence of the Director of Human Resources, or his designate. To obtain access to his/her personnel file, the said employee will forward the appropriate request in writing to the Director of Human Resources who will deal with the said request within a reasonable time. Any employee may respond in writing to any report on their personnel file and such response will become a part of the file.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definition given to "grievance" in the parties' Collective Agreement under Article 10.02 (supra 18) which includes "... any difference arising from disciplinary action or relating to employment where it is alleged that the Employer has acted unjustly" is broad and inclusive. It is very similar to the collective agreement language at issue in Weber, supra, where the court at pages 607-8 characterized it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provisions in the agreement are broad and expressly purport to regulate the conduct at the heart of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Weber the court gives the following guidance on determining whether a matter falls under an arbitrator's exclusive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Underlying both the Court of Appeal and Supreme Court of Canada decisions in St. Anne-Nackawic is the insistence that the analysis of whether a matter falls within the exclusive arbitration clause must proceed on the basis of the facts surrounding the dispute between the parties, not on the basis of the legal issues which may be framed. The issue is not whether the action, defined legally, is independent of the collective agreement, but rather whether the dispute is one "arising under [the] collective agreement". Where the dispute, regardless of how it may be characterized legally, arises under the collective agreement, then the jurisdiction to resolve it lies exclusively with the labour tribunal, and the courts cannot try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courts and arbitrators on subsequently interpreting and applying the approach adopted in Weber respect with judicial deference the particular labour relations scheme and arbitration process in place, and in so doing, have broadly interpreted "disputes arising under the collective agreement" with consequent denial of jurisdiction to the courts. See Mendoza v. St. Michael's Centre Hospital Society, </w:t>
      </w:r>
      <w:hyperlink r:id="rId37" w:history="1">
        <w:r>
          <w:rPr>
            <w:rFonts w:ascii="arial" w:eastAsia="arial" w:hAnsi="arial" w:cs="arial"/>
            <w:i/>
            <w:color w:val="0077CC"/>
            <w:sz w:val="20"/>
            <w:u w:val="single"/>
            <w:shd w:val="clear" w:color="auto" w:fill="FFFFFF"/>
            <w:lang w:val="en-US" w:eastAsia="en-US" w:bidi="ar-SA"/>
          </w:rPr>
          <w:t>[1998] B.C.J. No. 914</w:t>
        </w:r>
      </w:hyperlink>
      <w:r>
        <w:rPr>
          <w:rFonts w:ascii="arial" w:eastAsia="arial" w:hAnsi="arial" w:cs="arial"/>
          <w:color w:val="000000"/>
          <w:sz w:val="20"/>
          <w:lang w:val="en-US" w:eastAsia="en-US" w:bidi="ar-SA"/>
        </w:rPr>
        <w:t xml:space="preserve"> (April 20, 1998) Doc. Vancouver C955054, Tysoe, J. (B.C.S.C.) at paragraph 34 and Giorno v. Pappas, </w:t>
      </w:r>
      <w:hyperlink r:id="rId38" w:history="1">
        <w:r>
          <w:rPr>
            <w:rFonts w:ascii="arial" w:eastAsia="arial" w:hAnsi="arial" w:cs="arial"/>
            <w:i/>
            <w:color w:val="0077CC"/>
            <w:sz w:val="20"/>
            <w:u w:val="single"/>
            <w:shd w:val="clear" w:color="auto" w:fill="FFFFFF"/>
            <w:lang w:val="en-US" w:eastAsia="en-US" w:bidi="ar-SA"/>
          </w:rPr>
          <w:t>[1999] O.J. No. 168</w:t>
        </w:r>
      </w:hyperlink>
      <w:r>
        <w:rPr>
          <w:rFonts w:ascii="arial" w:eastAsia="arial" w:hAnsi="arial" w:cs="arial"/>
          <w:color w:val="000000"/>
          <w:sz w:val="20"/>
          <w:lang w:val="en-US" w:eastAsia="en-US" w:bidi="ar-SA"/>
        </w:rPr>
        <w:t xml:space="preserve"> (Ont. C.A.) at paragraphs 16-17.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any breach of the Collective Agreement would clearly be a matter arising under the Collective Agreement and thus within the arbitrator's exclusive jurisdiction. It would perforce include a constructive or wrongful dismissal of an employee, which are matters at the very core of an arbitrator's exclusive jurisdiction pursuant to section 84 of the Labour Relations Code (supra page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Weber, supra, the Supreme Court of Canada on dealing with three different views then prevailing on the effect of final and binding arbitration clauses in labour legislation, rejected at pages 598-600 the concurrent model of the law which contemplated concurrent regimes of arbitration and court actions finding its expression in the proposition that "no collective agreement can deprive a Court of its jurisdiction in tort": Frank v. Kennebuck (Gault) Ltd. </w:t>
      </w:r>
      <w:hyperlink r:id="rId39" w:history="1">
        <w:r>
          <w:rPr>
            <w:rFonts w:ascii="arial" w:eastAsia="arial" w:hAnsi="arial" w:cs="arial"/>
            <w:i/>
            <w:color w:val="0077CC"/>
            <w:sz w:val="20"/>
            <w:u w:val="single"/>
            <w:shd w:val="clear" w:color="auto" w:fill="FFFFFF"/>
            <w:lang w:val="en-US" w:eastAsia="en-US" w:bidi="ar-SA"/>
          </w:rPr>
          <w:t>(1985), 7 C.C.E.L. 85</w:t>
        </w:r>
      </w:hyperlink>
      <w:r>
        <w:rPr>
          <w:rFonts w:ascii="arial" w:eastAsia="arial" w:hAnsi="arial" w:cs="arial"/>
          <w:color w:val="000000"/>
          <w:sz w:val="20"/>
          <w:lang w:val="en-US" w:eastAsia="en-US" w:bidi="ar-SA"/>
        </w:rPr>
        <w:t xml:space="preserve"> (Ont. H.C.J.) at page 90. It also rejected at page 601 the model of overlapping jurisdiction and found in favour of the exclusive jurisdiction model where the court accepted that if the difference between the parties arises from the collective agreement, the claimant must proceed by arbitration and the courts have no power to entertain an action in respect to that dispute, in effect, there is no overlapping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went on to say at page 602, reading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approach, the task of the judge or arbitrator determining the appropriate forum for the proceedings centres on whether the dispute or difference between the parties arises out of the collective agreement. Two elements must be considered: the dispute and the ambit of the collective agreement.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the nature of the dispute and the ambit of the collective agreement will vary from case to case, it is impossible to categorize the classes of case that will fall within the exclusive jurisdiction of the arbitrator. However, a review of decisions over the past few years reveals the following claims among those over which the courts have been found to lack jurisdiction: wrongful dismissal; bad faith on the part of the union; conspiracy and constructive dismissal; and damage to reputation (Bartello v. Canada Post Corp. </w:t>
      </w:r>
      <w:hyperlink r:id="rId40" w:history="1">
        <w:r>
          <w:rPr>
            <w:rFonts w:ascii="arial" w:eastAsia="arial" w:hAnsi="arial" w:cs="arial"/>
            <w:i/>
            <w:color w:val="0077CC"/>
            <w:sz w:val="20"/>
            <w:u w:val="single"/>
            <w:shd w:val="clear" w:color="auto" w:fill="FFFFFF"/>
            <w:lang w:val="en-US" w:eastAsia="en-US" w:bidi="ar-SA"/>
          </w:rPr>
          <w:t>(1987), 46 D.L.R. (4th) 129</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18 C.C.E.L. 26</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35 C.R.R. 132</w:t>
        </w:r>
      </w:hyperlink>
      <w:r>
        <w:rPr>
          <w:rFonts w:ascii="arial" w:eastAsia="arial" w:hAnsi="arial" w:cs="arial"/>
          <w:color w:val="000000"/>
          <w:sz w:val="20"/>
          <w:lang w:val="en-US" w:eastAsia="en-US" w:bidi="ar-SA"/>
        </w:rPr>
        <w:t xml:space="preserve"> (Ont. H.C.J.); Bourne v. Otis Elevator Co. </w:t>
      </w:r>
      <w:hyperlink r:id="rId41" w:history="1">
        <w:r>
          <w:rPr>
            <w:rFonts w:ascii="arial" w:eastAsia="arial" w:hAnsi="arial" w:cs="arial"/>
            <w:i/>
            <w:color w:val="0077CC"/>
            <w:sz w:val="20"/>
            <w:u w:val="single"/>
            <w:shd w:val="clear" w:color="auto" w:fill="FFFFFF"/>
            <w:lang w:val="en-US" w:eastAsia="en-US" w:bidi="ar-SA"/>
          </w:rPr>
          <w:t>(1984), 6 D.L.R. (4th) 560</w:t>
        </w:r>
      </w:hyperlink>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4 C.C.E.L. 1</w:t>
        </w:r>
      </w:hyperlink>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45 O.R. (2d) 321</w:t>
        </w:r>
      </w:hyperlink>
      <w:r>
        <w:rPr>
          <w:rFonts w:ascii="arial" w:eastAsia="arial" w:hAnsi="arial" w:cs="arial"/>
          <w:color w:val="000000"/>
          <w:sz w:val="20"/>
          <w:lang w:val="en-US" w:eastAsia="en-US" w:bidi="ar-SA"/>
        </w:rPr>
        <w:t xml:space="preserve"> (H.C.J.); Butt v. U.S.W.A., Local 5795 </w:t>
      </w:r>
      <w:hyperlink r:id="rId42" w:history="1">
        <w:r>
          <w:rPr>
            <w:rFonts w:ascii="arial" w:eastAsia="arial" w:hAnsi="arial" w:cs="arial"/>
            <w:i/>
            <w:color w:val="0077CC"/>
            <w:sz w:val="20"/>
            <w:u w:val="single"/>
            <w:shd w:val="clear" w:color="auto" w:fill="FFFFFF"/>
            <w:lang w:val="en-US" w:eastAsia="en-US" w:bidi="ar-SA"/>
          </w:rPr>
          <w:t>(1993), 106 Nfld. &amp; P.E.I.R. 181</w:t>
        </w:r>
      </w:hyperlink>
      <w:r>
        <w:rPr>
          <w:rFonts w:ascii="arial" w:eastAsia="arial" w:hAnsi="arial" w:cs="arial"/>
          <w:color w:val="000000"/>
          <w:sz w:val="20"/>
          <w:lang w:val="en-US" w:eastAsia="en-US" w:bidi="ar-SA"/>
        </w:rPr>
        <w:t xml:space="preserve">, 41 A.C.W.S. (3d) (80) (Nfld. S.C.); Forster v. Canadian Airlines International Ltd. </w:t>
      </w:r>
      <w:hyperlink r:id="rId43" w:history="1">
        <w:r>
          <w:rPr>
            <w:rFonts w:ascii="arial" w:eastAsia="arial" w:hAnsi="arial" w:cs="arial"/>
            <w:i/>
            <w:color w:val="0077CC"/>
            <w:sz w:val="20"/>
            <w:u w:val="single"/>
            <w:shd w:val="clear" w:color="auto" w:fill="FFFFFF"/>
            <w:lang w:val="en-US" w:eastAsia="en-US" w:bidi="ar-SA"/>
          </w:rPr>
          <w:t>(1993), 109 D.L.R. (4th) 731</w:t>
        </w:r>
      </w:hyperlink>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3 C.C.E.L. (2d) 272</w:t>
        </w:r>
      </w:hyperlink>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44 A.C.W.S. (3d) 278</w:t>
        </w:r>
      </w:hyperlink>
      <w:r>
        <w:rPr>
          <w:rFonts w:ascii="arial" w:eastAsia="arial" w:hAnsi="arial" w:cs="arial"/>
          <w:color w:val="000000"/>
          <w:sz w:val="20"/>
          <w:lang w:val="en-US" w:eastAsia="en-US" w:bidi="ar-SA"/>
        </w:rPr>
        <w:t xml:space="preserve"> (B.C.S.C.); Foisy v. Bell Canada </w:t>
      </w:r>
      <w:hyperlink r:id="rId44" w:history="1">
        <w:r>
          <w:rPr>
            <w:rFonts w:ascii="arial" w:eastAsia="arial" w:hAnsi="arial" w:cs="arial"/>
            <w:i/>
            <w:color w:val="0077CC"/>
            <w:sz w:val="20"/>
            <w:u w:val="single"/>
            <w:shd w:val="clear" w:color="auto" w:fill="FFFFFF"/>
            <w:lang w:val="en-US" w:eastAsia="en-US" w:bidi="ar-SA"/>
          </w:rPr>
          <w:t>(1989), 12 C.H.R.R. D/153</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26 C.C.E.L. 234</w:t>
        </w:r>
      </w:hyperlink>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[1989] R.J.Q. 521</w:t>
        </w:r>
      </w:hyperlink>
      <w:r>
        <w:rPr>
          <w:rFonts w:ascii="arial" w:eastAsia="arial" w:hAnsi="arial" w:cs="arial"/>
          <w:color w:val="000000"/>
          <w:sz w:val="20"/>
          <w:lang w:val="en-US" w:eastAsia="en-US" w:bidi="ar-SA"/>
        </w:rPr>
        <w:t xml:space="preserve"> (C.A.); Ndungidi v. Centre Hospitalier Douglas, </w:t>
      </w:r>
      <w:hyperlink r:id="rId45" w:history="1">
        <w:r>
          <w:rPr>
            <w:rFonts w:ascii="arial" w:eastAsia="arial" w:hAnsi="arial" w:cs="arial"/>
            <w:i/>
            <w:color w:val="0077CC"/>
            <w:sz w:val="20"/>
            <w:u w:val="single"/>
            <w:shd w:val="clear" w:color="auto" w:fill="FFFFFF"/>
            <w:lang w:val="en-US" w:eastAsia="en-US" w:bidi="ar-SA"/>
          </w:rPr>
          <w:t>[1993] R.J.Q. 536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three of the justices in Weber dissented in part, it related to a Charter issue and not to those portions of Weber that I have quoted or referred to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courts have consistently held post Weber that where the factual matrix in which the dispute arises is one of an employer and employee relationship under a collective agreement, the jurisdiction of the arbitrator is exclusive and the courts reject any residual or concurrent judicial jurisdiction in this area. However, it leaves open that not all actions in the courts between employer and employee are precluded where a dispute falls outside the collective agreement and Code or where the courts possess a residual jurisdiction based on their special powers (see Weber, page 603).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where the facts of the dispute so warrant as falling within the collective agreement, the courts have rejected jurisdiction to hear claims of:</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Mental distress caused to a plaintiff employee because of a breach of the plaintiff's employment contract which fell within the ambit of the collective agreement. The notion that employees in unionized situations are parties to individual or individually enforceable contracts of employment with their employers was rejected.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distinction between constructive dismissal or wrongful dismissal or other forms of dismissal is untenable where the plaintiff is a member of a bargaining unit covered by a collective agreement.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that deprived an employee of his/her employment arising out of an employment relationship governed by a collective agreement.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provided the alleged defamatory words relate to or arise from the employment relationship governed by the collective agreement, but otherwise, if made outside of the relationship, i.e. outside of the course of the employee's employment about personal characteristics defamatory of the employee unrelated to his or her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Weber, supra; McCartney v. Canada Post Corp., </w:t>
      </w:r>
      <w:hyperlink r:id="rId46" w:history="1">
        <w:r>
          <w:rPr>
            <w:rFonts w:ascii="arial" w:eastAsia="arial" w:hAnsi="arial" w:cs="arial"/>
            <w:i/>
            <w:color w:val="0077CC"/>
            <w:sz w:val="20"/>
            <w:u w:val="single"/>
            <w:shd w:val="clear" w:color="auto" w:fill="FFFFFF"/>
            <w:lang w:val="en-US" w:eastAsia="en-US" w:bidi="ar-SA"/>
          </w:rPr>
          <w:t>[1997] B.C.J. No. 1078</w:t>
        </w:r>
      </w:hyperlink>
      <w:r>
        <w:rPr>
          <w:rFonts w:ascii="arial" w:eastAsia="arial" w:hAnsi="arial" w:cs="arial"/>
          <w:color w:val="000000"/>
          <w:sz w:val="20"/>
          <w:lang w:val="en-US" w:eastAsia="en-US" w:bidi="ar-SA"/>
        </w:rPr>
        <w:t xml:space="preserve"> (B.C.S.C.); Hall v. Yukon, </w:t>
      </w:r>
      <w:hyperlink r:id="rId47" w:history="1">
        <w:r>
          <w:rPr>
            <w:rFonts w:ascii="arial" w:eastAsia="arial" w:hAnsi="arial" w:cs="arial"/>
            <w:i/>
            <w:color w:val="0077CC"/>
            <w:sz w:val="20"/>
            <w:u w:val="single"/>
            <w:shd w:val="clear" w:color="auto" w:fill="FFFFFF"/>
            <w:lang w:val="en-US" w:eastAsia="en-US" w:bidi="ar-SA"/>
          </w:rPr>
          <w:t>[1997] Y.J. No. 109</w:t>
        </w:r>
      </w:hyperlink>
      <w:r>
        <w:rPr>
          <w:rFonts w:ascii="arial" w:eastAsia="arial" w:hAnsi="arial" w:cs="arial"/>
          <w:color w:val="000000"/>
          <w:sz w:val="20"/>
          <w:lang w:val="en-US" w:eastAsia="en-US" w:bidi="ar-SA"/>
        </w:rPr>
        <w:t xml:space="preserve"> (Y.T.S.C.); Mendoza v. St. Michael's Centre Hospital Society, supra; Vaneri v. Baskam </w:t>
      </w:r>
      <w:hyperlink r:id="rId48" w:history="1">
        <w:r>
          <w:rPr>
            <w:rFonts w:ascii="arial" w:eastAsia="arial" w:hAnsi="arial" w:cs="arial"/>
            <w:i/>
            <w:color w:val="0077CC"/>
            <w:sz w:val="20"/>
            <w:u w:val="single"/>
            <w:shd w:val="clear" w:color="auto" w:fill="FFFFFF"/>
            <w:lang w:val="en-US" w:eastAsia="en-US" w:bidi="ar-SA"/>
          </w:rPr>
          <w:t>(1996), 28 O.R. (3d) 281</w:t>
        </w:r>
      </w:hyperlink>
      <w:r>
        <w:rPr>
          <w:rFonts w:ascii="arial" w:eastAsia="arial" w:hAnsi="arial" w:cs="arial"/>
          <w:color w:val="000000"/>
          <w:sz w:val="20"/>
          <w:lang w:val="en-US" w:eastAsia="en-US" w:bidi="ar-SA"/>
        </w:rPr>
        <w:t xml:space="preserve"> (Ont. Gen. Div.); Ram v. Prasad </w:t>
      </w:r>
      <w:hyperlink r:id="rId49" w:history="1">
        <w:r>
          <w:rPr>
            <w:rFonts w:ascii="arial" w:eastAsia="arial" w:hAnsi="arial" w:cs="arial"/>
            <w:i/>
            <w:color w:val="0077CC"/>
            <w:sz w:val="20"/>
            <w:u w:val="single"/>
            <w:shd w:val="clear" w:color="auto" w:fill="FFFFFF"/>
            <w:lang w:val="en-US" w:eastAsia="en-US" w:bidi="ar-SA"/>
          </w:rPr>
          <w:t>(1996), 27 B.C.L.R. (3d) 300</w:t>
        </w:r>
      </w:hyperlink>
      <w:r>
        <w:rPr>
          <w:rFonts w:ascii="arial" w:eastAsia="arial" w:hAnsi="arial" w:cs="arial"/>
          <w:color w:val="000000"/>
          <w:sz w:val="20"/>
          <w:lang w:val="en-US" w:eastAsia="en-US" w:bidi="ar-SA"/>
        </w:rPr>
        <w:t xml:space="preserve"> (B.C.S.C.); Quinn v. Morrison, </w:t>
      </w:r>
      <w:hyperlink r:id="rId50" w:history="1">
        <w:r>
          <w:rPr>
            <w:rFonts w:ascii="arial" w:eastAsia="arial" w:hAnsi="arial" w:cs="arial"/>
            <w:i/>
            <w:color w:val="0077CC"/>
            <w:sz w:val="20"/>
            <w:u w:val="single"/>
            <w:shd w:val="clear" w:color="auto" w:fill="FFFFFF"/>
            <w:lang w:val="en-US" w:eastAsia="en-US" w:bidi="ar-SA"/>
          </w:rPr>
          <w:t>[1997] O.J. No. 2898</w:t>
        </w:r>
      </w:hyperlink>
      <w:r>
        <w:rPr>
          <w:rFonts w:ascii="arial" w:eastAsia="arial" w:hAnsi="arial" w:cs="arial"/>
          <w:color w:val="000000"/>
          <w:sz w:val="20"/>
          <w:lang w:val="en-US" w:eastAsia="en-US" w:bidi="ar-SA"/>
        </w:rPr>
        <w:t xml:space="preserve"> (Ont. Gen. Div.), appeal dismissed </w:t>
      </w:r>
      <w:hyperlink r:id="rId51" w:history="1">
        <w:r>
          <w:rPr>
            <w:rFonts w:ascii="arial" w:eastAsia="arial" w:hAnsi="arial" w:cs="arial"/>
            <w:i/>
            <w:color w:val="0077CC"/>
            <w:sz w:val="20"/>
            <w:u w:val="single"/>
            <w:shd w:val="clear" w:color="auto" w:fill="FFFFFF"/>
            <w:lang w:val="en-US" w:eastAsia="en-US" w:bidi="ar-SA"/>
          </w:rPr>
          <w:t>[1998] O.J. No. 1011</w:t>
        </w:r>
      </w:hyperlink>
      <w:r>
        <w:rPr>
          <w:rFonts w:ascii="arial" w:eastAsia="arial" w:hAnsi="arial" w:cs="arial"/>
          <w:color w:val="000000"/>
          <w:sz w:val="20"/>
          <w:lang w:val="en-US" w:eastAsia="en-US" w:bidi="ar-SA"/>
        </w:rPr>
        <w:t xml:space="preserve">; Bergman v. CUPE, Local 608, </w:t>
      </w:r>
      <w:hyperlink r:id="rId36" w:history="1">
        <w:r>
          <w:rPr>
            <w:rFonts w:ascii="arial" w:eastAsia="arial" w:hAnsi="arial" w:cs="arial"/>
            <w:i/>
            <w:color w:val="0077CC"/>
            <w:sz w:val="20"/>
            <w:u w:val="single"/>
            <w:shd w:val="clear" w:color="auto" w:fill="FFFFFF"/>
            <w:lang w:val="en-US" w:eastAsia="en-US" w:bidi="ar-SA"/>
          </w:rPr>
          <w:t>[1999] B.C.J. No. 1242</w:t>
        </w:r>
      </w:hyperlink>
      <w:r>
        <w:rPr>
          <w:rFonts w:ascii="arial" w:eastAsia="arial" w:hAnsi="arial" w:cs="arial"/>
          <w:color w:val="000000"/>
          <w:sz w:val="20"/>
          <w:lang w:val="en-US" w:eastAsia="en-US" w:bidi="ar-SA"/>
        </w:rPr>
        <w:t xml:space="preserve">; Rusketta v. Graham, [1997] 39 O.J. No. 2786 (Ont. Gen. Div.), appeal dismiss </w:t>
      </w:r>
      <w:hyperlink r:id="rId52" w:history="1">
        <w:r>
          <w:rPr>
            <w:rFonts w:ascii="arial" w:eastAsia="arial" w:hAnsi="arial" w:cs="arial"/>
            <w:i/>
            <w:color w:val="0077CC"/>
            <w:sz w:val="20"/>
            <w:u w:val="single"/>
            <w:shd w:val="clear" w:color="auto" w:fill="FFFFFF"/>
            <w:lang w:val="en-US" w:eastAsia="en-US" w:bidi="ar-SA"/>
          </w:rPr>
          <w:t>[1998] O.J. No. 1198</w:t>
        </w:r>
      </w:hyperlink>
      <w:r>
        <w:rPr>
          <w:rFonts w:ascii="arial" w:eastAsia="arial" w:hAnsi="arial" w:cs="arial"/>
          <w:color w:val="000000"/>
          <w:sz w:val="20"/>
          <w:lang w:val="en-US" w:eastAsia="en-US" w:bidi="ar-SA"/>
        </w:rPr>
        <w:t xml:space="preserve"> (Ont. C.A.); Hanover Nursing Home Limited v. London and District Services Workers Union, Local 220, </w:t>
      </w:r>
      <w:hyperlink r:id="rId53" w:history="1">
        <w:r>
          <w:rPr>
            <w:rFonts w:ascii="arial" w:eastAsia="arial" w:hAnsi="arial" w:cs="arial"/>
            <w:i/>
            <w:color w:val="0077CC"/>
            <w:sz w:val="20"/>
            <w:u w:val="single"/>
            <w:shd w:val="clear" w:color="auto" w:fill="FFFFFF"/>
            <w:lang w:val="en-US" w:eastAsia="en-US" w:bidi="ar-SA"/>
          </w:rPr>
          <w:t>[1999] O.J. No. 666</w:t>
        </w:r>
      </w:hyperlink>
      <w:r>
        <w:rPr>
          <w:rFonts w:ascii="arial" w:eastAsia="arial" w:hAnsi="arial" w:cs="arial"/>
          <w:color w:val="000000"/>
          <w:sz w:val="20"/>
          <w:lang w:val="en-US" w:eastAsia="en-US" w:bidi="ar-SA"/>
        </w:rPr>
        <w:t xml:space="preserve"> (Ont. Gen. Div.); and Fording Co. Limited v. United Steelworkers of America, Local 7884, </w:t>
      </w:r>
      <w:hyperlink r:id="rId54" w:history="1">
        <w:r>
          <w:rPr>
            <w:rFonts w:ascii="arial" w:eastAsia="arial" w:hAnsi="arial" w:cs="arial"/>
            <w:i/>
            <w:color w:val="0077CC"/>
            <w:sz w:val="20"/>
            <w:u w:val="single"/>
            <w:shd w:val="clear" w:color="auto" w:fill="FFFFFF"/>
            <w:lang w:val="en-US" w:eastAsia="en-US" w:bidi="ar-SA"/>
          </w:rPr>
          <w:t>[1999] B.C.J. No. 111</w:t>
        </w:r>
      </w:hyperlink>
      <w:r>
        <w:rPr>
          <w:rFonts w:ascii="arial" w:eastAsia="arial" w:hAnsi="arial" w:cs="arial"/>
          <w:color w:val="000000"/>
          <w:sz w:val="20"/>
          <w:lang w:val="en-US" w:eastAsia="en-US" w:bidi="ar-SA"/>
        </w:rPr>
        <w:t xml:space="preserve"> (January 26, 1999) Doc. Vancouver CA024051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the plaintiff submits that the plaintiff is only bound by the four specific provisions of: (1) union dues deductions; (2) access to grievance procedure; (3) shift premiums; and (4) payment in lieu of all vacation and fringe benefits, contained in paragraph 6 of Schedule "B" of the Collective Agreement, (supra page 4). As these provisions, which are the only ones that apply to the plaintiff and he must adhere to, are not in dispute, and in any event, are irrelevant in this case which is about the plaintiff's unfair treatment, wrongful dismissal and defamation to his character, it falls outside the Collective Agreement and the Labour Code. The court therefor has jurisdiction to hear the dispute between the plaintiff and the City. The plaintiff's position on the facts and circumstances of this case is that such are unusual, if not unique, and distinguishable from all the cases cited by counsel for the City of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 absent the protection and benefit of the entire Collective Agreement and the applicable binding four specific provisions not being relevant to or bearing on the issues in dispute with the City, the court should not put the plaintiff into a forum of grievance or arbitration. It would not be a fair and equal legal forum for the plaintiff as it could only deal with the specific provisions of the Collective Agreement which are not in dispute in this case. The plaintiff therefor asks the court to exercise its discretion to direct this matter to trial so that the issues raised by the plaintiff against the City and the R.C.M.P. may be dealt with and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considering the provisions of the Labour Code and Collective Agreement and the case authorities cited and the evidence of the factual matrix presented in this case, the court is not persuaded to concede to the submissions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provisions in the Collective Agreement of the grievance clause 10.02, (supra), which are brought into play by paragraph 6 of Schedule "B" are broad and inclusive where such state, and I repeat for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"Grievance" means any difference between the persons bound by this Agreement </w:t>
      </w:r>
      <w:r>
        <w:rPr>
          <w:rFonts w:ascii="arial" w:eastAsia="arial" w:hAnsi="arial" w:cs="arial"/>
          <w:color w:val="000000"/>
          <w:sz w:val="20"/>
          <w:u w:val="single"/>
          <w:lang w:val="en-US" w:eastAsia="en-US" w:bidi="ar-SA"/>
        </w:rPr>
        <w:t>concerning its interpretation, application, operation</w:t>
      </w:r>
      <w:r>
        <w:rPr>
          <w:rFonts w:ascii="arial" w:eastAsia="arial" w:hAnsi="arial" w:cs="arial"/>
          <w:color w:val="000000"/>
          <w:sz w:val="20"/>
          <w:lang w:val="en-US" w:eastAsia="en-US" w:bidi="ar-SA"/>
        </w:rPr>
        <w:t xml:space="preserve">, or any alleged violation thereof, including any question as to whether any matter is arbitrable, and shall also mean </w:t>
      </w:r>
      <w:r>
        <w:rPr>
          <w:rFonts w:ascii="arial" w:eastAsia="arial" w:hAnsi="arial" w:cs="arial"/>
          <w:color w:val="000000"/>
          <w:sz w:val="20"/>
          <w:u w:val="single"/>
          <w:lang w:val="en-US" w:eastAsia="en-US" w:bidi="ar-SA"/>
        </w:rPr>
        <w:t>any difference arising from disciplinary action or relating to employment where it is alleged that the Employer has acted unjustly</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(underlining mine for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already mentioned, the provisions for grievance procedures under Article 10 of the Collective Agreement are capable of being interpreted to incorporate the application of the Article 11 arbitration procedures and also the Article 12: Discharge, Suspension and Discipline provisions (Article 12: Discharge)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brief, paragraph 6 of Schedule "B", "Access to Grievance Procedure" leads to the applicability and operation of the grievance definition and its procedures under Article 10, and it in turn the arbitration Article 11, together with the Board's power and authority, and Article 12: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If I am in error that it cannot reasonably be said that the provisions of the Collective Agreement, expressly or inferentially, give the plaintiff the protection and benefit of the grievance, dismissal, and arbitration provisions of the Collective Agreement, then, in my opinion, the provisions of section 84(1), (2), (3), (a), (b), of the Labour Code supra, by its mandatory direction would do so. It is mandatory under (1) that every collective agreement must contain provisions governing dismissal or discipline for a just and reasonable cause and under (2) for arbitration. Failing these provisions in the Collective Agreement, (3) mandates such as set out in (a) and (b) shall be deemed to be contained in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To say that where the Collective Agreement contains grievance, arbitration, disciplinary, and dismissal provisions, it meets the requirements of the Labour Code even though these provisions are denied, or highly restricted, to other union members bound by the Collective Agreement is not persuasive. To accept such a principle or interpretation of the Labour Code would create a situation where collective agreements could be so crafted that varying numbers of union members bound by the agreement would be covered by the grievance, disciplinary, dismissal, and arbitration provisions contained in the agreement whereas others would not. Indeed, if a collective agreement fails to contain these provisions, section 84 of the Code would clearly apply to cover equally all of the members bound by the collective agreement and not just some. The Code neither provides for nor permits, nor even suggests that coverage can be denied to or split amongst the members bound by a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condone such a principle and interpretation would, in my view, run contrary to a reasonable interpretation and the overall objectives of the Labour Code, in particular section 84(1)(ii) where its mandatory provisions refer to "an employee bound by the agreement", and "the persons bound by the agreement". It does not say some employees or persons bound by the agreement, but to the contrary is all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conclusion, without binding or restricting an arbitration board concerning a collective agreement in respect to its interpretation, application, operation, or alleged violation, including a question on whether a matter is "arbitrable", I am satisfied that the plaintiff, as a relief guard, has available to him the grievance, disciplinary, dismissal, and arbitration provisions of the Collective Agreement, and if I am in error, then to those provisions set out in the Code, specifically sections 84 and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Lastly, it is obvious from the provisions of section 89 and 92 of the Labour Code that the authority and powers of an Arbitration Board are very broad, in some instances more so than that of a court such as the power to reinstate employment. In this respect, sections 89 and 92 read: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Authority of arbitration board - For the purposes set out in section 82, an arbitration board has the authority necessary to provide a final and conclusive settlement of a dispute arising under a collective agreement, and without limitation, may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 order setting the monetary value of an injury or loss suffered by an employer, trade union or other person as a result of a contravention of a collective agreement, and directing a person to pay a person all or part of the amount of that monetary value,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employer to reinstate an employee dismissed in contravention of a collective agreement,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an employer or trade union to rescind and rectify a disciplinary action that was taken in respect of an employee and that was imposed in contravention of a collective agreement,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that a dismissal or discipline is excessive in all circumstances of the case and substitute other measures that appear just and equitable,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relieve, on just and reasonable terms, against breaches of time limits or other procedural requirements set out in the collective agreement,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or reject an application or grievance or refuse to settle a difference, if in the arbitration board's opinion, there has been unreasonable delay by the person bringing the application or grievance or requesting the settlement, and the delay has operated to the prejudice or detriment of the other party to the difference,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 and apply any Act intended to regulate the employment relationship of the persons bound by a collective agreement, even though the Act's provisions conflict with the terms of the collective agreement,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settlement of the dispute and, with the agreement of the parties, the arbitration board may use mediation, conciliation or other procedures at any time during the arbitral proceedings to encourage settlement.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Powers of arbitration board - (1) An arbitration board may</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its own procedure,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and accept evidence and information on oath, affidavit or otherwise as in its discretion it considers proper, whether or not the evidence is admissible in a court of law,</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prehearing matters and issue prehearing orders,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enter during regular working hours any land, ship, vessel, vehicle, aircraft or other means of conveyance or transport, factory, workshop or place of any kind where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 is or has been done or commenced by employees,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carries on business, or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anything is taking place or has taken place concerning a matter referred to the arbitration board under this Code,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may inspect any work, material, appliance, machinery, equipment or thing in it, and interrogate any person in relation to it,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 a person to do anything the arbitration board may do under paragraph (d) and report to the arbitration board in the presence of the parties or their representatives as a witness subject to cross examination by each party.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jurisdiction of an arbitration board to hear and determine a difference does not cease until the matters in dispute have been finally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satisfied that the acts and events alleged by the plaintiff in his Statement of Claim, as a basis for his claim of breach of contract and constructive or wrongful dismissal, as well as for defamation, have their root in the alleged incident of an inappropriate touching of a young male inmate and the plaintiff's failure to be accompanied by an R.C.M.P. officer when entering the inmate's cell and to log his entries into the cell. They relate directly to, and arise from, the employment relationship between the plaintiff and the City and the Collective Agreement and involve the plaintiff's work performance and duties, as well as obligations he alleges were owed to him by the City in light of the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brief, the essential nature and character of the dispute, about which the plaintiff complains against the City, concerns his employment and the status of that employment with the City under the Collective Agreement and the Labour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These matters are governed by the Collective Agreement, which terms and conditions, inter alia, provide for a grievance process, arbitration, and dismissal or discipline, and to the extent it does not or is lacking, is covered by sections 84 and 85 of the Code. Accordingly, in the plaintiff's case, all these matters could be the subject of a grievance under the Collective Agreement, especially where the true acts on whether the plaintiff's security clearance was revoked or suspended, became known to the plaintiff before he commenced this action. Further, the arbitration board has ample authority and powers to deal with these matters, including a question on whether a matter is arbitrable and to give appropriate relief, in particular, to reinstate employment, if the board sees fit, which is not available to this court and may in this case be an issue for serious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Also, insofar as the plaintiff is alleging defamation on the part of the City, it arises out of the plaintiff's employment relationship with the City and therefor is governed by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McCartney (supra), the court dismissed the plaintiff's defamation action against his employer and also against an individual defendant who had made allegedly defamatory statements about the plaintiff in the role of an individual defendant's duties as a management employee of the employer defendant. However, the court did take jurisdiction over the plaintiff's action against the individual defendant in respect of allegedly defamatory statements made outside the course of her employment, about personal characteristics of the plaintiff unrelated to his employment. In the present case, there is no material to indicate that the City, or its agents or employees, made any allegedly defamatory statements about the plaintiff outside the course of his employment and employment relationship with the City. Also see Ruscetta v. Graham (supra), at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all of these matters clearly relate to, and arise from, the Collective Agreement, they can be addressed, if at all, as the subject of a grievance under the Collective Agreement and are within the exclusive jurisdiction of an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regards to the other issues or arguments presented, as follows, by the plaintiff, that the court has jurisdiction to deal with this matter, the court rejects the same: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 dues paying union member covered by the Collective Agreement with the City. There is, on the material, no collateral or residual contract or separate contract of the plaintiff with the City. Accordingly, the terms of the Collective Agreement and the Labour Code apply and the plaintiff's claim must, perforce, be found entirely within it and the issues are for the arbitrator's jurisdiction, to the exclusion of the court, to decide. It is apparent from the authorities cited, that it is no longer open to a union employee, bound by a Collective Agreement, to go outside that agreement where it is silent or deficient, or to supplement it by looking to his common law or equitable rights. The employee takes the Collective Agreement as it is, especially where a dismissal or disciplinary procedure is at the very core of the employer/employee relationship.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long as the issue relates to the employer/employee relationship, there are no collaterals or residuals, and if the Collective Agreement is silent or deficient, it may be unfortunate for the parties, but the agreement continues to apply under the exclusive jurisdiction of the arbitrator to determine.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submits that if he is put to a grievance and arbitration procedure against the City under the Collective Agreement and Code, and is left to pursue his action separately, in court against the R.C.M.P., it will result in duplication and attendant additional expense. The court should, therefor, exercise its discretion and assume jurisdiction over the plaintiff's claim against the City so that it, together with the claim against the R.C.M.P., can proceed and be tried together. Although this is a factor to consider, whatever the rights of the plaintiff are against the R.C.M.P., it should not prejudice the City's rights under its Collective Agreement and the Code, vis-a-vis the plaintiff. Also, since the plaintiff knew in September, 1998, before he commenced this action, that the R.C.M.P. had given the City incorrect information concerning his security clearance, he could have immediately informed his union representative to undertake a grievance procedure, and if done, the cost would be borne by the union. Accordingly, the plaintiff is largely the author of any additional cost and delay.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question of delay and time limits lost, section 89(e), inter alia, gives the arbitration board authority to "relieve, on just and reasonable terms, against breaches of time limits or other procedural requirements set out in the collective agreement". Also, Article 11.02 of the Collective Agreement provides for extension of time for specific items under grievance and arbitration by mutual written agreement of the parties. Failing agreement, or in any event, it is for the arbitration board under its broad section 89(e) Code authority to determine whether to relieve against breaches of time limits or procedural requirements.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allegation that the City breached Article 12.02 of the Collective Agreement by failing pursuant to the plaintiff's discharge to give him reasons, in writing, within 24 hours of such discharge does not in itself vitiate or obviate the Collective Agreement, or create an estoppel, or relieve Mr. Webber, where applicable, from observing its terms. In this instance, it was open to Mr. Webber to grieve this alleged breach, and failing resolution, was ultimately for the arbitration board to determine. However, there is no evidence that he presented this allegation for grievance to his union representative. In this respect, there is no evidence of such in the September 11, 2000, CUPE, Local 338, letter of the local President. The thrust of this letter is essentially that since Mr. Webber had lost his security clearance from the R.C.M.P., the City had not terminated him at this point. There was therefor no grievance avenue open to Mr. Webber because there was no violation of the Collective Agreement by the City. It apparently overlooks or ignores the City's position that it had dismissed Mr. Webber. Also, as already mentioned, when Mr. Webber and his lawyer learned at the latest in September, 1998, that Mr. Webber's security clearance had not been suspended or revoked, he apparently made no efforts to undertake and follow a grievance procedure under the Collective Agreement but rather chose to commence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summary, as the facts and circumstances of the plaintiff's dispute with the City arise from the plaintiff's employment with the City under the Collective Agreement and the employer/employee relationship, the dispute falls within the Collective Agreement. The arbitrator has exclusive jurisdiction and that of the court is foreclosed. The arbitrator has broad and ample authority and power under the Collective Agreement and Labour Code to deal with the dispute and to award whatever remedies may be appropriate to resolve the dispute. This is not a case, therefor, where the dispute is outside the Collective Agreement nor one where the court need exercise the special powers it possesses under its residuary discretionary power of inherent jurisdiction to grant remedies not possessed by the statutory tribunal, i.e. the arbitration board, in order to give a remedy to do justice in this dispute. The arbitration board has ample authority and power therefor. (See Weber at pages 603 and 607.)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claim, in these proceedings against the City, is accordingly dismissed on the grounds of lack of jurisdiction in the court. The plaintiff's claim against the defendant R.C.M.P. shall be open for the plaintiff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City shall have its taxable costs against the plaintiff under Scale 3, payable forthwith. Any costs as between the plaintiff and the defendant R.C.M.P. shall be left to the trial court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DROSSOS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February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further to my Reasons for Judgment dated and filed on January 30,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Paragraph 15 on page 9 is amended in the fourth line to change the word "liability" to "reliability", so that the paragraph now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or not the advice given by the President, Mary-Lou Bailey, to Mr. Webber was sound is not for this court to decide. However, even though Mr. Webber became aware, at the latest, from the R.C.M.P. "E" division, September 10, 1998, letter by S.R. Cameron, Chief Superintendent Officer in Charge, Human Resources, to the plaintiff's lawyer that the plaintiff's enhancement reliability security clearance was never suspended or revoked and remained past due for update, the plaintiff has not since becoming aware requested his union to grieve this matter under the Collective Agreement. He chose, instead, to commence this action by Writ of Summons filed January 21, 2000.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 The Reasons are amended accordingly. In all other aspects the Reasons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DROSSOS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Xu v. Ching, [2005] B.C.J. No. 610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 22, 24, 25 and March 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L040004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610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402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166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Jian Xiang Xu, Ji Xiao, Qi-Sen Tan, Zhou Gan, Yuen Wong, Zhuo Ming Li, Ning Wang, Yue Zhong Liang, Jia Yao Guo, Qing-Zhong Yu, Qui-Ping Luo, Wai-Tung Chan, Suet-Fai Lam, Tian He, plaintiffs, and Vincent Ching, Yuit Lan Ada Foo, Linda Ka Wai Ching, Julie Fu and Lord Stanley Developments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Civil procedure — Pleadings — Striking out pleadings or allegations — Grounds — Res judicata — Damages — For torts — Pure economic loss — Immigration law — Admission to Canada — Entrepreneurs or investors.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Ching, to strike out the plaintiff's, Xu, statement of claim on the basis that the action was res judicata and an abuse of process. Xu had immigrated to Canada from China eight years ago under the immigrant investor program which provided that if investors made investments in specified funds they would be able to qualify for visas as landed immigrants in Canada. Xu made investments in two funds based on the consultancy advice of a company. The funds turned out to be worthless. Xu commenced an action five years ago against the consultancy company and its principles for return of the monies Xu had invested in the two funds, based on fraudulent misrepresentation and trust. Xu received judgment and consent dismissal orders. Xu was paid $2,327,500 by certain defendants and the plaintiffs provided releases. Ching and Keung did not defend and judgment was entered against them over $5 million. $2.5 million remained outstanding on that judgment. Xu then commenced this action seeking recovery of the monies he invested in the two funds. Ching argued that the second action was contemplated before the first, so those issues should have been included in the first action. Xu argued that the second action was entirely different as it was a recovery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question for res judicata was whether there were issues that had not been tried, and if so, whether they should have been tried together with the first action. It was not plain and obvious that the claims in the second action were claims which either were or should have been advanced in the first action. It was not plain and obvious that the release executed by the Xu in the first action was determinative of the issues in the second action. It was not plain and obvious that the action should be struck because the plaintiffs used evidence from the first action in the second action. That was not something that could be determined within the context of this application. Xu had raised triable issues that were not adjudicated upon in the first action. An order of res judicata would work an injustice.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 19(24)(b), 19(24)(d).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62" w:history="1">
        <w:r>
          <w:rPr>
            <w:rFonts w:ascii="arial" w:eastAsia="arial" w:hAnsi="arial" w:cs="arial"/>
            <w:i/>
            <w:color w:val="0077CC"/>
            <w:sz w:val="20"/>
            <w:u w:val="single"/>
            <w:shd w:val="clear" w:color="auto" w:fill="FFFFFF"/>
            <w:lang w:val="en-US" w:eastAsia="en-US" w:bidi="ar-SA"/>
          </w:rPr>
          <w:t>R.S.B.C. 1996, c. 253, s. 53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2"/>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Lunny, J. Dawson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Yuit Lan Ada Foo: S.A. Griffin, S.K.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Linda Ka Wai Ching: W.A.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Julie Fu and Lord Stanley Developments Ltd.: J.Z. Ahmad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3"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GEROW J."/>
            <w:bookmarkEnd w:id="27"/>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immigrated to Canada from China in 1997 under the Immigrant Investor Program (the Program). The Program provided that if investors made investments in specified funds they would be able to qualify for visas as landed immigrants in Canada. The plaintiffs learned of the Program through the Centre Pacific Immigration Consultancy Co. (C.P. Consultancy) who attracted investors by advertisements and seminars. The principals of C.P. Consultancy advised the plaintiffs to invest in one of two funds, FMD Enterprises Ltd. (FMD) or Alberta Investment Fund Corporation (AIF). The plaintiffs followed the advice and invested in either one or the other of the two funds. The plaintiffs received visas, however, the funds turned out to be worthless.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order to recover their losses, the plaintiffs commenced an action in January 2000 in which they alleged that in the period 1996 - 1999 they were subject to a fraud masterminded by Vincent Ching and Samantha Keung, who were abetted by Philip Louis and a number of related companies (the First Action). In the First Action the plaintiffs sought the return of all monies they invested in AIF and FMD, which they alleged were invested, based on fraudulent or negligent misrepresentations, and were then fraudulently converted and misappropriated. The plaintiffs alleged the monies they invested in AIF and FMD were subject to a trust and they sought tracing orders with respect to all the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have commenced this action (the Second Action) seeking recovery of monies they invested in AIF and FMD. The defendants in the Second Action seek an order under Rule 19(24) of the Rules of Court striking out the writ and statement of claim on the basis that the action is res judicata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assert that the same plaintiffs as a group have already sued and obtained judgment and consent dismissal orders with respect to the same events and relief they are now claiming entitles them to relief against these defendants. The plaintiffs' claims have already been made or should have been made in the First Action. As such the present action is an abuse of process and res judicata. As well, they assert the Second Action is an abuse of process because the plaintiffs are seeking to prejudice and bind the present defendants with findings made in the First Action after having denied them the opportunity to defend the allegations in the First Action. Finally, the defendants say that the Second Action is an abuse of process because the plaintiffs used documents produced and information obtained in the First Action contrary to an implied undertaking of confidentiality and contrary to express undertakings given in the Release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seek a declaration that the implied undertaking relating to documents produced on discovery in the First Action does not apply to these proceedings and that the plaintiffs have not breached an implied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Second Action be struck as barred by the operation of res judicata and/or as an abuse of process because: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advances claims that were or should have been advanced in the First Action;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in breach of the express undertakings given in the Release executed by the plaintiffs in the First Action;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in breach of the implied undertaking of confidentiality with respect to the documents and information obtained in the First Action.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 declaration be made that any implied undertaking relating to the documents in the First Action does not apply to these proceedings or that the plaintiffs have not breached any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28, 2000 the plaintiffs commenced the First Action against a number of companies, including KBK 183 Ventures Ltd. (KBK 183) and C.P. Consultancy, and a number of individuals, including Ms. Keung, Mr. Ching and Mr. Louis.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Ada Foo is the ex-wife of the defendant Mr. Ching. The defendant Linda Ching is their daughter who is 22 years old. Ms. Ching co-owns the property where she lives with her mother and siblings in Vancouver and which the plaintiffs are claiming against in this action (the Hudson 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Foo is the sole shareholder of KBK No. 102 Ventures Ltd. (KBK 102). KBK 102 is a shareholder in the defendant Lord Stanley Developments Ltd. (Lord Stanley). Corporate documents produced in the First Action show Ms. Foo as a shareholder in CP Consultancy and Charter Pacific Developments Ltd. (CP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Julie Fu is the sole shareholder of KBK No. 101 Ventures Ltd. (KBK 101), which is also a shareholder in Lord Stanley. She is the wife of Mr. Louis who was a defendant and a Releasee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July 2001 the plaintiffs conducted cross examinations in the First Action and became aware that KBK 101 and 102 are owned by Ms. Fu and Ms. Foo,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Louis was a director of and operated Lord Stanley, KBK 101, KBK 102, CP Consultancy and CP Developments. In the First Action the plaintiffs alleged Mr. Louis and Mr. Ching used all these companies to misappropriate the plaintiffs' monies invested in FMD and AIF, and that Mr. Ching was the true beneficial owner of any shares in these companies held by Ms. Foo.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8, 2003 an amended statement of claim was filed in the First Action. In December 2003, Mr. Louis provided the plaintiffs with copies of the trust deeds referred to in the statement of claim of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well, in December 2003 the plaintiffs enter into a settlement with Mr. Louis and most of the other defendants, except for Mr. Ching and Ms. Keung. The amount of the settlement was $2,327,500 and as part of the terms of the settlement the plaintiffs provided Releases. The plaintiffs provided a Release to Mr. Louis and a number of companies, including KBK 183, KBK 101, KBK 102, Lord Stanley, Lord Stanley Management Ltd., Lord Stanley Holdings Ltd., CP Consultancy and CP Developments, as "Releasees". The settlement resulted in a Consent Dismissal Order being entered dismissing the claims on the merits as against Mr. Louis and the other settling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January 2, 2004 the writ and statement of claim in the Second Action was filed but not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January 5, 2004 the trial in the First Action commenced against Mr. Ching and Ms. Keung, neither of whom attended the trial nor entered any defence. On January 7, 2004 judgment was granted on liability against Ms. Keung and Mr. 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13, 2004 the statement of claim in the Second Action was amended but not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February 4, 2004 Shaw J. delivered reasons in the First Action on damages, granting damages to each plaintiff for their investment loss, interest and aggravated and punitive damages, </w:t>
      </w:r>
      <w:hyperlink r:id="rId63" w:history="1">
        <w:r>
          <w:rPr>
            <w:rFonts w:ascii="arial" w:eastAsia="arial" w:hAnsi="arial" w:cs="arial"/>
            <w:i/>
            <w:color w:val="0077CC"/>
            <w:sz w:val="20"/>
            <w:u w:val="single"/>
            <w:shd w:val="clear" w:color="auto" w:fill="FFFFFF"/>
            <w:lang w:val="en-US" w:eastAsia="en-US" w:bidi="ar-SA"/>
          </w:rPr>
          <w:t>[2004] B.C.J. No. 179</w:t>
        </w:r>
      </w:hyperlink>
      <w:r>
        <w:rPr>
          <w:rFonts w:ascii="arial" w:eastAsia="arial" w:hAnsi="arial" w:cs="arial"/>
          <w:color w:val="000000"/>
          <w:sz w:val="20"/>
          <w:lang w:val="en-US" w:eastAsia="en-US" w:bidi="ar-SA"/>
        </w:rPr>
        <w:t>. As well, he granted tracing orders in respect of minor amounts of the plaintiffs' investments that they had been able to locate. The total damage award was in excess of $5 million, including interest and $210,000 in aggravated and $350,000 in punitive damages. Total damages, not including interest or aggravated or punitive damages, was $3,165,017. Apart from the settlement funds, another $168,392.26 was received by the plaintiffs through the tracing orders granted. To date the amount of the unsatisfied judgment against Mr. Ching and Ms. Keung is $2,513,219.09.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Second Action, including particulars, was served on the applicant defendants in June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ACTION BE STRUCK FOR RES JUDICATA OR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the Second Action advance claims that were or should have been advanced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test to be applied in an application to strike out a claim for res judicata and abuse of process pursuant to Rule 19(24)(b) and (d) is set out In World Wide Treasure Adventures Inc. v. Trivia Games Inc. </w:t>
      </w:r>
      <w:hyperlink r:id="rId64" w:history="1">
        <w:r>
          <w:rPr>
            <w:rFonts w:ascii="arial" w:eastAsia="arial" w:hAnsi="arial" w:cs="arial"/>
            <w:i/>
            <w:color w:val="0077CC"/>
            <w:sz w:val="20"/>
            <w:u w:val="single"/>
            <w:shd w:val="clear" w:color="auto" w:fill="FFFFFF"/>
            <w:lang w:val="en-US" w:eastAsia="en-US" w:bidi="ar-SA"/>
          </w:rPr>
          <w:t>(1996), 17 B.C.L.R. (3d) 187</w:t>
        </w:r>
      </w:hyperlink>
      <w:r>
        <w:rPr>
          <w:rFonts w:ascii="arial" w:eastAsia="arial" w:hAnsi="arial" w:cs="arial"/>
          <w:color w:val="000000"/>
          <w:sz w:val="20"/>
          <w:lang w:val="en-US" w:eastAsia="en-US" w:bidi="ar-SA"/>
        </w:rPr>
        <w:t xml:space="preserve"> (C.A.). The Court confirmed the test enunciated in Lehndorff Management Ltd. v. L.R.S. Development Ltd. </w:t>
      </w:r>
      <w:hyperlink r:id="rId65"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(C.A.) is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onus is on the applicant to show that it is plain and obvious that the first action is conclusive of the issues in the second action. Since an application under Rule 19(24) is a summary proceeding it is not necessary to consider the issues in the second action on their merits or determine them. Rather, the question is: are there issues that have not been tried? In determining whether res judicata applies all of the evidence and the history of the matter should be considered. A decision at this summary stage does not fetter the trial judge in applying res judicata or abuse of process (World Wide at [paragraph] 29 and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Lomak Industries Corp. v. Bull, Housser &amp; Tupper </w:t>
      </w:r>
      <w:hyperlink r:id="rId66" w:history="1">
        <w:r>
          <w:rPr>
            <w:rFonts w:ascii="arial" w:eastAsia="arial" w:hAnsi="arial" w:cs="arial"/>
            <w:i/>
            <w:color w:val="0077CC"/>
            <w:sz w:val="20"/>
            <w:u w:val="single"/>
            <w:shd w:val="clear" w:color="auto" w:fill="FFFFFF"/>
            <w:lang w:val="en-US" w:eastAsia="en-US" w:bidi="ar-SA"/>
          </w:rPr>
          <w:t>(1995), 9 B.C.L.R. (3d) 155</w:t>
        </w:r>
      </w:hyperlink>
      <w:r>
        <w:rPr>
          <w:rFonts w:ascii="arial" w:eastAsia="arial" w:hAnsi="arial" w:cs="arial"/>
          <w:color w:val="000000"/>
          <w:sz w:val="20"/>
          <w:lang w:val="en-US" w:eastAsia="en-US" w:bidi="ar-SA"/>
        </w:rPr>
        <w:t xml:space="preserve"> (C.A.) the Court referred to Lehndorff and reconfirmed that on a summary proceeding under Rule 19(24)(d) the issues in the present action are not considered on their merits nor is any determination made of the issues. The court simply has to ascertain that there are triable issues which may be outside the ambit of the earlier judgment or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the maxim res judicata applies, the action should be struck pursuant to s. 19(24)(b), that it is "unnecessary, scandalous, frivolous or vexatious", or s. 19(24)(d), that it is otherwise an abuse of process of the Court. The maxim applies if the judicial decision and order dealt with the same issues and causes and is designed to eliminate claims at a preliminary stage that are unsupportable in law: Lehndorff at [paragraph]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requires that the parties to litigation bring all their claims forward at the same time. The court will not, except in special circumstances, allow the same parties to open the same subject of litigation in respect of a matter which might have been brought in the first action, but was not brought forward or was omitted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accident. Res judicata applies not only to issues that were before the court, but also issues which properly belonged to the subject of the litigation and which the parties could have brought forward: Henderson v. Henderson (1843), 67 All E.R. 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Special circumstances have been explained as circumstances where the question of law or fact in the second action is not identical with or inextricably involved with the question of law or fact which was decided in the first action. The maxim res judicata does not apply to distinct causes of action but does apply when the second action arises out of the same relationship and the same subject matter as the first action even though it may be based on a different legal conception of the relationship between the parties: Lehndorff at [paragraph]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Lehndorff the Court found that the subject matter of the two actions, the foreclosure action and the current action in which the respondent was seeking to enforce a leasehold interest and right to possession of the property, were not the same. The respondent argued that the foreclosure action did not specifically seek to foreclose the properties in issue, nor plead the lease. The respondent was joined in the foreclosure action not as a leasee but as a mortgagor. The foreclosure action did not raise the lease issue and the respondent argued that it was under the impression that the lease was not going to be determined. As a result the issues raised in the second action had not been the subject of adjudication between the parties or their privies. The Court held that the arguments raised triable issues not adjudicated upon in the foreclosure action and as a result the applicants had not established that the foreclosure action was conclusive of the issues in the second action at [paragraph] 18 and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Glenko Enterprises Ltd. v. Keller, </w:t>
      </w:r>
      <w:hyperlink r:id="rId67" w:history="1">
        <w:r>
          <w:rPr>
            <w:rFonts w:ascii="arial" w:eastAsia="arial" w:hAnsi="arial" w:cs="arial"/>
            <w:i/>
            <w:color w:val="0077CC"/>
            <w:sz w:val="20"/>
            <w:u w:val="single"/>
            <w:shd w:val="clear" w:color="auto" w:fill="FFFFFF"/>
            <w:lang w:val="en-US" w:eastAsia="en-US" w:bidi="ar-SA"/>
          </w:rPr>
          <w:t>[2000] M.J. No. 444</w:t>
        </w:r>
      </w:hyperlink>
      <w:r>
        <w:rPr>
          <w:rFonts w:ascii="arial" w:eastAsia="arial" w:hAnsi="arial" w:cs="arial"/>
          <w:color w:val="000000"/>
          <w:sz w:val="20"/>
          <w:lang w:val="en-US" w:eastAsia="en-US" w:bidi="ar-SA"/>
        </w:rPr>
        <w:t xml:space="preserve"> (C.A.) Husband J.A., writing for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It is true that when an action is commenced against one or more defendants, the plaintiff is required to raise all issues against those defendants in that action. After the dismissal of the action at trial, it is not open to the plaintiff to advance a new claim against the same defendants seeking the same relief. The principle expressed in Henderson goes no further than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point out that legal authorities do not always articulate the differences between the concepts of abuse of process, res judicata, cause of action estoppel, issue estoppel and merger. These are all related concepts by which the court controls its process by preventing parties from re-litigating the subject matter of claims which were or could have been advanced in other proceedings. Abuse of process is considered the more flexible and wider concept and may apply even where res judicata may not be strictly speaking applicable. Cause of action estoppel and issue estoppel are variants of res judicata. Merger appears to be a common law aspect of res judicata, which is also statutorily reinforced by s. 53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The defendants submit that all of these concepts apply to bar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assert the ambit of abuse of process is very broad. They rely on Oakley v. Harbour Air Ltd., </w:t>
      </w:r>
      <w:hyperlink r:id="rId68" w:history="1">
        <w:r>
          <w:rPr>
            <w:rFonts w:ascii="arial" w:eastAsia="arial" w:hAnsi="arial" w:cs="arial"/>
            <w:i/>
            <w:color w:val="0077CC"/>
            <w:sz w:val="20"/>
            <w:u w:val="single"/>
            <w:shd w:val="clear" w:color="auto" w:fill="FFFFFF"/>
            <w:lang w:val="en-US" w:eastAsia="en-US" w:bidi="ar-SA"/>
          </w:rPr>
          <w:t>[1990] B.C.J. No. 1833</w:t>
        </w:r>
      </w:hyperlink>
      <w:r>
        <w:rPr>
          <w:rFonts w:ascii="arial" w:eastAsia="arial" w:hAnsi="arial" w:cs="arial"/>
          <w:color w:val="000000"/>
          <w:sz w:val="20"/>
          <w:lang w:val="en-US" w:eastAsia="en-US" w:bidi="ar-SA"/>
        </w:rPr>
        <w:t xml:space="preserve"> (S.C.) and Hunter v. Chief Constable of West Midlands Police, [1981] 3 All E.R. 727 (H.L.) as setting out the principles that should be applied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rely on Oakley for the proposition that an abuse of process, as set out in Rule 19(24)(d), will sustain the striking of an action in circumstances where res judicata, including cause of action estoppel, are established. In Oakley the plaintiff, who was president of a company, brought an action against the defendant and other shareholders of a company, including a wrongful dismissal claim, which was later abandoned at trial. After the trial was concluded the plaintiff brought a second action against the defendant based on a claim of wrongful dismissal. The Court found that the plaintiff had abandoned the wrongful dismissal claim at the trial of the first action and through his subsequent behaviour. The Court held that the second claim was the same as the first as both involved the wrongful dismissal claim and dismissed the action. The plaintiff was clear in his evidence in the first action that the defendant, in both the first and second action, was his employer and that his claims were based on wrongful dismissal (which was a breach of an oral contract) and a breach of the shareholder's agreement. No evidence was adduced, nor was it argued, that the evidence supporting the wrongful dismissal claim in the second action was not available at the time the plaintiff abandoned his claim for wrongful dismissal in the first trial and, therefore, there were no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Hunter the plaintiff claimed damages for injuries he alleged he suffered as a result of being beaten by police officers to obtain a confession. The plaintiff alleged the chief constable and the Home Office were vicariously liable for the assault by the police officers. The plaintiff had argued on a voir dire, in his earlier criminal case, that the confession was inadmissible because it was obtained as a result of the police assaulting him. The judge at the criminal trial accepted the evidence of the police officers who denied assaulting the accused. The chief constable applied to have the action struck on the ground that it raised an issue that had been determined in the criminal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Diplock L.J. noted that there were no fixed categories of abuse of process. Abuse of process is the inherent power of the court to prevent use of its procedures in a way, which although not inconsistent with the literal application of the rules, would nevertheless be unfair or bring the administration of justice into disrepute. In Hunter the accused did not appeal the finding on the voir dire that there had been no physical violence or threats by the police to the accused. There was no new evidence that had not been available at the time of the criminal trial. It was apparent that the civil action was brought against the police not to recover damages, but to put pressure on the government to release the plaintiff from the life sentence he received at the criminal trial. The abuse of process which the case exemplified is the initiation of a proceeding for the purpose of mounting a collateral attack on a final decision against the plaintiff made in another court in previous proceedings in which the plaintiff had a full opportunity to contest the decision. In dismissing the plaintiff's action Diplock L.J. at p. 733 reiterated that the Court ought to be slow to strike out a statement of claim but it should do so when the applicant shows that the identical question sought to be raised has already been decided by a competent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say that in order to succeed in striking the claim the defendants have to establish that the following preconditions exist: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issues have been decided in the First 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judicial determination was final;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First Action or their privies were the same persons as the parties to the Second Action or their privies.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Danyluk v. Ainsworth Technologies Inc., </w:t>
      </w:r>
      <w:hyperlink r:id="rId69"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at [paragraph]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Danyluk the Court discussed the doctrine of issue estoppel. The law seeks a finality to litigation and as a result an issue, once decided, should not be re-litigated. "Duplicative litigation, potential inconsistent results, undue costs, and inconclusive proceedings are to be avoided." Estoppel is one of a number of equitable remedies to prevent abuse of the decision making process and is designed to advance the interests of justice, at [paragraph]18 to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rules governing estoppel should not be applied without a consideration of the various interests involved. The public interest in the finality of litigation must be balanced with the public interest of ensuring justice will be done on the facts of a particular case. Binnie J. suggests a two stage approach at [paragraph] 33:</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if the applicant has established the preconditions;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preconditions are met, the court should exercise its discretion to determine if issue estoppel should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factors to be considered under step two are open. The overriding factor the court should consider is whether the application of estoppel would work an injustice in the circumstances of the particular case at [paragraph]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assert that the two stage approach only applies in cases of issue estoppel and is not applicable to abuse of process. The defendants have provided no authority to support that proposition. In my opinion, it is appropriate to use the two stage approach in deciding whether to dismiss a case on the basis that it is an abuse of process. As abuse of process arises from the same equitable principles as issue or cause of action estoppel, the same consideration of whether the application of abuse of process would work an injustice in the circumstances of the case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clear from a reading of the many authorities I was referred to that the application of res judicata and abuse of process is used by the courts to prevent the misuse of its procedures and to prevent bringing the administration of justice into disrepute. When the courts will apply those rules is discretionary and depends on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say that the special circumstances which would relieve the plaintiffs of the obligation to have brought the claims advanced in the Second Action in the First Action do not exist in this case. The defendants assert that the Second Action covers the same events, claims and issues advanced in the First Action. They say the Second Action pleads that the new defendants, Ms. Foo, Ms. Ching and Ms. Fu, acted in concert with Mr. Ching to further the fraud complained of in the First Action and seeks tracing remedies with respect to properties held by the new defendants on the basis that the properties were derived from funds wrongfully converted in the First Action. The statement of claim alleges that Ms. Foo acted in concert with Mr. Ching and Ms. Keung with respect to the same misrepresentations and wrongful conversions advanced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argue that it is obvious the plaintiffs contemplated the Second Action before they went to trial on the First Action as the statement of claim in the Second Action was filed prior to the trial of the First Action. This is not a situation where the plaintiffs became aware of information after the trial of the First Action which justified the Second Action. The issues raised in the Second Action were known to the plaintiffs and should have been included in the First Action. The defendants assert that the Second Action will require a duplication of evidence and a rehearing of issues from the First Action, which is an abuse of process because it can result in inconsistent findings and is a waste of court resources. As well, the plaintiffs seek to bind these defendants with findings made in the First Action without having given them an opportunity to defend at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take the position that the two actions are not the same. They say that the Second Action is a recovery action and deals with issues not determined in the First Action. The Second Action advances the claims of the plaintiffs, as judgment creditors, against Mr. Ching, as judgment debtor. The plaintiffs say the claims against the defendants in the Second Action are that the defendants hold assets on behalf of Mr. Ching and have acted in concert with Mr. Ching to protect those assets from Mr. Ching's creditors. In the Second Action the plaintiffs are seeking execution against those assets, including the Hudson St. Property, the shares in the corporations which own the condominium properties and the shares of the other companies which the plaintiffs allege Mr. Ching 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say that the inevitable consequence of obtaining a judgment is that the party who obtains it has to find the assets of the judgment creditor and seek to collect upon them. They say they could not do that in the First Action, which only established the plaintiffs' status as judgment creditors. There is no execution before judgment and therefore the ownership of the properties in issue in the Second Action was never in issue in the First Action and no claim to ownership of them was or could have been part of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the defendants position that the plaintiffs are asserting the defendants in the Second Action are privies to Mr. Ching by advancing their claims in the Second Action on the basis that the defendants acted in concert with Mr. Ching in furthering the fraud alleged in the First Action and that Ms. Foo was a co-conspirator in all the same wrongdoings in the First Act. The defendants say that by making those allegations, the plaintiffs seek to bind the defendants in the Second Action with the findings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the plaintiffs say they do not seek to bind any of the new defendants with any of the findings made in the First Action and that they do not allege that the defendants in the Second Action are privies to the defendants in the First Action. They simply wish to collect on their judgment against Mr. 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position is that the claim in the present action, that the assets in issue belong to Mr. Ching and that he and the other defendants have acted in concert to secret them in order to defeat his creditors, is a valid and completely independent cause of action and is not dependent on any tracing or the original fraud. None of the defendants, other than Mr. Ching, were parties to the First Action. As such the claims brought in the Second Action were never considered, much less adjudicated upon in the First Action. The plaintiffs say that as an alternative to the asset claim, they have alleged that their funds were used to develop the Lord Stanley Hotel and to acquire the Hudson St. Property. The plaintiffs have also asserted a cause of action against Ms. Foo that she was a participant in the original fraud which they acknowledge may be vulnerable to objections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they argue that the fact that portions of their claim may be vulnerable to an estoppel argument cannot imperil their claims for recovery of the assets which others hold for Mr. Ching as the beneficial owner. The plaintiffs argue that it is not plain and obvious that the doctrine of res judicata or abuse of process applies to the asset claims. Although they concede the some of the allegations in the pleadings in the Second Action are open to criticism, the plaintiffs say that is not a reason to dismiss the claim against Mr. Ching's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issues of fraudulent conveyance and fraudulent preference alleged in the Second Action have not been argued or determined. The allegations of the plaintiffs that Ms. Foo and Ms. Fu were involved in a conspiracy with Mr. Ching to hide his assets in order to defeat his creditors has not been considered or determined in the First Action. Although the plaintiffs concede there are areas of overlap in the statement of claim regarding Ms. Foo, they say there are also independent causes of action against her and point to the allegations of fraud against Ms. Foo.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question is whether it is plain and obvious that a finding or findings fatal to defences raised by these defendants were made in the First Action. Shaw J. made no findings as to whether Mr. Ching's assets were in the jurisdiction in the names of the defendants to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Although the defendants assert that if they had been part of the First Action the findings may not have been the same, the only findings the trial judge made were against Mr. Ching and Ms. Keung. The issues that concern the defendants in the Second Action, apart from Mr. Ching, are whether they themselves were in some way involved in a scheme to bilk the plaintiffs' investment funds or whether they are holding money for the benefit of Mr. Ching. Those claims were neither considered nor determined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assert that the doctrine of merger applies in that Ms. Foo would have been a joint tortfeasor with Mr. Ching, Ms. Keung and Mr. Louis and, having obtained judgment against those parties, a claim against Ms. Foo as a joint tortfeasor is precluded.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concept of merger is that when an action is commenced, a plaintiff is required to raise all issues against those defendants in that action and prevents any second attempt to invoke the aid of the courts in the same cause. It is called merger because the plaintiff's cause of action is merged in the judgment, in that the judgment determines all matters in dispute between all parties. The principle prevents the fragmentation of litigation by prohibiting the litigation of matters which were not in the dispute but belonged in the dispute. However, the concept of merger has no application in a case involving different parties litigating different legal issues. Glenko, supra, at [paragraph] 100 to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the plaintiffs concede that some of the allegations against Ms. Foo may be vulnerable the defendants seek to have the entire claim dismissed. There is no application before me that individual paragraphs of the statement of claim be struck based on issue estoppel. As well, no argument was advanced at the hearing that, in the event that I did not find that the claim should be dismissed, I should consider whether specific paragraphs of the statement of claim should be struck. In my view, it would be inappropriate for me to consider striking paragraphs of the statement of claim in the context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take the position that the Second Action is not a recovery action as is evidenced by the fact that the plaintiffs commenced the Second Action before they went to trial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say that the claims contained in the Second Action could not realistically have been part of the First Action as the relevant disclosure by the defendants was made very close to the trial of the First Action. Although counsel for Ms. Fu and Lord Stanley says this was because the documents, and in particular the trust deeds, were not asked for earlier, it is not the plaintiffs' obligation to ascertain what documents exist and then ask for them specifically, rather it is the defendants' obligation to produce relevant documents. Mr. Louis was represented by counsel throughout and should have been made aware of his disclosure obligations. One of the trust deeds in issue indicates that Mr. Ching caused 48 shares in KBK 101 to be transferred to Ms. Fu who agreed to hold them for Mr. Ching's benefit. The other trust deed indicates that Mr. Ching caused shares in KBK 102 to be transferred to Ms. Foo who agreed to hold the shares for Mr. Ching's benefit. The trust deeds along with minute books of KBK 101 and 102 and ledger books were not produced to the plaintiffs by Mr. Louis until December 8, 2003 and the trial was set to commence on January 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fact that the Second Action was commenced a few days before the First Action went to trial is not conclusive of whether proceeding is or is not a recovery action. One can conceive of reasons, such as the cost implications, as to why a plaintiff might not want to serve an action seeking recovery of assets or based on fraudulent preference and fraudulent conveyance prior to obtaining a judgment that monies are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Having considered all of the circumstances and the history of the litigation, I conclude that it is not plain and obvious that the claims in the Second Action are claims which either were or should have been advanced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the Release preclude the plaintiffs claiming against the defendants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assert that the Release does not prevent the Second Action; rather it contemplates the Second Action, as is further evidenced by the exchange of correspondence at the time the Release was entered into between the settling defendants and the plaintiffs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take the position that they were privies to Mr. Louis and the companies named as Releasees, and therefore by executing the Release the plaintiffs released any rights they have to claim against the defendants, other than Mr. Ching. However, the correspondence surrounding the Release and the Release itself contemplate the plaintiffs' entitlement to proceed against and recover from other parties. The correspondence makes it clear that a recovery action may be necessary against other parties and that it may be necessary to name the Releasees in proceedings for recovery against the remaining defendants, Mr. Ching and Ms. Keung.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letter from the plaintiffs' solicitor to counsel for Mr. Louis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prepared to recommend that the Plaintiffs sign the form of Release, provided that Mr. Louis and the companies referred to in the Release confirm that its operation is as set out, except in so far as the related companies may be necessary or proper parties to any proceedings for recovery against the remaining Defendants, principally Mr. Ching and Ms. Keung.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example, if fraudulent preference and conveyance actions have to be brought against Mr. Ching or his wife, Ms. Foo, or proceedings as to ownership or entitlement in shares to other property, we may have to seek declaratory relief or vesting orders with respect to some of the companies referred to in your form of release.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view, these claims are not foreclosed by your form of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Louis' counsel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our understanding of the Release that to the extent any related companies may be necessary or proper parties to a proceeding for recovery against the remaining Defendants, and where no claim for relief is sought directly against those companies, that such proceedings are not foreclosed by the form of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Release itself contains a clause that anticipates further proceedings and contemplates that the Releasors will at the first opportunity advise the court or other tribunal that they expressly waive any right to recover any portion of the losses which may be attributable to the Releasees.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point to the fact that the statement of claim contains no such pleading, however, the plaintiffs advised the court during the hearing that they expressly waived the right to recover in this proceeding any losses which are attributable to the fault of the Releasees. The plaintiffs assert they are not advancing any claims against Lord Stanley or any of the companies they granted a release to. I agree with the defendants that it would be preferable if the statement of claim in the Second Action contained a pleading to that effect. The plaintiffs have indicated the statement of claim will be amended to make this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Although the defendants argue that the Release must stand on its own and the correspondence surrounding the Release is irrelevant and immaterial to any consideration of the scope of the Release, the plaintiffs have provided authorities in which parol evidence regarding representations which have formed the basis of a clause in an agreement has been admitted. Sekhon v. Tan, </w:t>
      </w:r>
      <w:hyperlink r:id="rId70" w:history="1">
        <w:r>
          <w:rPr>
            <w:rFonts w:ascii="arial" w:eastAsia="arial" w:hAnsi="arial" w:cs="arial"/>
            <w:i/>
            <w:color w:val="0077CC"/>
            <w:sz w:val="20"/>
            <w:u w:val="single"/>
            <w:shd w:val="clear" w:color="auto" w:fill="FFFFFF"/>
            <w:lang w:val="en-US" w:eastAsia="en-US" w:bidi="ar-SA"/>
          </w:rPr>
          <w:t>[2002] B.C.J. No. 91</w:t>
        </w:r>
      </w:hyperlink>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2002 BCSC 54</w:t>
        </w:r>
      </w:hyperlink>
      <w:r>
        <w:rPr>
          <w:rFonts w:ascii="arial" w:eastAsia="arial" w:hAnsi="arial" w:cs="arial"/>
          <w:color w:val="000000"/>
          <w:sz w:val="20"/>
          <w:lang w:val="en-US" w:eastAsia="en-US" w:bidi="ar-SA"/>
        </w:rPr>
        <w:t xml:space="preserve"> at [paragraph] 106 and Gallen v. Butterley </w:t>
      </w:r>
      <w:hyperlink r:id="rId71" w:history="1">
        <w:r>
          <w:rPr>
            <w:rFonts w:ascii="arial" w:eastAsia="arial" w:hAnsi="arial" w:cs="arial"/>
            <w:i/>
            <w:color w:val="0077CC"/>
            <w:sz w:val="20"/>
            <w:u w:val="single"/>
            <w:shd w:val="clear" w:color="auto" w:fill="FFFFFF"/>
            <w:lang w:val="en-US" w:eastAsia="en-US" w:bidi="ar-SA"/>
          </w:rPr>
          <w:t>(1984), 53 B.C.L.R. 38</w:t>
        </w:r>
      </w:hyperlink>
      <w:r>
        <w:rPr>
          <w:rFonts w:ascii="arial" w:eastAsia="arial" w:hAnsi="arial" w:cs="arial"/>
          <w:color w:val="000000"/>
          <w:sz w:val="20"/>
          <w:lang w:val="en-US" w:eastAsia="en-US" w:bidi="ar-SA"/>
        </w:rPr>
        <w:t xml:space="preserve"> (C.A.). The extent to which the Release may assist the defendants in defending the claims of the plaintiffs is not something which I must determine. It is sufficient that I find that it is not plain and obvious that the Release is determinative of the issues raised by the statement of claim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plaintiffs in breach of an implied undertaking as to confidentiality and should the Second Action be struck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argue that the plaintiffs breached both implied and express undertakings regarding confidentiality by using the documents for a collateral purpose prior to the commencement of the trial of the First Action when they prepared and filed the statement of claim in the Second Action. They submit that the plaintiffs are not entitled to use documents or information they obtained in the First Action without the permission of the parties to the First Action or a court order. To do so is a breach of express and implied undertakings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position is that the Releasees waived the express requirements contained in the Release to keep the documents confidential as evidenced by the fact the First Action proceeded to trial after the Release was signed and that Mr. Louis testified at the trial. Mr. Louis also relied on the documents and attached documents from the First Action in filing his affidavit to support a summary trial application by Ms. Fu and Lord Stanley in the Second Action. The plaintiffs argue it is not plain and obvious that the plaintiffs were in breach of their express or implied undertakings. Otherwise the Release would foreclose the plaintiffs' ability to bring a recovery action, which everyone, including the Releasees, understood was not to be the effect of the Release. Mr. Louis waived any rights of confidentiality he had under the Release and at law by allowing the First Action to proceed to trial, by participating in it and by agreeing that other proceedings were not foreclosed by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plaintiffs say that in any event the implied or express duties of confidentiality belong to the parties to the proceedings in which the documents have been disclosed. B.E. Chandler Co. Ltd. v. Mor-Flo Industries Inc. </w:t>
      </w:r>
      <w:hyperlink r:id="rId72" w:history="1">
        <w:r>
          <w:rPr>
            <w:rFonts w:ascii="arial" w:eastAsia="arial" w:hAnsi="arial" w:cs="arial"/>
            <w:i/>
            <w:color w:val="0077CC"/>
            <w:sz w:val="20"/>
            <w:u w:val="single"/>
            <w:shd w:val="clear" w:color="auto" w:fill="FFFFFF"/>
            <w:lang w:val="en-US" w:eastAsia="en-US" w:bidi="ar-SA"/>
          </w:rPr>
          <w:t>(1996), 30 O.R. (3d) 139</w:t>
        </w:r>
      </w:hyperlink>
      <w:r>
        <w:rPr>
          <w:rFonts w:ascii="arial" w:eastAsia="arial" w:hAnsi="arial" w:cs="arial"/>
          <w:color w:val="000000"/>
          <w:sz w:val="20"/>
          <w:lang w:val="en-US" w:eastAsia="en-US" w:bidi="ar-SA"/>
        </w:rPr>
        <w:t xml:space="preserve"> (Ont. G.D.), Van Patter v. Tillsonburg District Memorial Hospital et al. </w:t>
      </w:r>
      <w:hyperlink r:id="rId73" w:history="1">
        <w:r>
          <w:rPr>
            <w:rFonts w:ascii="arial" w:eastAsia="arial" w:hAnsi="arial" w:cs="arial"/>
            <w:i/>
            <w:color w:val="0077CC"/>
            <w:sz w:val="20"/>
            <w:u w:val="single"/>
            <w:shd w:val="clear" w:color="auto" w:fill="FFFFFF"/>
            <w:lang w:val="en-US" w:eastAsia="en-US" w:bidi="ar-SA"/>
          </w:rPr>
          <w:t>(1999), 45 O.R. (3d) 223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point to the evidence that some of the information was obtained independently of the First Action. They rely on Mahon v. Rahn [1998] Q.B. 424 (C.A.) for the proposition that a party who obtains information from another source is entitled to use that information and is not disqualified from using it because it was later disclosed to him in the context of another action to which he is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If it is found that the documents and information are confidential, the plaintiffs seek to be relieved of their duty. A party may apply to be relieved of their duty of confidentiality. The court must balance the interests of the parties involved to determine the harm and the benefit of the disclosure of the documents. Where the harm suffered by the disclosing party seems insignificant and the benefit to the opposing party seems considerable the court will be justified in granting leave to use the information. Lac d'Amiante du Quebec Ltée v. 2858-0702 Quebec Inc., </w:t>
      </w:r>
      <w:hyperlink r:id="rId74" w:history="1">
        <w:r>
          <w:rPr>
            <w:rFonts w:ascii="arial" w:eastAsia="arial" w:hAnsi="arial" w:cs="arial"/>
            <w:i/>
            <w:color w:val="0077CC"/>
            <w:sz w:val="20"/>
            <w:u w:val="single"/>
            <w:shd w:val="clear" w:color="auto" w:fill="FFFFFF"/>
            <w:lang w:val="en-US" w:eastAsia="en-US" w:bidi="ar-SA"/>
          </w:rPr>
          <w:t>[2001] 2 S.C.R. 743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Unfortunately, the plaintiffs did not seek leave of the court to use the information prior to commencing the Second Action. In my view, I am not in a position to grant leave to the plaintiffs to use the information or documents obtained in the First Action in the context of this application as the Releasees in the First Action are not represented, nor is there any indication they have had notice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only context in which the document disclosure issue can be considered is in the context of whether it is evidence of an abuse of process which warrants an order that the Second Action should be dismissed. In so doing, I am not making any determination regarding the extent to which or whether documents produced in the First Action can be used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I am concerned that the plaintiffs did not seek leave of the court, the plaintiffs have adduced evidence that the information about Mr. Ching having assets in the jurisdiction was obtained independently. The extent to which the information and evidence on which the Second Action is based results from information and documents obtained in the First Action, as opposed to being independently ascertained by the plaintiffs, is not something I can determine in the context of an application under Rule 19(24). Accordingly, it is not plain and obvious that the action should be struck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regarding res judicata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burden of establishing that the First Action is conclusive of the issues raised in the Second Action or that the triable issues were either adjudicated upon or should have been adjudicated in the First Action is on the applicant defendants. The plaintiffs' arguments have raised triable issues which were not adjudicated upon in the First Action. In my view, it is not plain and obvious that the claims raised by the plaintiffs in the Second Action properly belonged to the subject of the First Action, or that the triable issues raised in the Second Action were fundamental to the decision arrived at or adjudicated upon in the First Action. Accordingly, the defendants have not satisfied the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do not accept the defendants' arguments that the entirety of the Second Action is, in fact, a continuation that should or has been brought as part of the First Action and that the Second Action is, therefore, an abuse of process. Even if I did accept those arguments, I still must look at the entirety of the circumstances and consider whether the application of res judicata/cause estoppel or abuse of process would work an injustice. In my opinion it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are trying to recover the judgment they obtained against Mr. Ching for his fraud and wrong doing. Although the defendants argue that part of the relief sought in the First Action was a tracing order, and any claims the plaintiffs have against property held by Ms. Foo, Ms. Fu or Ms. Ching in trust for Mr. Ching should have been included in the First Action, they were not. It is apparent from Shaw J.'s reasons that the tracing sought was limited to small amounts of money the plaintiffs had been able to locate totalling approximately $168,000. I have been provided with no authority that an action seeking to recover the amount of a judgment is precluded because the original action sought a tracing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entire amount recovered from Mr. Louis through settlement, and from Mr. Ching and Ms. Keung through tracing was approximately $500,000. The amount of the judgment against Mr. Ching and Ms. Keung which is unsatisfied is in excess of $2.5 million. To preclude the plaintiffs from recovering against property that was acquired through the wrongdoing of Mr. Ching, or of the defendants personally, is not in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A DECLARATION BE MADE THAT THE PLAINTIFFS ARE RELEASED FROM THEIR IMPLIED UNDERTAKING TO KEEP THE DOCUMENTS FROM THE FIRST ACTION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indicated, I am of the view no such declaration should be made without notice of the application being provided to the defendants in the First Action, particularly those defendants the plaintiffs provided express undertakings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Accordingly, I am dismissing the plaintiffs' application in this regard, with liberty to reapply.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applications to strike out the writ and amended statement of claim on the grounds of res judicata and abuse of process are dismissed. The plaintiffs' application for a declaration that the implied undertaking relating to the documents produced on discovery in the First Action does not apply in these proceedings and that the plaintiffs have not breached that implied undertaking is dismissed, with leave to reapply. All other relief sought in the notices of motion filed by the plaintiffs and the defendants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costs of the application will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Yankson v. Canada (Attorney General), [2013] B.C.J. No. 2786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J.E.D. Savage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16, 2013.</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October 16,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Dockets: S135307 and S135934</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2786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2332</w:t>
      </w:r>
    </w:p>
    <w:p>
      <w:pPr>
        <w:spacing w:before="120" w:line="260" w:lineRule="atLeast"/>
        <w:rPr>
          <w:lang w:val="en-US" w:eastAsia="en-US" w:bidi="ar-SA"/>
        </w:rPr>
      </w:pPr>
      <w:r>
        <w:rPr>
          <w:rFonts w:ascii="arial" w:eastAsia="arial" w:hAnsi="arial" w:cs="arial"/>
          <w:color w:val="000000"/>
          <w:sz w:val="20"/>
          <w:lang w:val="en-US" w:eastAsia="en-US" w:bidi="ar-SA"/>
        </w:rPr>
        <w:t>Between Bernard Yankson, Plaintiff, and Attorney General of Canada, Attorney General of British Columbia, and Lieutenant Governor of British Columbia, Defendants And between Bernard Yankson Trust, Plaintiff, and Her Majesty the Queen, Crown Corporation of Canada, Attorney General of Canada, Lieutenant Governor of British Columbia, Solicitor General of British Columbia, Attorney General of British Columbia, Premier of British Columbia, City of Vancouver, Minister of Health; Terry Lake,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5" style="position:absolute;z-index:2516623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8" w:name="Keywords_3"/>
      <w:bookmarkEnd w:id="28"/>
      <w:r>
        <w:rPr>
          <w:rFonts w:ascii="arial" w:eastAsia="arial" w:hAnsi="arial" w:cs="arial"/>
          <w:b/>
          <w:color w:val="000000"/>
          <w:sz w:val="20"/>
          <w:lang w:val="en-US" w:eastAsia="en-US" w:bidi="ar-SA"/>
        </w:rPr>
        <w:t>Civil litigation — Civil procedure — Parties — Vexatious litigants — Pleadings — Striking out pleadings or allegations — Grounds — Failure to disclose a cause of action or defence — Application by defendants to strike plaintiff's two notices of civil claim and to have plaintiff declared vexatious litigant allowed — Plaintiff sought damages of $50,000,000 for various torts including peonage, slavery and trafficking in persons, trover and conversion, fraud, perjury, and intimidation — Plaintiff was party to five different actions — No facts pleaded capable of giving rise to plaintiff's extravagant assertions — Pleadings could not be saved by amendment — Plaintiff had commenced or defended actions with no prospect for success — He was vexatious litigant.</w:t>
      </w:r>
    </w:p>
    <w:p>
      <w:pPr>
        <w:jc w:val="both"/>
        <w:rPr>
          <w:lang w:val="en-US" w:eastAsia="en-US" w:bidi="ar-SA"/>
        </w:rPr>
      </w:pPr>
      <w:bookmarkStart w:id="29" w:name="Legislation Cited_3"/>
      <w:bookmarkEnd w:id="2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46" style="position:absolute;z-index:2517135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Supreme Court Act, </w:t>
      </w:r>
      <w:hyperlink r:id="rId82" w:history="1">
        <w:r>
          <w:rPr>
            <w:rFonts w:ascii="arial" w:eastAsia="arial" w:hAnsi="arial" w:cs="arial"/>
            <w:i/>
            <w:color w:val="0077CC"/>
            <w:sz w:val="20"/>
            <w:u w:val="single"/>
            <w:shd w:val="clear" w:color="auto" w:fill="FFFFFF"/>
            <w:lang w:val="en-US" w:eastAsia="en-US" w:bidi="ar-SA"/>
          </w:rPr>
          <w:t>RSBC 1996, CHAPTER 443, s. 18</w:t>
        </w:r>
      </w:hyperlink>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Supreme Court Civil Rules, Rule 9-5, Rule 9-5(1), Rule 9-5(1) (a), Rule 9-5(2), Rule 9-6</w:t>
      </w:r>
      <w:r>
        <w:rPr>
          <w:lang w:val="en-US" w:eastAsia="en-US" w:bidi="ar-SA"/>
        </w:rPr>
        <w:cr/>
      </w:r>
    </w:p>
    <w:p>
      <w:pPr>
        <w:keepNext/>
        <w:spacing w:before="240" w:line="340" w:lineRule="atLeast"/>
        <w:rPr>
          <w:lang w:val="en-US" w:eastAsia="en-US" w:bidi="ar-SA"/>
        </w:rPr>
      </w:pPr>
      <w:bookmarkStart w:id="30" w:name="Counsel_3"/>
      <w:bookmarkEnd w:id="3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7" style="position:absolute;z-index:2517647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on his own behalf: B. Yankson.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Attorney General of Canada: A. Elliot.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Attorney General of British Columbia: N. Barnes.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City of Vancouver: I.K. Dixon.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 other appearances.</w:t>
      </w:r>
      <w:r>
        <w:rPr>
          <w:lang w:val="en-US" w:eastAsia="en-US" w:bidi="ar-SA"/>
        </w:rPr>
        <w:cr/>
      </w:r>
    </w:p>
    <w:p>
      <w:pPr>
        <w:spacing w:after="240"/>
        <w:rPr>
          <w:lang w:val="en-US" w:eastAsia="en-US" w:bidi="ar-SA"/>
        </w:rPr>
      </w:pPr>
      <w:bookmarkStart w:id="31" w:name="Judgment_3"/>
      <w:bookmarkEnd w:id="31"/>
      <w:r>
        <w:pict>
          <v:line id="_x0000_s1048" style="position:absolute;z-index:25181593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2" w:name="J.E.D. SAVAGE J. (orally)"/>
            <w:bookmarkEnd w:id="32"/>
            <w:r>
              <w:rPr>
                <w:rFonts w:ascii="arial" w:eastAsia="arial" w:hAnsi="arial" w:cs="arial"/>
                <w:b/>
                <w:color w:val="000000"/>
                <w:sz w:val="30"/>
                <w:lang w:val="en-US" w:eastAsia="en-US" w:bidi="ar-SA"/>
              </w:rPr>
              <w:t>J.E.D. SAVAGE J. (orally)</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w:t>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three applications before me by defendants in action S135934 to strike out and dismiss the plaintiff's notice of civil claim. This action was commenced August 7, 2013. The applications are brought by the Attorney General of British Columbia, the Attorney General of Canada, and the City of Vancouver. The plaintiff in that action is styled "Bernard Yankson Trust".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three applications before me in action S135307, two applications by the Attorney General of British Columbia and the Attorney General of Canada to strike out and dismiss the plaintiff's notice of civil claim, and an application by the plaintiff seeking "free association" rights, and "relief" specified therein. This action was commenced July 15,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Attorney General of British Columbia also seeks an order in action S135307 declaring the plaintiff a vexatious litigant requiring leave of the court before commencing any new proceedings. The plaintiff in that action is more simply styled "Bernard Yankson".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also has an application before me seeking summary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II.</w:t>
      </w:r>
      <w:r>
        <w:rPr>
          <w:rFonts w:ascii="arial" w:eastAsia="arial" w:hAnsi="arial" w:cs="arial"/>
          <w:b/>
          <w:color w:val="000000"/>
          <w:sz w:val="20"/>
          <w:u w:val="single"/>
          <w:lang w:val="en-US" w:eastAsia="en-US" w:bidi="ar-SA"/>
        </w:rPr>
        <w:t>Application to strike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the court with the authority to strike the whole or any part of a pleading on four grounds: (1) where a pleading discloses no reasonable claim or defence; (2) where a pleading is unnecessary, scandalous, frivolous or vexatious; (3) where a pleading may prejudice, embarrass, or delay the fair trial or hearing of the proceeding; and (4) where a pleading is otherwise an abuse of the process of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9-5(2) provides that no evidence is admissible where a party is seeking to strike a claim on the basis that the pleading discloses no reasonable claim or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An application under Rule 9-5 is distinct from applications under Rule 9-6 which are concerned with the merits of claims and for which evidence is admissible. The test on application under Rule 9-5(1)(a) is whether it is plain and obvious that the pleadings disclose no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It is a test with a high threshold; after all, the effect of striking pleadings in whole, is to dismiss the plaintiff's claim: see </w:t>
      </w:r>
      <w:r>
        <w:rPr>
          <w:rFonts w:ascii="arial" w:eastAsia="arial" w:hAnsi="arial" w:cs="arial"/>
          <w:i/>
          <w:color w:val="000000"/>
          <w:sz w:val="20"/>
          <w:lang w:val="en-US" w:eastAsia="en-US" w:bidi="ar-SA"/>
        </w:rPr>
        <w:t>Woolsey v. Dawson Creek (City)</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2011 BCSC 751</w:t>
        </w:r>
      </w:hyperlink>
      <w:r>
        <w:rPr>
          <w:rFonts w:ascii="arial" w:eastAsia="arial" w:hAnsi="arial" w:cs="arial"/>
          <w:color w:val="000000"/>
          <w:sz w:val="20"/>
          <w:lang w:val="en-US" w:eastAsia="en-US" w:bidi="ar-SA"/>
        </w:rPr>
        <w:t xml:space="preserve"> at paras. 27-30.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Another ground which will found an application to strike pleadings is where the matter is an abuse of process, which violates principles such as "judicial economy, consistency, finality and the integrity of the administration of justice": </w:t>
      </w: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at paras. 9 and 12.</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III.</w:t>
      </w:r>
      <w:r>
        <w:rPr>
          <w:rFonts w:ascii="arial" w:eastAsia="arial" w:hAnsi="arial" w:cs="arial"/>
          <w:b/>
          <w:color w:val="000000"/>
          <w:sz w:val="20"/>
          <w:u w:val="single"/>
          <w:lang w:val="en-US" w:eastAsia="en-US" w:bidi="ar-SA"/>
        </w:rPr>
        <w:t>Discussion and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here take the position that the plaintiff's pleadings are "utterly incomprehensible". In one small aspect, they appear to be related to a birth certificate in action S135934, but no facts are alleged which would enable the reader to understand what is alleged. For example, there are multiple references to slavery, kidnapping, peonage, trafficking in persons, piracy, and conspiracy to kidnap.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some concepts and assertions that I find impenetrable. For example, in paragraph 2 of the claim in action S135934, it is stated that "The plaintiff gives notice that the Bernard Yankson Trust - T3 4141 85, is a non-resident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master trust location in Ottawa, Ontario with Canada Revenue Agency and is managed by the grantor for the needs of protecting assets under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aggression, breach, trespass and invasion of estate property". No effort is made in the pleadings to relate this assertion to subsequent facts, giving rise to a cause of action, although the trust is referenced further.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Paragraphs 8 and 9 of the notice of civil claim in action S135934 make some assertions that the notice of civil claim accomplishes certain results, such as authorizing others to do certain things, including the Canada Revenue Agency, the various defendants before this court and even the court itself. Statements in a notice of civil claim can do no such 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Several paragraphs then review matters relating to the attempt by the plaintiff to obtain a birth certificate and then says "The grantor gives notice under a moral claim that all legal title and equitable title for Jamuna Moor and all derivatives not limiting middle names are the property of the Bernard Yankson Trust - T3 4141 85, which was already provide to the Ministry under the attachments issued to the Ministry of Health ..." The notice of civil claim then says that this statement "... satisfies section 8 of the </w:t>
      </w:r>
      <w:r>
        <w:rPr>
          <w:rFonts w:ascii="arial" w:eastAsia="arial" w:hAnsi="arial" w:cs="arial"/>
          <w:i/>
          <w:color w:val="000000"/>
          <w:sz w:val="20"/>
          <w:lang w:val="en-US" w:eastAsia="en-US" w:bidi="ar-SA"/>
        </w:rPr>
        <w:t>Escheats Act</w:t>
      </w:r>
      <w:r>
        <w:rPr>
          <w:rFonts w:ascii="arial" w:eastAsia="arial" w:hAnsi="arial" w:cs="arial"/>
          <w:color w:val="000000"/>
          <w:sz w:val="20"/>
          <w:lang w:val="en-US" w:eastAsia="en-US" w:bidi="ar-SA"/>
        </w:rPr>
        <w:t xml:space="preserve"> of British Columbia and the deliberate tort against the grantor (s) administration to account for (personal), equitable, and moral property is listed under the liability of the provisions of the Bernard Yankson Trust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pleadings are almost bereft of factual assertions. There are two paragraphs, paragraphs 31 and 32, which name the City of Vancouver. Paragraph 31 appears to recite part of the 1953 printing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Paragraph 32 then says that "... the City of Vancouver is complicit and party to the derogation of personal property rights of all people under trover and conversion and have NOT provided sufficient information or education to the ("taxpayers") people about their right of free association under Article 2(d) of the Supreme Law of the land". There are no facts asserted as to how this has come about.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then seeks relief in the form of monetary damages for $50,000,000 for various torts including "peonage, slavery, and trafficking in persons", "trover and conversion", "fraud", "perjury", "intimidation" etc. There are no facts pleaded, however, that are capable of giving rise to any of these extravagant assertions. The plaintiff asserts in argument that materials have been delivered to Buckingham Palace but does not relate this to how he might succeed in these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pleadings in action S135307 are of the same form and character, so I will not repeat them here, except in one respect. In this action, the plaintiff claims as part of his relief, judgment in another matter, action S099298. Action S135307 is not capable of bringing about this relief.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considered whether these pleadings, by amendment, might somehow be saved in whole or in part. In my view they cannot. In the result, I strike the plaintiff's pleadings in both actions and dismiss these claims. In the result, it is unnecessary to consider the plaintiffs application for summary judgment in action S135307.</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IV.</w:t>
      </w:r>
      <w:r>
        <w:rPr>
          <w:rFonts w:ascii="arial" w:eastAsia="arial" w:hAnsi="arial" w:cs="arial"/>
          <w:b/>
          <w:color w:val="000000"/>
          <w:sz w:val="20"/>
          <w:u w:val="single"/>
          <w:lang w:val="en-US" w:eastAsia="en-US" w:bidi="ar-SA"/>
        </w:rPr>
        <w:t>Vexatious Litigant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led by the Attorney General of British Columbia argue that the materials filed by the plaintiff and attached to his notice of civil claim bear the hallmarks of what Rooke A.C.J. called an "organized pseudolegal commercial argument" which is not capable of success and has been characterized as "an affront to the dignity of the court" and "gibberish": see </w:t>
      </w:r>
      <w:r>
        <w:rPr>
          <w:rFonts w:ascii="arial" w:eastAsia="arial" w:hAnsi="arial" w:cs="arial"/>
          <w:i/>
          <w:color w:val="000000"/>
          <w:sz w:val="20"/>
          <w:lang w:val="en-US" w:eastAsia="en-US" w:bidi="ar-SA"/>
        </w:rPr>
        <w:t>Meads v. Meads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ABQB 571</w:t>
        </w:r>
      </w:hyperlink>
      <w:r>
        <w:rPr>
          <w:rFonts w:ascii="arial" w:eastAsia="arial" w:hAnsi="arial" w:cs="arial"/>
          <w:color w:val="000000"/>
          <w:sz w:val="20"/>
          <w:lang w:val="en-US" w:eastAsia="en-US" w:bidi="ar-SA"/>
        </w:rPr>
        <w:t>, at para. 165 and 191. As such, the defendants say the plaintiff should be declared a vexatious litigant.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requirements for finding a person to be a vexatious litigant are set out in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Vexatious proceedings</w:t>
      </w:r>
    </w:p>
    <w:p>
      <w:pPr>
        <w:spacing w:before="120" w:line="260" w:lineRule="atLeast"/>
        <w:ind w:left="720"/>
        <w:rPr>
          <w:lang w:val="en-US" w:eastAsia="en-US" w:bidi="ar-SA"/>
        </w:rPr>
      </w:pPr>
      <w:r>
        <w:rPr>
          <w:rFonts w:ascii="arial" w:eastAsia="arial" w:hAnsi="arial" w:cs="arial"/>
          <w:color w:val="000000"/>
          <w:sz w:val="20"/>
          <w:lang w:val="en-US" w:eastAsia="en-US" w:bidi="ar-SA"/>
        </w:rPr>
        <w:t>18 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finding that a person is a vexatious litigant does not bar that person from using the court process. Rather, before embarking on a court action, the prospective litigant must obtain leave of the court before commencing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case the plaintiff is a party to five different actions. In one action he was a defendant in an action brought in debt. He is a plaintiff in two actions brought against the Vancouver Police Department. He is the plaintiff in these two actions, brought against the Attorney General of British Columbia, the Attorney General of Canada, the Lieutenant Governor of British Columbia, Her Majesty the Queen, and entity called the "Crown Corporation of Canada", the Solicitor General of British Columbia, the Premier of British Columbia, the City of Vancouver, and the Minister of Health.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opinion, in reviewing the applications in this matter, the two proceedings before me and the pleadings and positions taken in the CIBC action, the plaintiff has commenced or defended actions with no prospect for success. He has also pled for relief that no reasonable person could reasonably hope to obtain. He has sought relief against persons without relating those claims to the persons named as defendants. The plaintiff has rolled forward, by repetition and supplementation, claims for relief referable to other proceedings. The pleadings in these two actions are, while mostly impenetrable, repetitive in their prolixity. In action S135934, for example, the notice of civil claim runs to 78 paragraphs, all of which are similar to what I have referenced earlier here. There are, I am advised, outstanding orders for costs against the litigant.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am cognizant that the power to order that a person must seek leave before becoming a litigant is a drastic measure that should be exercised with caution: see </w:t>
      </w:r>
      <w:r>
        <w:rPr>
          <w:rFonts w:ascii="arial" w:eastAsia="arial" w:hAnsi="arial" w:cs="arial"/>
          <w:i/>
          <w:color w:val="000000"/>
          <w:sz w:val="20"/>
          <w:lang w:val="en-US" w:eastAsia="en-US" w:bidi="ar-SA"/>
        </w:rPr>
        <w:t>Koyama v. Leigh</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2001 BCSC 164</w:t>
        </w:r>
      </w:hyperlink>
      <w:r>
        <w:rPr>
          <w:rFonts w:ascii="arial" w:eastAsia="arial" w:hAnsi="arial" w:cs="arial"/>
          <w:color w:val="000000"/>
          <w:sz w:val="20"/>
          <w:lang w:val="en-US" w:eastAsia="en-US" w:bidi="ar-SA"/>
        </w:rPr>
        <w:t>. That said, I am satisfied that the plaintiff has been shown to be a vexatious litigant, and that any future proceedings should only be instituted by him upon further order of this court. The plaintiff then, is declared a vexatious litigant.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V.</w:t>
      </w:r>
      <w:r>
        <w:rPr>
          <w:rFonts w:ascii="arial" w:eastAsia="arial" w:hAnsi="arial" w:cs="arial"/>
          <w:b/>
          <w:color w:val="000000"/>
          <w:sz w:val="20"/>
          <w:u w:val="single"/>
          <w:lang w:val="en-US" w:eastAsia="en-US" w:bidi="ar-SA"/>
        </w:rPr>
        <w:t>Orders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actions are dismissed. The plaintiff is declared to be a vexatious litigant. No action may be commenced by him in this court without leave of the court.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dispense with the plaintiff having to approve the form of order. We are adjourned.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J.E.D. SAVAGE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Zhou v. Li, [2019] B.C.J. No. 414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Norell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27-28 and 31, 2018; February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S192060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414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B.L.R. (5th) 326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581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Zi Hao Zhou, Plaintiff, and Zhi Yuan Li, Jian Fu, Morecan Auto Spa Limited, Morecan Auto Detailing Ltd., Morecan Auto Group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Contracts — Misrepresentation — What constitutes — Fraudulent misrepresentation — Action by plaintiff for remedy for fraudulent misrepresentation allowed — Plaintiff purchased 35 per cent of shares of company from defendant for $240,000 — Defendant had told plaintiff that he invested $700,000 into business when in fact he invested between $250,000 and $430,000 — Several months after plaintiff purchased shares, defendant told him that he wanted to purchase property — Plaintiff did not establish basis for remedial constructive trust over property — Plaintiff was awarded $240,000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Amount — Restitution — Constructive trust — Action by plaintiff for remedy for fraudulent misrepresentation allowed — Plaintiff purchased 35 per cent of shares of company from defendant for $240,000 — Defendant had told plaintiff that he invested $700,000 into business when in fact he invested between $250,000 and $430,000 — Several months after plaintiff purchased shares, defendant told him that he wanted to purchase property — Plaintiff did not establish basis for remedial constructive trust over property — Plaintiff was awarded $240,000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3"/>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a remedy for fraudulent misrepresentation. The plaintiff purchased 35 per cent of the shares of a company from the defendant for $240,000. The defendant had told the plaintiff that he invested $700,000 into the business when in fact he invested between $250,000 and $430,000. Several months after the plaintiff purchased the shares, the defendant told him that he wanted to purchase a property. The business closed a few months later. The plaintiff sought a constructive trust over the property or, alternatively, $240,000 in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3"/>
            <w:bookmarkEnd w:id="3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made a knowingly false statement of fact regarding his investment in the company, that induced the plaintiff to purchase the shares and he would not have done so had the defendant not misrepresented the facts. The plaintiff did not establish a basis for a remedial constructive trust over the property. The property was not the subject of the share purchase or related to it. The property was purchased nearly a year later and there was no evidence of what funds, if any, from the share purchase were used to purchase the property. There was no evidence that an in personam remedy would be insufficient. The plaintiff was awarded $240,000 in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Legislation Cited_4"/>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95" w:history="1">
        <w:r>
          <w:rPr>
            <w:rFonts w:ascii="arial" w:eastAsia="arial" w:hAnsi="arial" w:cs="arial"/>
            <w:i/>
            <w:color w:val="0077CC"/>
            <w:sz w:val="20"/>
            <w:u w:val="single"/>
            <w:shd w:val="clear" w:color="auto" w:fill="FFFFFF"/>
            <w:lang w:val="en-US" w:eastAsia="en-US" w:bidi="ar-SA"/>
          </w:rPr>
          <w:t>S.B.C. 2002, c. 57, s. 142</w:t>
        </w:r>
      </w:hyperlink>
      <w:r>
        <w:rPr>
          <w:rFonts w:ascii="arial" w:eastAsia="arial" w:hAnsi="arial" w:cs="arial"/>
          <w:color w:val="000000"/>
          <w:sz w:val="20"/>
          <w:lang w:val="en-US" w:eastAsia="en-US" w:bidi="ar-SA"/>
        </w:rPr>
        <w:t>, s. 142(1)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Property Transfer Tax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Strata Property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7-1</w:t>
      </w:r>
      <w:r>
        <w:rPr>
          <w:rFonts w:ascii="arial" w:eastAsia="arial" w:hAnsi="arial" w:cs="arial"/>
          <w:color w:val="000000"/>
          <w:sz w:val="20"/>
          <w:lang w:val="en-US" w:eastAsia="en-US" w:bidi="ar-SA"/>
        </w:rPr>
        <w:t>(10), Rule 7-1(11), Scale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 w:name="Counsel_4"/>
      <w:bookmarkEnd w:id="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Zhi Yuan Li, Morecan Auto Spa Ltd., Morecan Auto Detailing Ltd., and Morecan Auto Group Corporation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Jian Fu No appearance except, August 27, 2018.</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4"/>
      <w:bookmarkEnd w:id="38"/>
      <w:r>
        <w:pict>
          <v:line id="_x0000_s1053"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NORELL J."/>
            <w:bookmarkEnd w:id="39"/>
            <w:r>
              <w:rPr>
                <w:rFonts w:ascii="arial" w:eastAsia="arial" w:hAnsi="arial" w:cs="arial"/>
                <w:b/>
                <w:color w:val="000000"/>
                <w:sz w:val="30"/>
                <w:lang w:val="en-US" w:eastAsia="en-US" w:bidi="ar-SA"/>
              </w:rPr>
              <w:t>NORELL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late January, 2016, the plaintiff Mr. Zhou purchased from the defendant Mr. Li 35% of the shares of a company now called Morecan Auto Spa Limited ("Morecan") for $240,000. The company operated a luxury auto detailing business on Minoru Blvd. in Richmond, BC. Upon purchase of the shares, Mr. Zhou became a director of the company, but he had limited involvement in its management. He left the management of the company to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little over a year after Mr. Zhou bought shares in Morecan, the business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Zhou seeks judgment against Mr. Li, alleging:</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misrepresentations regarding the business;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an alleged fiduciary duty owed by Mr. Li as a director to Mr. Zhou as a shareholder of Morecan.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terms of remedy, Mr. Zhou seeks a constructive trust over a strata property in Richmond, BC (the "Richmond property"), or alternatively judgment in the amount of $240,000. He also seeks an equitable tracing of funds and a declaration that the defendant Mr. Jian Fu holds the Richmond property in trust for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Li did not attend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Li filed a counterclaim against Mr. Zhou alleging breach of a shareholders' agreement and breach of fiduciary duty. As no evidence was led to establish any of these allegations, the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Jian Fu is a defendant in the proceedings but no monetary judgment is being sought against him. He is named because he is on title to the Richmond property. He did not file a response to civil claim and was called as the first witness by Mr. Zhou. He did not participate further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actions against the defendants Morecan Auto Detailing Limited, and Morecan Auto Group Corporation were discontinued at the commencement of trial. No evidence or claim was made against Morecan Auto Spa Limited, and the action against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were three witnesses at trial: Mr. Zhou, Mr. Fu, and Mr. Shu Heng Xu. Mr. Xu worked at the business prior to and after Mr. Li's and Mr. Zhou's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Allegation of Fraudulent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Zhou alleges Mr. Li made three fraudulent misrepresentations: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Li had invested $700,000 in Morecan: $200,000 to purchase the shares from the previous owners of the business, $300,000 for renovations, and the remainder for equipment;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Morecan was earning $20,000 in a good month, and $10,000 in a poor month; and Mr. Zhou would get $5,000 per month return;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 was diligent and focused on developing Morecan's business. This is alleged to be representation by conduct.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elements of fraudulent misrepresentation were reviewed in </w:t>
      </w:r>
      <w:r>
        <w:rPr>
          <w:rFonts w:ascii="arial" w:eastAsia="arial" w:hAnsi="arial" w:cs="arial"/>
          <w:i/>
          <w:color w:val="000000"/>
          <w:sz w:val="20"/>
          <w:lang w:val="en-US" w:eastAsia="en-US" w:bidi="ar-SA"/>
        </w:rPr>
        <w:t>Ma v. Nutriview Systems Inc.</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2014 BCSC 725</w:t>
        </w:r>
      </w:hyperlink>
      <w:r>
        <w:rPr>
          <w:rFonts w:ascii="arial" w:eastAsia="arial" w:hAnsi="arial" w:cs="arial"/>
          <w:color w:val="000000"/>
          <w:sz w:val="20"/>
          <w:lang w:val="en-US" w:eastAsia="en-US" w:bidi="ar-SA"/>
        </w:rPr>
        <w:t xml:space="preserve"> at paras. 173-175, aff'd </w:t>
      </w:r>
      <w:hyperlink r:id="rId97" w:history="1">
        <w:r>
          <w:rPr>
            <w:rFonts w:ascii="arial" w:eastAsia="arial" w:hAnsi="arial" w:cs="arial"/>
            <w:i/>
            <w:color w:val="0077CC"/>
            <w:sz w:val="20"/>
            <w:u w:val="single"/>
            <w:shd w:val="clear" w:color="auto" w:fill="FFFFFF"/>
            <w:lang w:val="en-US" w:eastAsia="en-US" w:bidi="ar-SA"/>
          </w:rPr>
          <w:t>2016 BCCA 4</w:t>
        </w:r>
      </w:hyperlink>
      <w:r>
        <w:rPr>
          <w:rFonts w:ascii="arial" w:eastAsia="arial" w:hAnsi="arial" w:cs="arial"/>
          <w:color w:val="000000"/>
          <w:sz w:val="20"/>
          <w:lang w:val="en-US" w:eastAsia="en-US" w:bidi="ar-SA"/>
        </w:rPr>
        <w:t xml:space="preserve">, leave to appeal ref'd </w:t>
      </w:r>
      <w:hyperlink r:id="rId98" w:history="1">
        <w:r>
          <w:rPr>
            <w:rFonts w:ascii="arial" w:eastAsia="arial" w:hAnsi="arial" w:cs="arial"/>
            <w:i/>
            <w:color w:val="0077CC"/>
            <w:sz w:val="20"/>
            <w:u w:val="single"/>
            <w:shd w:val="clear" w:color="auto" w:fill="FFFFFF"/>
            <w:lang w:val="en-US" w:eastAsia="en-US" w:bidi="ar-SA"/>
          </w:rPr>
          <w:t>[2016] S.C.C.A. No. 83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[173] The test for fraudulent misrepresentation was set out by Bauman J.A., as he then was, in </w:t>
      </w:r>
      <w:r>
        <w:rPr>
          <w:rFonts w:ascii="arial" w:eastAsia="arial" w:hAnsi="arial" w:cs="arial"/>
          <w:i/>
          <w:color w:val="000000"/>
          <w:sz w:val="20"/>
          <w:lang w:val="en-US" w:eastAsia="en-US" w:bidi="ar-SA"/>
        </w:rPr>
        <w:t>Catalyst Pulp and Paper Sales Inc. v. Universal Paper Export Co.</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xml:space="preserve"> at para. 55: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Counsel for UPE cited G.H.L. Fridman, </w:t>
      </w:r>
      <w:r>
        <w:rPr>
          <w:rFonts w:ascii="arial" w:eastAsia="arial" w:hAnsi="arial" w:cs="arial"/>
          <w:i/>
          <w:color w:val="000000"/>
          <w:sz w:val="20"/>
          <w:lang w:val="en-US" w:eastAsia="en-US" w:bidi="ar-SA"/>
        </w:rPr>
        <w:t>Law of Contract in Canada</w:t>
      </w:r>
      <w:r>
        <w:rPr>
          <w:rFonts w:ascii="arial" w:eastAsia="arial" w:hAnsi="arial" w:cs="arial"/>
          <w:color w:val="000000"/>
          <w:sz w:val="20"/>
          <w:lang w:val="en-US" w:eastAsia="en-US" w:bidi="ar-SA"/>
        </w:rPr>
        <w:t>, 4th ed. (Scarborough: Carswell, 1999) at 309-310, where the learned author described a case of fraudulent misrepresentation as consisting of four elements: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 and</w:t>
      </w:r>
    </w:p>
    <w:p>
      <w:pPr>
        <w:numPr>
          <w:numId w:val="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by the representation to enter into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[174] In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6th ed. (Toronto: Carswell, 2011) at 284, Professor Fridman described the distinction between fraudulent and non-fraudulent misrepresentations. He stated that a fraudulent representation "is one which is made with knowledge that it is untrue and with the intent to deceive."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 At 287, Professor Fridman went on to state that an allegation of fraud is a very serious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Clearly, while the courts will protect an innocent party from gross fraud, they will not attempt to protect a contracting party from all types of conduct. In accordance with the general principles of the law of contract, a party is expected to look out for himself, and make his own bargains. If he has done foolishly, that is his own fault and he is left to his own devices. Only from totally improper conduct, in this instance fraud, will he be granted protection and a remedy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 misrepresentation does not need to be the only or even the most significant inducement for the plaintiff's actions. It is sufficient if a misrepresentation is an inducing cause: </w:t>
      </w:r>
      <w:r>
        <w:rPr>
          <w:rFonts w:ascii="arial" w:eastAsia="arial" w:hAnsi="arial" w:cs="arial"/>
          <w:i/>
          <w:color w:val="000000"/>
          <w:sz w:val="20"/>
          <w:lang w:val="en-US" w:eastAsia="en-US" w:bidi="ar-SA"/>
        </w:rPr>
        <w:t>Battrum v. MacKenzie</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2010 BCSC 1285</w:t>
        </w:r>
      </w:hyperlink>
      <w:r>
        <w:rPr>
          <w:rFonts w:ascii="arial" w:eastAsia="arial" w:hAnsi="arial" w:cs="arial"/>
          <w:color w:val="000000"/>
          <w:sz w:val="20"/>
          <w:lang w:val="en-US" w:eastAsia="en-US" w:bidi="ar-SA"/>
        </w:rPr>
        <w:t xml:space="preserve"> at paras.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at para. 103, the Court stated as follows with respect to the inference of reliance: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sufficient, therefore, for the plaintiff in an action for negligent misrepresentation to prove that the misrepresentation was at least one factor which induced the plaintiff to act to his or her detriment. I am also of the view that where the misrepresentation in question is one which was calculated or which would naturally tend to induce the plaintiff to act upon it, the plaintiff's reliance may be inferred. The inference of reliance is one which may be rebutted but the onus of doing so rests on the representor.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Zhou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of the events of this lawsuit, Mr. Zhou was 26 years old and had limited work and business experience. He immigrated to Canada in early 2008 and attended senior high school. From 2009 to 2011 he attended Douglas College and studied business. From 2014 to mid-2015 he worked as a realtor's assistant, taking clients to open houses, and introducing new immigrants to Vancouver. At the time he purchased shares in Morecan from Mr. Li in early 2016, he had no other work experience, no experience in running or buying a business, and no experience in the auto detailing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met Mr. Li in mid-2015 through a mutual friend. He first became aware of the auto detailing business on Minoru Blvd. in August 2015. At the time it was called CSC Auto Spa Club Inc. ("CSC"). Mr. Li invited him to a barbecue and said he was opening a new business. Mr. Li showed Mr. Zhou the premises which were under renovation. Mr. Zhou took an interest in the business and from time to time Mr. Li would update him on the progress of the business. Mr. Zhou thought Mr. Li seemed like a hard-working person and this might turn out to be a successful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Toward the end of 2015, Mr. Li telephoned Mr. Zhou and said a few people were to going to join the company and asked if Mr. Zhou was interested in joining as well. Mr. Zhou told him he was very interested. Mr. Li said he did not want to sell a lot of his shares, and asked Mr. Zhou how many shares he would want if he were to join. Mr. Zhou said it was up to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that call, Mr. Zhou went to Mr. Li's office a few times and Mr. Li told him about the future development of the business. Mr. Li offered him 35% of the shares in Morecan for $240,000. Mr. Li told him that he came to this figure as the total investment in the company was about $700,000. Mr. Li said he spent approximately $200,000 to purchase the business, almost $300,000 for renovations, and the rest to purchase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for the future development of the business, Mr. Li told him that the "business was ready to start operating". The detailing, especially the coating service which was the most profitable component of the business, was already fully booked. He said, "while he was operating the business, he knew already, when it is going well, then the net profit could be as high as $20,000 per month". Mr. Li said that even when it is raining and the car wash is not as busy, they could still net $10,000 per month or more. Based on the proposed shareholding, Mr. Li would be making $5,000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Li told Mr. Zhou that if he trusted him, he could let Mr. Li run the business. Mr. Zhou said he had no experience in the auto detailing business. Mr. Li told him the only thing he would do is receive the money Mr. Li is going to distribute to him. Mr. Zhou said he believed Mr. Li. He explained this was because Mr. Li often posted pictures on social media of him working very late at night and there were many cars at the premises. Mr. Zhou said he was led to believe Mr. Li was working very hard to try to make this business a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Zhou did not ask to see any documents regarding what Mr. Li spent to buy the shares from the previous owners, or for renovations or equipment. He did not ask for or review any company financial statements. He said Mr. Li told him orally what he had invested and he trusted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Zhou paid $10,000 cash to Mr. Li and the remaining $230,000 by way of bank draft payable to Mr. Li. Mr. Li admits payment of these funds in the response to civil claim. On January 28, 2016, Mr. Zhou received 35,000 shares in the company. He paid the investment funds a day or two prior to this. There was no share purchase agreement or shareholders' agreement. Mr. Li told Mr. Zhou that simpler would be better and that it would save them money not to have an agreement 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Since he purchased the shares, Mr. Zhou has never received any funds as return on his investment. Mr. Zhou expected $5,000 to be paid to him at the end of each month. For the first three months, Mr. Li approached him and told him the money was not paid for various reasons: bad weather and lack of customers; poor weather and customers who did not pay; some extraordinary expenses; and finally the alleged incompetence of the general manager of the company, Mr. Xu. As Mr. Li had approached Mr. Zhou on his own initiative, Mr. Zhou told himself to be patient. In May, Mr. Li left for China for two months and told Mr. Zhou he would investigate Mr. Xu further when he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Li returned from China at the end of June or early July, 2016. In early July, Mr. Li asked Mr. Zhou to go to Morecan's bank to obtain funds for the employee payroll. Mr. Zhou went to the bank. This was the first time he had accessed the company account. He attempted to withdraw cash. He thought there would be considerable funds as summer was the busiest season for the business. The teller told him there were insufficient funds. He was surprised and asked the teller for statements from February to June 2016. He reviewed the statements and thought there were many withdrawals from the account, such as a purchase at Holt Renfrew, which were not related to the business. As there were only two Morecan debit cards, and he had one and Mr. Li had the other, he was concerned. He had another concern. Prior to Mr. Li leaving for China, customers had purchased membership cards in the business for cash. He did not see any deposits for these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Zhou went to Morecan's office to see Mr. Li. Mr. Xu and another employee were with Mr. Li. He did not want to confront Mr. Li in front of these people. Because he and Mr. Li were partners he wanted to talk to him in a friendly way. He did not ask why the membership card cash was not deposited. There was no cash on the premises and he believed Mr. Li used the cash. He asked Mr. Xu to identify all withdrawals on the bank statements that were not business expenses. The total was almost $20,000. Mr. Li offered an explanation. He said he had some personal items he needed to purchase and he used the company card and would return the funds later. He also said that because the company did not have enough money to pay the employees, he would take care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next month Mr. Zhou did not hear anything about employees not getting paid on time, so he thought the matter was resolved. Because this was a young partnership, and previously Mr. Li would come to him with explanations, he continued to wait for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September 2016, Mr. Li and Mr. Zhou discussed Mr. Xu's performance, and Mr. Li said that as Mr. Xu had been a long-time employee they should give him time to improve but not pay him wages. Mr. Li then said none of this was important because he had found a new investor to join the company and he was thinking of relocating the company to a larger place. By this time, Mr. Zhou was suspicious. He had not received any money and Mr. Li's work attitude had changed. Prior to and for a little time after Mr. Zhou joined the company, Mr. Li was very active and making an effort. Later on, he was coming in to work late and partying, and not focusing on the business, even when the company was not making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Zhou told Mr. Li that since he had a new investor and Mr. Li wanted a new location, and Mr. Zhou did not understand the business, he would not continue with his investment. Mr. Li told him this was no problem. He said Mr. Zhou was his friend and he accepted his request. Mr. Li said he would refund all of the money and increase the amount by 30%. Mr. Zhou told Mr. Li he did not need the 30%. After the meeting, Mr. Zhou made the calculation and determined he could get back $300,000. A few days later Mr. Li told Mr. Zhou that after he received the investment, he would return all of the money plus 30%. He said Mr. Zhou was his first partner and the first to have faith in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 autumn of 2016 Mr. Zhou did not attend the business very often because he was waiting for the money to be refunded to him. During this time there were a few conversations between Mr. Zhou and Mr. Li. In November, Mr. Zhou saw a "for sale" sign on the property. Mr. Li told him the landlord of the premises decided to sell the property and because of this new development he was now seeking to find a new investor and he had already found a new location. At the end of the year Mr. Li told him he was busy trying to sell the business, and had not received the money from the new investor. Mr. Zhou asked if he could help with the process of selling the business because Mr. Zhou had friends who were brokers. Mr. Li said there was no need to do so because he was already in touch with a realtor and again promised him return of his funds. In the New Year Mr. Zhou followed up and Mr. Li told him he was busy with selling the business, and had a new location and was busy with that too, and again promised return of funds as soon as possible. Mr. Zhou said he was anxious, but chose to believe Mr. Li. Mr. Li also offered him 10% of the new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March or April 2017 Mr. Zhou attended Morecan's office and an employee told him the business was shutting down. The employee told him the day prior an accountant had come to the premises for a bankruptcy liquidation. Mr. Zhou was unaware of this and did not know what to think. He said he always thought Mr. Li was trying to get the business sold and return his money. Mr. Zhou became angry and thought he had been duped. He called Mr. Li and asked him to come to the office. Mr. Li came and said that he had hired the accountant because he just wanted to find out options - if they could just shut down the company. He told Mr. Zhou that he was not concerned he would not have money to pay him if the business was not sold, because he would have money from the new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this, Mr. Zhou lost faith completely. At some time later, Mr. Xu talked to him and asked if he knew who the company accountant was because Mr. Xu needed a T4 slip to file his tax return. Mr. Zhou asked Mr. Xu if he knew Mr. Li was going to open a new business. Mr. Xu told him the new company had already been registered. Mr. Zhou asked what the company name was and Mr. Xu did a search for him and showed it to him. Three companies showed up - all with Morecan in the name. This is when Mr. Zhou first found out that Mr. Li had already changed the name of Morecan. The name of Morecan (when Mr. Zhou bought shares) was Morecan Auto Group Limited, and Mr. Zhou had changed the name to Morecan Auto Spa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Zhou called Mr. Li and asked him why he did not tell him that he had these businesses with similar names. Mr. Li told him it was because the new investor really liked the company name and logo so they decided to use them. When Mr. Zhou asked for more detail Mr. Li said he was busy and would call him the next day. He never called. Mr. Zhou then consulted a lawyer.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Shu Heng Xu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Xu worked for both CSC and Morecan. He and a partner now own a different auto detailing business in Richmond. In late 2014 or early 2015 he started working for CSC. He washed cars, helped the owners manage the company, and helped with transactions in English such as getting a City licence. Mr. Xu also worked with the accountant for CSC for payroll and banking. Mr. Xu was given a 5% interest in CSC when he was hired by the owners of CSC. The owners had asked him to work for them, but he had planned to go to school. They said they needed his help. Mr. Xu never paid for those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revenue of CSC for the 10 months it operated, up to August 2015 when Mr. Li bought the shares, was about $130,000. Mr. Xu did not know the profit but said rent was approximately $6,000 per month and the employee payroll was about $5,000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CSC changed its name to Morecan after Mr. Li purchased the business in mid-2015. Mr. Xu continued to work in the business after Mr. Li purchased it. He said he did anything that Mr. Li could not or would not do. This included washing and detailing cars, banking, working with the accountant, and ordering. He last worked for Morecan in either December 2016 or January 2017. He quit Morecan because he was working long hours and not always getting paid 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Li was a CSC customer. Mr. Li started negotiating the purchase of CSC in June or July 2015 and by August 2015 the sale completed. Mr. Xu was present at a meeting with Mr. Li and the two owners of CSC in July 2015 when they were negotiating the purchase price. Mr. Li asked him to be at the meeting. There was a discussion about the sale of the shares for approximately $50,000, and assumption of the debt of the company (taxes and overdue rent) which was $30,000 to $40,000. In total, the purchase price discussed was under $100,000 but he does not know the exact numbers as he was not present when the final agreement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Mr. Li bought the business Mr. Xu retained his 5% of the shares. Mr. Xu said he offered to give the shares back to Mr. Li, but Mr. Li said he did not have to. Mr. Xu did not testify he was a director of Morecan, but he identified a directors' resolution, which he signed, authorizing the transfer of shares to Mr. Zhou.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Mr. Li purchased CSC, he renovated the premises from August to December, 2015 and changed the name of the business to Morecan after the renovation. During this time, the business closed and then later it washed cars for some friends but was not operating as a business. Mr. Xu was only working one or two days a week during this time to sometimes help Mr. Li with renovations. Mr. Li told him the cost of the renovations was $150,000. In December 2015, or January 2016, there was a "soft" reopening of the business. Mr. Xu described it as soft because not everything was done such as product descriptions for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Xu met Mr. Zhou in August 2015 soon after Mr. Li took over the business. Mr. Li had hosted a barbecue event and Mr. Zhou was a guest. Mr. Xu first learned that Mr. Zhou was going to become an owner of the business after it reopened in January 2016. Mr. Li called him into his office and told him. At the time Mr. Li was doing a calculation of the value of the shares and a price. Mr. Li told him that Mr. Zhou was not going to manage the business but was going to invest and take dividends. Mr. Li asked Mr. Xu his opinion of the value of the shares and he told Mr. Li it was up to him. Mr. Li started to do a calculation of what he had invested in the company and for the renovations, and it was approximately $200,000, and then Mr. Xu left. He did not know for how much Mr. Li was going to sell shares. Not long after that Zhou became an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Xu described how Mr. Li managed the business over time. During the negotiations for Mr. Li to purchase the business and at first after the purchase, he appeared very motivated to make a successful business. Mr. Li was there every day. Shortly after, he became less involved. After a time Mr. Li was constantly making excuses not to pay the employees on time. He said Mr. Li "did things for show" to make it look like the company was fully booked, when there was not that much business. He would post pictures on the internet to make it look like the company was busy. Mr. Xu was present when Mr. Li would talk to customers. He would tell customers that the business was very busy and the coating service was fully booked for a long time. He heard Mr. Li tell others that the company was profitable, but he did not hear him give any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Xu testified that after Mr. Zhou became an owner, Mr. Li really started to "let off" and became less interested in the business. Mr. Li would not come to the business until between three and five o'clock pm and would have friends upstairs every night playing video games and poker. Mr. Li was not supervising the employees. Everything started to get slowly worse. The employees, taxes and rent were not being paid on time. Every month the company was short of money to pay its employees and Mr. Zhou and Mr. Li had to put money into the business. Mr. Zhou gave him a cheque to deposit into the company account to pay the employees. Mr. Zhou did not give evidence of this and his counsel said he was not seeking return of such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Xu talked to Mr. Li multiple times about the situation. At one point, in the late summer of 2016, Mr. Li said to Mr. Xu: "Do you think that I am losing money?" Mr. Xu said he thought he was. Mr. Li said to him that he had earned back his money already. He said Mr. Zhou's investment more than covered the costs he put into the company and the money he had to put in after. After that, Mr. Xu did not go to Mr. Li anymore with his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Xu said he had access to the bookkeeping records while at Morecan. When a car came in, the charge was written by hand in a book. He did payroll every two weeks. Mr. Xu met with Morecan's accountant to do payroll and taxes and give him receipts. This was the same accountant CSC had. He would pay invoices (often cash given to him by Mr. Li). As far as he knew, there were no financial statements prepared and the company never filed a tax return. He never saw a profit and loss statement. He recalls the accountant having a hard time. The accountant required invoices for expenses and for a lot of the expenses Morecan did not have receipts. Mr. Xu only saw bank statements twice - once when the accountant required the statements, and once when Mr. Zhou showed the statements to him and Mr. Li and they went through them. He did not see any cash deposits for customers who had paid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Xu said revenue for Morecan was $5,000 to $7,000 per month, and for two or three months, it was in the range of $8,000 to $10,000 per month. There never was a total calculation of revenue as there was for CSC. The rent was $6,000 or maybe a little higher. The payroll was about $8,000 to $10,000 per month, plus possibly more for another employee, but Mr. Xu does not know if this other employee was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Xu said Morecan was not profitable. Some transactions were in cash as the clientele were wealthy, and either the clients offered to pay in cash or Mr. Li would ask to be paid in cash. This money did not go into the company account. Mr. Xu said he knew of $12,000 in cash transactions during the time Mr. Li operated the business from August 2015 to December 2016. Mr. Xu also thought there were wasted expenses. He saw expense items on a statement Mr. Zhou showed him that could not be company expenses, such as a charge at Holt Renfrew.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October or November 2016, a "for sale" sign appeared on the property. He does not think the sign had any effect on the business because there were rarely any new walk-in customers at that time and the customer base consisted of old customers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late 2016, Mr. Li sent Mr. Xu and another employee named Jerry to a different accountant. Mr. Li said he had a potential new investor. He and the investor wanted to open a new business. He asked Mr. Xu to talk to the accountant about how to put Morecan into bankruptcy and how to put a potential new investment into his own account. The accountant wanted more information. Mr. Xu said he did not understand the whole idea. Mr. Xu left Morecan shortly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Li subsequently opened a new auto detailing business on Beckwith Road in Richmond. Mr. Xu went there in the summer of 2017 and Mr. Li offered him a job.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BC Corporate Registry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Certified BC Corporate Registry records show that CSC was incorporated June 23, 2014, that it changed its name to Morecan Auto Group Inc. on January 2, 2016, and changed its name again to the Morecan Auto Spa Limited on December 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Li incorporated Morecan Auto Group Corporation on March 12, 2017. Mr. Li is a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Li incorporated Morecan Auto Detailing Ltd. on May 31, 2017. Mr. Li is a director.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Mr. Li represented to Mr. Zhou that he had invested approximately $700,000 into the business, and that this sum was comprised of approximately $200,000 for shares in CSC, almost $300,000 in renovations, and the rest in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that this is a statement of fact and it is false, and that Mr. Li made the statement knowing it was false. Mr. Xu's evidence indicates that Mr. Li's investment was in the range of $250,000 consisting of approximately $100,000 being negotiated to purchase the shares in CSC, although he was not present for discussion of the final numbers, and $150,000 for renovations. Counsel for Mr. Zhou also refers to the statement of Mr. Li to Mr. Xu that he was making money because he had already received from Mr. Zhou more than he had invested in the company and subsequent payments he had to make. I am cautious that these are hearsay statements admitted under an exception as an admission of a party against interest. However, counsel for Mr. Zhou refers to paragraph 11 of the response to civil claim where Mr. Li pleads that he paid $110,000 for the shares in CSC. I also note paragraph 13 where Mr. Li pleads that he invested approximately $320,000 in renovations. On Mr. Li's own pleadings, he didn't invest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the representation that Mr. Li had invested $700,000 is a material representation and a statement that induced Mr. Zhou to purchase the shares for $240,000. The sum of $240,000 is 34.3% of $700,000. I find Mr. Zhou would not have invested $240,000 for a 35% interest in Morecan if he had been told the true information, which was that Mr. Li's investment was either in the range of $250,000 or even up to $430,000 which is what Mr. Li has pleaded in his response to civil claim. I find Mr. Zhou would not have made the investment at all if he had been given the true information by Mr. Zhou.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With respect to the statements regarding profitability, Mr. Zhou did not say that Mr. Li told him the company was currently making $20,000 per month. Mr. Li told him that the business was ready to start operating. As the company was not yet operating (or at least not to full extent while renovations were ongoing) I find this was a hopeful prediction of future income, not a statement of fact. As such, the statements are not actionable: Regional District of Okanagan - Similkameen v. Blackwell Stores Ltd., </w:t>
      </w:r>
      <w:hyperlink r:id="rId102" w:history="1">
        <w:r>
          <w:rPr>
            <w:rFonts w:ascii="arial" w:eastAsia="arial" w:hAnsi="arial" w:cs="arial"/>
            <w:i/>
            <w:color w:val="0077CC"/>
            <w:sz w:val="20"/>
            <w:u w:val="single"/>
            <w:shd w:val="clear" w:color="auto" w:fill="FFFFFF"/>
            <w:lang w:val="en-US" w:eastAsia="en-US" w:bidi="ar-SA"/>
          </w:rPr>
          <w:t>2000 BCSC 425</w:t>
        </w:r>
      </w:hyperlink>
      <w:r>
        <w:rPr>
          <w:rFonts w:ascii="arial" w:eastAsia="arial" w:hAnsi="arial" w:cs="arial"/>
          <w:color w:val="000000"/>
          <w:sz w:val="20"/>
          <w:lang w:val="en-US" w:eastAsia="en-US" w:bidi="ar-SA"/>
        </w:rPr>
        <w:t xml:space="preserve"> at para. 58; aff'd </w:t>
      </w:r>
      <w:hyperlink r:id="rId103" w:history="1">
        <w:r>
          <w:rPr>
            <w:rFonts w:ascii="arial" w:eastAsia="arial" w:hAnsi="arial" w:cs="arial"/>
            <w:i/>
            <w:color w:val="0077CC"/>
            <w:sz w:val="20"/>
            <w:u w:val="single"/>
            <w:shd w:val="clear" w:color="auto" w:fill="FFFFFF"/>
            <w:lang w:val="en-US" w:eastAsia="en-US" w:bidi="ar-SA"/>
          </w:rPr>
          <w:t>2001 BCCA 369</w:t>
        </w:r>
      </w:hyperlink>
      <w:r>
        <w:rPr>
          <w:rFonts w:ascii="arial" w:eastAsia="arial" w:hAnsi="arial" w:cs="arial"/>
          <w:color w:val="000000"/>
          <w:sz w:val="20"/>
          <w:lang w:val="en-US" w:eastAsia="en-US" w:bidi="ar-SA"/>
        </w:rPr>
        <w:t>. Mr. Zhou did not make a claim for negligent misrepresentation, alleging special knowledge or skill on the part of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Mr. Zhou argues that there was no basis to make a statement regarding income as high as $20,000 per month. He argues that to make the statement that in a good month the company could make a certain amount implies that the company has made that profit before. I do not agree. Mr. Zhou knew the premises had been renovated and had not been operating, or at least operating at full capacity during renovations. Mr. Li told him that the business "was ready to start operating" and that revenue "could be as high as"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While the evidence of Mr. Xu was that CSC was not making much if any money, the evidence before me is not sufficient to establish that Mr. Li was fraudulent in making such a prediction. He had renovated the business and up to that point according to both Mr. Xu and Mr. Zhou was working hard in the business to make it a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Mr. Zhou's counsel argues that Mr. Zhou fraudulently represented by conduct that he was diligent and focused on developing the business. He argues that he posted pictures on social media of himself working late at night, and when friends came by Mr. Xu said he would tell the friends that the business was profitable and he was busy.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Fraudulent misrepresentation can occur by words or conduct intended to cause the plaintiff to believe a nonexistent fact: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xml:space="preserve"> at para. 20. However, no case law was cited to me where a fraudulent misrepresentation was established on facts similar to this case: a posting of pictures showing an individual working, when it is alleged the individual was not truly devoted to work. Even if such posting could be considered a representation of fact, I find Mr. Zhou has not established it was false. Both Mr. Xu and Mr. Zhou testified that Mr. Li was initially focused on the business and working hard at it. The fact that he later was not focused on the business is not evidence of the falsity of his representation by conduct at the time the representations were made. If he made representations to clients and friends that the business was profitable and busy, that does not assist Mr. Zhou, because he did not give evidence that those representations were made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summary, I find that Mr. Zhou has established that Mr. Li made a knowingly false statement of fact regarding the investment he had made in Morecan, that this induced Mr. Zhou to purchase the shares, and that if Mr. Li had not misrepresented the facts, Mr. Zhou would not have purchased the shares. I will discuss remedies further below, but find in this case the measure of damages for the fraudulent misrepresentation is the lost investment of $240,000.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Allegation of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Zhou's counsel argues Mr. Li, as a director, breached a fiduciary duty to Mr. Zhou as a shareholder, and as a result Mr. Zhou suffered a loss. The loss is the diminution in the value of his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Zhou refers to s. 142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and Mr. Li's failure to act in the best interest of the company. Section 142(1)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142 (1) A director or officer of a company, when exercising the powers and performing the functions of a director or officer of the company, as the case may be, must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honestly and in good faith with a view to the best interests of the company,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the care, diligence and skill that a reasonably prudent individual would exercise in comparable circumstances,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in accordance with this Act and the regulations,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paragraphs (a) to (c), act in accordance with the memorandum and articles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2007 BCCA 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Robak</w:t>
      </w:r>
      <w:r>
        <w:rPr>
          <w:rFonts w:ascii="arial" w:eastAsia="arial" w:hAnsi="arial" w:cs="arial"/>
          <w:color w:val="000000"/>
          <w:sz w:val="20"/>
          <w:lang w:val="en-US" w:eastAsia="en-US" w:bidi="ar-SA"/>
        </w:rPr>
        <w:t xml:space="preserve">], the BC Court of Appeal held that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 xml:space="preserve"> (1843), 67 E.R. 189--that only the company and not individual shareholders, may sue for wrongs to the company--precludes a shareholder from bringing a claim for diminution in the value of a shareholder's shares in a company unless the shareholder can establish both: (1) an "independent relationship" with the wrongdoer who caused the shareholder's loss; and (2) that the loss is "independent" from that of the company to whom the wrong has been done (see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Shon v. Argo Mezzanine Financing No. 3 Ltd.</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2014 BCSC 2117</w:t>
        </w:r>
      </w:hyperlink>
      <w:r>
        <w:rPr>
          <w:rFonts w:ascii="arial" w:eastAsia="arial" w:hAnsi="arial" w:cs="arial"/>
          <w:color w:val="000000"/>
          <w:sz w:val="20"/>
          <w:lang w:val="en-US" w:eastAsia="en-US" w:bidi="ar-SA"/>
        </w:rPr>
        <w:t xml:space="preserve">, the Court applied the test in </w:t>
      </w:r>
      <w:r>
        <w:rPr>
          <w:rFonts w:ascii="arial" w:eastAsia="arial" w:hAnsi="arial" w:cs="arial"/>
          <w:i/>
          <w:color w:val="000000"/>
          <w:sz w:val="20"/>
          <w:lang w:val="en-US" w:eastAsia="en-US" w:bidi="ar-SA"/>
        </w:rPr>
        <w:t>Robak</w:t>
      </w:r>
      <w:r>
        <w:rPr>
          <w:rFonts w:ascii="arial" w:eastAsia="arial" w:hAnsi="arial" w:cs="arial"/>
          <w:color w:val="000000"/>
          <w:sz w:val="20"/>
          <w:lang w:val="en-US" w:eastAsia="en-US" w:bidi="ar-SA"/>
        </w:rPr>
        <w:t xml:space="preserve"> to strike out claims of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by a shareholder as against a corporate director. The Court found that, even if there was an independent relationship, there was no independent loss because the diminution in the value of the shareholder's shares was a loss suffered by the company and all of its shareholders, not a loss to the shareholder-plaintiff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At para. 53 of </w:t>
      </w:r>
      <w:r>
        <w:rPr>
          <w:rFonts w:ascii="arial" w:eastAsia="arial" w:hAnsi="arial" w:cs="arial"/>
          <w:i/>
          <w:color w:val="000000"/>
          <w:sz w:val="20"/>
          <w:lang w:val="en-US" w:eastAsia="en-US" w:bidi="ar-SA"/>
        </w:rPr>
        <w:t>Shon</w:t>
      </w:r>
      <w:r>
        <w:rPr>
          <w:rFonts w:ascii="arial" w:eastAsia="arial" w:hAnsi="arial" w:cs="arial"/>
          <w:color w:val="000000"/>
          <w:sz w:val="20"/>
          <w:lang w:val="en-US" w:eastAsia="en-US" w:bidi="ar-SA"/>
        </w:rPr>
        <w:t>,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various cases relied upon by S. Shon in asserting the existence of a reasonable claim in respect of her allegations of breach of fiduciary owed to her as a shareholder by Hong as a director and officer of Argo No. 3 establish to my satisfaction that:</w:t>
      </w:r>
    </w:p>
    <w:p>
      <w:pPr>
        <w:numPr>
          <w:numId w:val="1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Fiduciary duties can be owed by directors to shareholders where there is a special relationship of trust and dependency between the plaintiff shareholder and the defendant director where the director was seeking to take unfair advantage of the shareholder for personal gain. See: </w:t>
      </w:r>
      <w:r>
        <w:rPr>
          <w:rFonts w:ascii="arial" w:eastAsia="arial" w:hAnsi="arial" w:cs="arial"/>
          <w:i/>
          <w:color w:val="000000"/>
          <w:sz w:val="20"/>
          <w:lang w:val="en-US" w:eastAsia="en-US" w:bidi="ar-SA"/>
        </w:rPr>
        <w:t>Dusik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Malcom</w:t>
      </w:r>
      <w:r>
        <w:rPr>
          <w:rFonts w:ascii="arial" w:eastAsia="arial" w:hAnsi="arial" w:cs="arial"/>
          <w:color w:val="000000"/>
          <w:sz w:val="20"/>
          <w:lang w:val="en-US" w:eastAsia="en-US" w:bidi="ar-SA"/>
        </w:rPr>
        <w:t>.</w:t>
      </w:r>
    </w:p>
    <w:p>
      <w:pPr>
        <w:numPr>
          <w:numId w:val="15"/>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director may assume a fiduciary duty towards a shareholder on the facts of a particular case including in the case of closely held corporations. See: </w:t>
      </w:r>
      <w:r>
        <w:rPr>
          <w:rFonts w:ascii="arial" w:eastAsia="arial" w:hAnsi="arial" w:cs="arial"/>
          <w:i/>
          <w:color w:val="000000"/>
          <w:sz w:val="20"/>
          <w:lang w:val="en-US" w:eastAsia="en-US" w:bidi="ar-SA"/>
        </w:rPr>
        <w:t>Valastiak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Coleman v. Myers</w:t>
      </w:r>
      <w:r>
        <w:rPr>
          <w:rFonts w:ascii="arial" w:eastAsia="arial" w:hAnsi="arial" w:cs="arial"/>
          <w:color w:val="000000"/>
          <w:sz w:val="20"/>
          <w:lang w:val="en-US" w:eastAsia="en-US" w:bidi="ar-SA"/>
        </w:rPr>
        <w:t xml:space="preserve"> [1977], 2 N.Z.L.R. 225 (New Zealand Supreme Court) cited with approval by our Court of Appeal in </w:t>
      </w:r>
      <w:r>
        <w:rPr>
          <w:rFonts w:ascii="arial" w:eastAsia="arial" w:hAnsi="arial" w:cs="arial"/>
          <w:i/>
          <w:color w:val="000000"/>
          <w:sz w:val="20"/>
          <w:lang w:val="en-US" w:eastAsia="en-US" w:bidi="ar-SA"/>
        </w:rPr>
        <w:t>Dusik</w:t>
      </w:r>
      <w:r>
        <w:rPr>
          <w:rFonts w:ascii="arial" w:eastAsia="arial" w:hAnsi="arial" w:cs="arial"/>
          <w:color w:val="000000"/>
          <w:sz w:val="20"/>
          <w:lang w:val="en-US" w:eastAsia="en-US" w:bidi="ar-SA"/>
        </w:rPr>
        <w:t>.</w:t>
      </w:r>
    </w:p>
    <w:p>
      <w:pPr>
        <w:numPr>
          <w:numId w:val="1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 fiduciary relationship will arise between a director and a shareholder will depend on the facts of a particular case. See: </w:t>
      </w:r>
      <w:r>
        <w:rPr>
          <w:rFonts w:ascii="arial" w:eastAsia="arial" w:hAnsi="arial" w:cs="arial"/>
          <w:i/>
          <w:color w:val="000000"/>
          <w:sz w:val="20"/>
          <w:lang w:val="en-US" w:eastAsia="en-US" w:bidi="ar-SA"/>
        </w:rPr>
        <w:t>Samos</w:t>
      </w:r>
      <w:r>
        <w:rPr>
          <w:rFonts w:ascii="arial" w:eastAsia="arial" w:hAnsi="arial" w:cs="arial"/>
          <w:color w:val="000000"/>
          <w:sz w:val="20"/>
          <w:lang w:val="en-US" w:eastAsia="en-US" w:bidi="ar-SA"/>
        </w:rPr>
        <w:t xml:space="preserve"> at para. 184 and cases cited therein.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What is most apparent from those authorities and others on the non-exhaustive situations in which fiduciary duties have been found to be owed by directors to shareholders is that the question of whether fiduciary duties exist is a fact dependent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Zhou's counsel argues that this was a closely held corporation with only three shareholders and there was a "legal dependency" on the part of Mr. Zhou. He says Mr. Zhou relied upon Mr. Li to manage the company and that Mr. Zhou was simply an investor and agreed he would not get involved in operating the business. He further argues that Mr. Li only held 35% of the shares of Morecan. Mr. Zhou's counsel argues that as a director Mr. Li had a duty to act honestly and in good faith. He argues that, instead: Mr. Li misappropriated funds and took cash from membership cards which was not put into the company account; did not devote himself to the business; incorporated two new companies with very similar names that were acting in competition with Morecan and would have taken any goodwill associated with the name; and investigated putting the company into bankruptcy. In summary, Mr. Zhou's counsel argues that Mr. Li let the company go to waste, had no regard for the company, and that his personal agenda was to get investors. He argues that Mr. Li painted a rosy picture to attract gullible investors. However, Mr. Zhou's counsel does not argue that Mr. Li socializing with individuals in the evening was necessarily harming the business, because that may have been a legitimate way to market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factors cited to me by counsel for Mr. Zhou do not establish an independent duty owed to Mr. Zhou by Mr. Li. This is not a situation where the parties are family members, or there is a trust agreement between them. His discussion with Mr. Li that he would let Mr. Li run the company does not rise to the level of a special dependency that would found an independent duty. Further, Mr. Zhou's loss in the value of his shares is identical to the loss to the company, and to the loss in the value of Mr. Li's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Zhou has not established a claim against Mr. Li for breach of fiduciary duty for the loss in value of his shares. The claim is not sustainable under the rule in </w:t>
      </w:r>
      <w:r>
        <w:rPr>
          <w:rFonts w:ascii="arial" w:eastAsia="arial" w:hAnsi="arial" w:cs="arial"/>
          <w:i/>
          <w:color w:val="000000"/>
          <w:sz w:val="20"/>
          <w:lang w:val="en-US" w:eastAsia="en-US" w:bidi="ar-SA"/>
        </w:rPr>
        <w:t>Foss v. Harbottle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Zhou seeks a remedial constructive trust over the Richmond property. Alternatively, if the court does not grant a constructive trust, Mr. Zhou seeks a monetary judgment against Mr. 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There is a further issue related to the constructive trust: who is the beneficial owner of the Richmond property? Mr. Zhou also seeks a declaration that the Richmond property is being held by Mr. Fu in trust for Mr. Li. A State of Title Certificate for the Richmond property states Mr. Fu is the owner of an undivided 99/100 interest, and Mr. Li is the owner of an undivided 1/100 interest. The Richmond property is a strata lot encumbered by: various covenants, easements and statutory rights-of-way; a mortgage in favour of the Canadian Imperial Bank of Commerce ("CIBC"); certificates of pending litigation registered by Mr. Zhou and CIBC; a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lien; two </w:t>
      </w:r>
      <w:r>
        <w:rPr>
          <w:rFonts w:ascii="arial" w:eastAsia="arial" w:hAnsi="arial" w:cs="arial"/>
          <w:i/>
          <w:color w:val="000000"/>
          <w:sz w:val="20"/>
          <w:lang w:val="en-US" w:eastAsia="en-US" w:bidi="ar-SA"/>
        </w:rPr>
        <w:t>Property Transfer Tax Act</w:t>
      </w:r>
      <w:r>
        <w:rPr>
          <w:rFonts w:ascii="arial" w:eastAsia="arial" w:hAnsi="arial" w:cs="arial"/>
          <w:color w:val="000000"/>
          <w:sz w:val="20"/>
          <w:lang w:val="en-US" w:eastAsia="en-US" w:bidi="ar-SA"/>
        </w:rPr>
        <w:t xml:space="preserve"> liens; and a judgment registered by a law firm against Mr. Li's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Fu is now 26 years old. He said he paid nothing toward the Richmond property. He said he signed the documents to put the property in his name "unwittingly" as Mr. Li "asked me to hold the interest in trust for him". When asked why he did this he said it was "based on the deception" of Mr. Li. They were friends. He said he "did not tell me the whole truth about" the property. He believed he was still on title but Mr. Li was "withholding information"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Zhou testified that Mr. Li told him that he was purchasing property and he did not want to pay the 15% foreign buyer's tax. He said he wanted to find someone with a permanent resident card to hold the property for him. He said he needed Mr. Fu to help him so he would be spared paying the tax. He said Mr. Fu has a permanent resident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Xu knows Mr. Fu. He has no direct knowledge of how Mr. Fu became a 99/100 owner of the Richmond property. However, Mr. Xu said that Mr. Li had previously asked him to be a 99/100 owner of the property so that Mr. Li could avoid paying the 15% foreign buyer's tax because Mr. Xu has permanent resident status. Mr. Xu asked Mr. Li if it was legal and decided not to do it. Mr. Xu helped Mr. Li move into the Richmond property which is in an area of Richmond called River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basis of Mr. Zhou's claim for a constructive trust is that in the autumn or near the end of 2016 Mr. Li talked to Mr. Zhou about wanting to purchase a property. Mr. Li said he was going to use money to be transferred from China but it would be a "hassle" to do so, and that part of the money would be from Mr. Zhou, part from the sale of his vehicle, and part would be his own money. He did not mention which specific property he was going to purchase but said it would probably be in River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Mr. Zhou argues that he therefore has an equitable interest in the property and the court should draw an adverse inference that the entire $240,000 was used to purchase the Richmond property as there is no evidence from Mr. Li otherwise. Mr. Zhou argues that Mr. Li did not produce any documents disproving that the entire $240,000 was not used to purchase the Richmond property. He says documents, such as bank records, would have been relevant and producible. I agree they would have been relevant records given the pleadings. No evidence was given as to whether there was a request under Rule 7-1(10) or (11)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for such records to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only evidence regarding a possible use of funds to purchase the Richmond property is Mr. Li's statement to Mr. Zhou that he wanted to purchase a property and to do so he would use funds from several sources including funds from Mr. Zhou. There is no evidence of the amount he intended to use from Mr. Zhou, nor is there evidence that in fact Mr. Li did use money from Mr. Zhou to purchase the Richmond property. The most that can be said is that Mr. Li's statement to Mr. Zhou, as an admission against interest, establishes that he intended to use some of the funds he received from Mr. Zhou to purchase a property. Mr. Zhou must satisfy a minimum evidentiary burden before an adverse inference may be drawn; otherwise the burden of proof would be reversed. In my view, it would not be appropriate to draw an adverse inference that the entire $240,000 can be traced to the Richmond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Even if I were to find that the evidence established that some funds from the purchase of the shares could be traced to the Richmond property, I do not find this is an appropriate case to order a remedial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Mr. Zhou's counsel argues there is unjust enrichment. The words "unjust enrichment" are not found in the notice of civil claim, but Mr. Zhou's counsel points to paragraphs 13 and 29 where Mr. Zhou pleads vaguely the elements of unjust enrichment. Even if that is a sufficient pleading, the claim fails because all of the elements are not established. To establish unjust enrichment there must be an enrichment to the defendant, a corresponding deprivation to the plaintiff, and no juristic reason for the enrichment and the deprivation: </w:t>
      </w:r>
      <w:r>
        <w:rPr>
          <w:rFonts w:ascii="arial" w:eastAsia="arial" w:hAnsi="arial" w:cs="arial"/>
          <w:i/>
          <w:color w:val="000000"/>
          <w:sz w:val="20"/>
          <w:lang w:val="en-US" w:eastAsia="en-US" w:bidi="ar-SA"/>
        </w:rPr>
        <w:t>Moore v. Sweet</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2018 SCC 52</w:t>
        </w:r>
      </w:hyperlink>
      <w:r>
        <w:rPr>
          <w:rFonts w:ascii="arial" w:eastAsia="arial" w:hAnsi="arial" w:cs="arial"/>
          <w:color w:val="000000"/>
          <w:sz w:val="20"/>
          <w:lang w:val="en-US" w:eastAsia="en-US" w:bidi="ar-SA"/>
        </w:rPr>
        <w:t xml:space="preserve"> at para. 37. In this case, there is a juristic reason: there was a contract to purchase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However, Mr. Zhou has established a fraudulent misrepresentation, and this may form the basis of a claim for remedial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the Supreme Court of Canada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 conclude that in Canada, under the broad umbrella of good conscience, constructive trusts are recognized both for wrongful acts like fraud and breach of duty of loyalty, as well as to remedy unjust enrichment and corresponding deprivation. While cases often involve both a wrongful act and unjust enrichment, constructive trusts may be imposed on either ground: where there is a wrongful act but no unjust enrichment and corresponding deprivation; or where there is an unconscionable unjust enrichment in the absence of a wrongful act, as in </w:t>
      </w:r>
      <w:r>
        <w:rPr>
          <w:rFonts w:ascii="arial" w:eastAsia="arial" w:hAnsi="arial" w:cs="arial"/>
          <w:i/>
          <w:color w:val="000000"/>
          <w:sz w:val="20"/>
          <w:lang w:val="en-US" w:eastAsia="en-US" w:bidi="ar-SA"/>
        </w:rPr>
        <w:t>Pettkus v. Becker, supra</w:t>
      </w:r>
      <w:r>
        <w:rPr>
          <w:rFonts w:ascii="arial" w:eastAsia="arial" w:hAnsi="arial" w:cs="arial"/>
          <w:color w:val="000000"/>
          <w:sz w:val="20"/>
          <w:lang w:val="en-US" w:eastAsia="en-US" w:bidi="ar-SA"/>
        </w:rPr>
        <w:t>. Within these two broad categories, there is room for the law of constructive trust to develop and for greater precision to be attained, as time and experience may dictate.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w:t>
      </w:r>
      <w:r>
        <w:rPr>
          <w:rFonts w:ascii="arial" w:eastAsia="arial" w:hAnsi="arial" w:cs="arial"/>
          <w:i/>
          <w:color w:val="000000"/>
          <w:sz w:val="20"/>
          <w:lang w:val="en-US" w:eastAsia="en-US" w:bidi="ar-SA"/>
        </w:rPr>
        <w:t>Pettkus v. Becker, supra</w:t>
      </w:r>
      <w:r>
        <w:rPr>
          <w:rFonts w:ascii="arial" w:eastAsia="arial" w:hAnsi="arial" w:cs="arial"/>
          <w:color w:val="000000"/>
          <w:sz w:val="20"/>
          <w:lang w:val="en-US" w:eastAsia="en-US" w:bidi="ar-SA"/>
        </w:rPr>
        <w:t xml:space="preserve">, this Court explored the prerequisites for a constructive trust based on unjust enrichment. This case requires us to explore the prerequisites for a constructive trust based on wrongful conduct. Extrapolating from the cases where courts of equity have imposed constructive trusts for wrongful conduct, and from a discussion of the criteria considered in an essay by Roy Goode, "Property and Unjust Enrichment", in Andrew Burrows, ed., </w:t>
      </w:r>
      <w:r>
        <w:rPr>
          <w:rFonts w:ascii="arial" w:eastAsia="arial" w:hAnsi="arial" w:cs="arial"/>
          <w:i/>
          <w:color w:val="000000"/>
          <w:sz w:val="20"/>
          <w:lang w:val="en-US" w:eastAsia="en-US" w:bidi="ar-SA"/>
        </w:rPr>
        <w:t>Essays on the Law of Restitution</w:t>
      </w:r>
      <w:r>
        <w:rPr>
          <w:rFonts w:ascii="arial" w:eastAsia="arial" w:hAnsi="arial" w:cs="arial"/>
          <w:color w:val="000000"/>
          <w:sz w:val="20"/>
          <w:lang w:val="en-US" w:eastAsia="en-US" w:bidi="ar-SA"/>
        </w:rPr>
        <w:t xml:space="preserve"> (1991), I would identify four conditions which generally should be satisfied: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have been under an equitable obligation, that is, an obligation of the type that courts of equity have enforced, in relation to the activities giving rise to the assets in his hands;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in the hands of the defendant must be shown to have resulted from deemed or actual agency activities of the defendant in breach of his equitable obligation to the plaintiff;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show a legitimate reason for seeking a proprietary remedy, either personal or related to the need to ensure that others like the defendant remain faithful to their duties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no factors which would render imposition of a constructive trust unjust in all the circumstances of the case; e.g., the interests of intervening creditors must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Tracy v. Instaloans Financial Solutions Centres (B.C.) Ltd.</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2010 BCCA 357</w:t>
        </w:r>
      </w:hyperlink>
      <w:r>
        <w:rPr>
          <w:rFonts w:ascii="arial" w:eastAsia="arial" w:hAnsi="arial" w:cs="arial"/>
          <w:color w:val="000000"/>
          <w:sz w:val="20"/>
          <w:lang w:val="en-US" w:eastAsia="en-US" w:bidi="ar-SA"/>
        </w:rPr>
        <w:t xml:space="preserve">, the court reviewed the leading cases on constructive trust, including </w:t>
      </w:r>
      <w:r>
        <w:rPr>
          <w:rFonts w:ascii="arial" w:eastAsia="arial" w:hAnsi="arial" w:cs="arial"/>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Peter v. Beblow</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[1993] 1 S.C.R. 980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At para. 23 of </w:t>
      </w:r>
      <w:r>
        <w:rPr>
          <w:rFonts w:ascii="arial" w:eastAsia="arial" w:hAnsi="arial" w:cs="arial"/>
          <w:i/>
          <w:color w:val="000000"/>
          <w:sz w:val="20"/>
          <w:lang w:val="en-US" w:eastAsia="en-US" w:bidi="ar-SA"/>
        </w:rPr>
        <w:t>Tracy</w:t>
      </w:r>
      <w:r>
        <w:rPr>
          <w:rFonts w:ascii="arial" w:eastAsia="arial" w:hAnsi="arial" w:cs="arial"/>
          <w:color w:val="000000"/>
          <w:sz w:val="20"/>
          <w:lang w:val="en-US" w:eastAsia="en-US" w:bidi="ar-SA"/>
        </w:rPr>
        <w:t xml:space="preserve">, the court noted that the majority in </w:t>
      </w:r>
      <w:r>
        <w:rPr>
          <w:rFonts w:ascii="arial" w:eastAsia="arial" w:hAnsi="arial" w:cs="arial"/>
          <w:i/>
          <w:color w:val="000000"/>
          <w:sz w:val="20"/>
          <w:lang w:val="en-US" w:eastAsia="en-US" w:bidi="ar-SA"/>
        </w:rPr>
        <w:t>Peter v. Beblow</w:t>
      </w:r>
      <w:r>
        <w:rPr>
          <w:rFonts w:ascii="arial" w:eastAsia="arial" w:hAnsi="arial" w:cs="arial"/>
          <w:color w:val="000000"/>
          <w:sz w:val="20"/>
          <w:lang w:val="en-US" w:eastAsia="en-US" w:bidi="ar-SA"/>
        </w:rPr>
        <w:t xml:space="preserve"> emphasized that for a constructive trust to arise, the plaintiff had to establish a direct link to the property which is the subject of the trust because of the plaintiff's contribution. The plaintiff also had to establish the insufficiency of a monetary award as equity generally prefers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remedies over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After noting that </w:t>
      </w:r>
      <w:r>
        <w:rPr>
          <w:rFonts w:ascii="arial" w:eastAsia="arial" w:hAnsi="arial" w:cs="arial"/>
          <w:i/>
          <w:color w:val="000000"/>
          <w:sz w:val="20"/>
          <w:lang w:val="en-US" w:eastAsia="en-US" w:bidi="ar-SA"/>
        </w:rPr>
        <w:t>Pettkus</w:t>
      </w:r>
      <w:r>
        <w:rPr>
          <w:rFonts w:ascii="arial" w:eastAsia="arial" w:hAnsi="arial" w:cs="arial"/>
          <w:color w:val="000000"/>
          <w:sz w:val="20"/>
          <w:lang w:val="en-US" w:eastAsia="en-US" w:bidi="ar-SA"/>
        </w:rPr>
        <w:t xml:space="preserve"> concerned the prerequisites for a constructive trust based on unjust enrichment, and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concerned the prerequisites for a constructive trust based on wrongful conduct, and after citing the four criteria in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(as set out above), the court in </w:t>
      </w:r>
      <w:r>
        <w:rPr>
          <w:rFonts w:ascii="arial" w:eastAsia="arial" w:hAnsi="arial" w:cs="arial"/>
          <w:i/>
          <w:color w:val="000000"/>
          <w:sz w:val="20"/>
          <w:lang w:val="en-US" w:eastAsia="en-US" w:bidi="ar-SA"/>
        </w:rPr>
        <w:t>Tracy</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 (As many commentators have pointed out, the reference to an "equitable obligation" seems to have been intended to encompass more than "fiduciary duty".) Applying these conditions in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the Court confirmed that the defendant broker had been under an equitable obligation in relation to the property at issue; that he had acquired the property in breach of his duty to the plaintiff; that a constructive trust was "required in cases such as this to ensure that agents and others in positions of trust remain faithful to their duty of loyalty"; and that there were no factors that made the imposition of a constructive trust unjust.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case at bar is of course one of unjust enrichment. Although arguably it is </w:t>
      </w:r>
      <w:r>
        <w:rPr>
          <w:rFonts w:ascii="arial" w:eastAsia="arial" w:hAnsi="arial" w:cs="arial"/>
          <w:color w:val="000000"/>
          <w:sz w:val="20"/>
          <w:u w:val="single"/>
          <w:lang w:val="en-US" w:eastAsia="en-US" w:bidi="ar-SA"/>
        </w:rPr>
        <w:t>also</w:t>
      </w:r>
      <w:r>
        <w:rPr>
          <w:rFonts w:ascii="arial" w:eastAsia="arial" w:hAnsi="arial" w:cs="arial"/>
          <w:color w:val="000000"/>
          <w:sz w:val="20"/>
          <w:lang w:val="en-US" w:eastAsia="en-US" w:bidi="ar-SA"/>
        </w:rPr>
        <w:t xml:space="preserve"> one involving a "wrongful act" ? i.e., the defendants' contravention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 it is possible to read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as meaning that different criteria should be applied to each category and that the two are distinct. At the same time, the four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conditions overlap considerably with the two enunciated in </w:t>
      </w:r>
      <w:r>
        <w:rPr>
          <w:rFonts w:ascii="arial" w:eastAsia="arial" w:hAnsi="arial" w:cs="arial"/>
          <w:i/>
          <w:color w:val="000000"/>
          <w:sz w:val="20"/>
          <w:lang w:val="en-US" w:eastAsia="en-US" w:bidi="ar-SA"/>
        </w:rPr>
        <w:t>Peter v. Beblow</w:t>
      </w:r>
      <w:r>
        <w:rPr>
          <w:rFonts w:ascii="arial" w:eastAsia="arial" w:hAnsi="arial" w:cs="arial"/>
          <w:color w:val="000000"/>
          <w:sz w:val="20"/>
          <w:lang w:val="en-US" w:eastAsia="en-US" w:bidi="ar-SA"/>
        </w:rPr>
        <w:t xml:space="preserve">. We may assume the broad concept of "equitable obligation" is met by a finding of unjust enrichment; the second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requirement that the assets were received by the defendant as a result of "agency activities" may be seen as one type of "direct link" that accords with the second </w:t>
      </w:r>
      <w:r>
        <w:rPr>
          <w:rFonts w:ascii="arial" w:eastAsia="arial" w:hAnsi="arial" w:cs="arial"/>
          <w:i/>
          <w:color w:val="000000"/>
          <w:sz w:val="20"/>
          <w:lang w:val="en-US" w:eastAsia="en-US" w:bidi="ar-SA"/>
        </w:rPr>
        <w:t>Peter</w:t>
      </w:r>
      <w:r>
        <w:rPr>
          <w:rFonts w:ascii="arial" w:eastAsia="arial" w:hAnsi="arial" w:cs="arial"/>
          <w:color w:val="000000"/>
          <w:sz w:val="20"/>
          <w:lang w:val="en-US" w:eastAsia="en-US" w:bidi="ar-SA"/>
        </w:rPr>
        <w:t xml:space="preserve"> requirement; and the third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condition may be seen as a broader version of the "insufficiency of damages" requirement in </w:t>
      </w:r>
      <w:r>
        <w:rPr>
          <w:rFonts w:ascii="arial" w:eastAsia="arial" w:hAnsi="arial" w:cs="arial"/>
          <w:i/>
          <w:color w:val="000000"/>
          <w:sz w:val="20"/>
          <w:lang w:val="en-US" w:eastAsia="en-US" w:bidi="ar-SA"/>
        </w:rPr>
        <w:t>Peter</w:t>
      </w:r>
      <w:r>
        <w:rPr>
          <w:rFonts w:ascii="arial" w:eastAsia="arial" w:hAnsi="arial" w:cs="arial"/>
          <w:color w:val="000000"/>
          <w:sz w:val="20"/>
          <w:lang w:val="en-US" w:eastAsia="en-US" w:bidi="ar-SA"/>
        </w:rPr>
        <w:t xml:space="preserve">. Only the fourth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condition, the absence of factors that would make a trust remedy unjust, is missing from the "pre-requisites" specified in the earlier family law cases. The defendants in the case at bar relied on this requirement to argue that the imposition of a constructive trust, which they characterize as an "extraordinary" remedy, would cause significant prejudice to third parties who have been paid by the defendants over the years for goods or services by means of revenues received in the course of the Instaloans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 find that Mr. Zhou has established the first condition in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A fraudulent misrepresentation may be a breach of an equitable obligation within the meaning of that criteria. However, I find that he has not established the remaining three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Mr. Zhou has not established that the funds received by Mr. Li resulted from an agency activity or that there is a substantial and direct link to the Richmond property. The only evidence of a link is Mr. Li's evidence to Mr. Zhou that he intended to use some of the funds with other sources of funds towards the purchase of a property. The Richmond property was not the subject of the share purchase, or in any way related to it. This is unlike the situation in </w:t>
      </w:r>
      <w:r>
        <w:rPr>
          <w:rFonts w:ascii="arial" w:eastAsia="arial" w:hAnsi="arial" w:cs="arial"/>
          <w:i/>
          <w:color w:val="000000"/>
          <w:sz w:val="20"/>
          <w:lang w:val="en-US" w:eastAsia="en-US" w:bidi="ar-SA"/>
        </w:rPr>
        <w:t>Soulos</w:t>
      </w:r>
      <w:r>
        <w:rPr>
          <w:rFonts w:ascii="arial" w:eastAsia="arial" w:hAnsi="arial" w:cs="arial"/>
          <w:color w:val="000000"/>
          <w:sz w:val="20"/>
          <w:lang w:val="en-US" w:eastAsia="en-US" w:bidi="ar-SA"/>
        </w:rPr>
        <w:t xml:space="preserve">, where the specific property in issue in that case was the subject of the dealings between the parties, or the situation in </w:t>
      </w:r>
      <w:r>
        <w:rPr>
          <w:rFonts w:ascii="arial" w:eastAsia="arial" w:hAnsi="arial" w:cs="arial"/>
          <w:i/>
          <w:color w:val="000000"/>
          <w:sz w:val="20"/>
          <w:lang w:val="en-US" w:eastAsia="en-US" w:bidi="ar-SA"/>
        </w:rPr>
        <w:t>Pettkus</w:t>
      </w:r>
      <w:r>
        <w:rPr>
          <w:rFonts w:ascii="arial" w:eastAsia="arial" w:hAnsi="arial" w:cs="arial"/>
          <w:color w:val="000000"/>
          <w:sz w:val="20"/>
          <w:lang w:val="en-US" w:eastAsia="en-US" w:bidi="ar-SA"/>
        </w:rPr>
        <w:t>, where the plaintiff had contributed directly to property. The purchase of the Richmond property was nearly a year later, and there is no evidence of what, if any funds from the share purchase, were used to purchase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No evidence was led that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remedy would be insufficient. No evidence was given as to whether a judgment against Mr. Li will not be collected. Mr. Zhou had registered a certificate of pending litigation against the property. He argues that if a constructive trust is not granted, and he is granted a judgment only, which he could register against the Richmond property, he will lose priority over any subsequent charges against the property. That may be true, but Mr. Zhou has not asserted a persuasive reason as to why he should be in effect granted the status of a secured creditor over others who may have claims against Mr. Li. Mr. Zhou argues that he had to take the steps of proceeding to trial while other creditors may have not had to do that. That is not a sufficient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Further, no evidence was led as to how the interests of others who have charges against the Richmond property may be affected by a declaration of a constructive trust. No notice was given to those creditors, nor was any evidence tendered as to the nature of those charges other than what can be gleaned from the State of Title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Mr. Zhou has not established a basis for ordering a remedial constructive trust or an equitable tracing. It is therefore not necessary for me to make any declaration regarding the Richmond property. Further, while Mr. Fu has testified regarding his lack of interest in the Richmond property, in my view, it would not be appropriate to make a declaration regarding his interests when considering the lack of specificity in his evidence, and in the absence of notice to the other charge holders on the property, and further information regarding those charges. I therefore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Mr. Zhou will have judgment against Mr. Li for $240,000 plus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Mr. Zhou will have costs of this action against Mr. Li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NORELL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Ahmed v. Carrere, [2008] B.C.J. No. 1065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I.C. Meiklem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S082470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1065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743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511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Mr Mohamed Ahmed, Plaintiff, and Drs. Ron G. Carrere, Andrew T. Jakubowski, Krishnan Ramanathan, John G. Webb, Vancouver Coastal Health (Vancouver General Hospital), Providence Health Care (St. Paul's Hospital), College of Physicians and Surgeons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 w:name="Keywords_5"/>
      <w:bookmarkEnd w:id="40"/>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Motion by defendant doctors to strike statement of claim and for an order that claim be dismissed allowed — Statement of claim struck in entirety and plaintiff granted leave to file statement of claim disclosing reasonable claim — Plaintiff's claim was fully defective as a pleading and disclosed no questions to be tried — While some of deficiencies could be corrected by striking specific portions of statement of claim, there was too much wrong with claim to consider it a viable pleading even after potential amendment.</w:t>
      </w:r>
    </w:p>
    <w:p>
      <w:pPr>
        <w:jc w:val="both"/>
        <w:rPr>
          <w:rFonts w:ascii="arial" w:eastAsia="arial" w:hAnsi="arial" w:cs="arial"/>
          <w:sz w:val="20"/>
          <w:lang w:val="en-US" w:eastAsia="en-US" w:bidi="ar-SA"/>
        </w:rPr>
      </w:pPr>
      <w:bookmarkStart w:id="41" w:name="Legislation Cited_5"/>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19(24)(a), Rule 19(24)(b)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2" w:name="Counsel_5"/>
      <w:bookmarkEnd w:id="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Mohamed Ahmed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Drs. Ron G. Carrere, Andrew T. Jakubowski, Krishnan Ramanathan, John G. Webb: M.K. Kinch.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5"/>
      <w:bookmarkEnd w:id="43"/>
      <w:r>
        <w:pict>
          <v:line id="_x0000_s1058"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I.C. MEIKLEM J."/>
            <w:bookmarkEnd w:id="44"/>
            <w:r>
              <w:rPr>
                <w:rFonts w:ascii="arial" w:eastAsia="arial" w:hAnsi="arial" w:cs="arial"/>
                <w:b/>
                <w:color w:val="000000"/>
                <w:sz w:val="30"/>
                <w:lang w:val="en-US" w:eastAsia="en-US" w:bidi="ar-SA"/>
              </w:rPr>
              <w:t>I.C. 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doctors, Carrere, Webb and Ramanathan, applied by notice of motion to strike the statement of claim and for an order that the claim be dismissed, or alternatively, an order that the plaintiff file a statement of claim that discloses a reasonable claim within a specified time. Prior to the hearing of the motion, counsel for the above defendants was also retained by Dr. Jakubowski, who joins in the application with the court's leave. The applicants rely on Rule 19(24)(a) and (b)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test to be applied on the application under Rule 19(24)(a) is the well-known test set out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The court must also consider whether the statement of claim is amendable in such manner that it would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 of claim, filed April 8, 2008, is a relatively coherent narrative of the plaintiff's dealings with the defendants and other doctors from December 27, 2006 to March 21, 2007, but I agree with the applicant's argument that it is fully defective as a pleading. It discloses no question to be tried. The only reference in the statement of claim to a cause of action similar to any other known to the law is the inclusion in the prayer for relief of a claim for "Damages for conspiracy to cause premature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narrative begins with the background information that he underwent open heart surgeries in 1987 and in June 2007, and had also "endured" numerous angiograms and angioplasties. On December 27, 2006, he experienced chest pains and his wife took him to the UBC Hospital emergency department. He was taken from there by ambulance to St. Paul's Hospital. The defendant, Dr. Webb, performed an angiogram at St. Paul's Hospital on December 29, 2006. Another St. Paul's Hospital cardiologist, the defendant, Dr. Carrere, apparently told the plaintiff that the angiogram showed "nothing wrong" and they were sending him home. Dr. Carrere expressed anger that a nurse had provided the plaintiff with a copy of a diagram showing the results of the angiogram. At the same time, Dr. Carrere informed the plaintiff and his wife that "opening one of the 100% blocked arteries" would increase the blood flow tremendously and that he would write his recommendation to the plaintiff's regular cardiologist, the defendant, Dr. Jakubowski.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narrative continues with him being hospitalized at a later unspecified time in Richmond where he was seen by Dr. Jakubowski, who engaged other specialties to investigate the plaintiff's chest pain symptoms. Dr. Jakubowski discontinued heart medications and released the plaintiff after two and a half weeks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few days later, still experiencing symptoms, the plaintiff was driven by his wife to Vancouver General Hospital ("VGH"):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hope, that the staff in this hospital would find the culprit of my ongoing chest-pain and dizziness. The intern checked me out and came back later with a team, who had absolutely no bedside manners, including the cardiologist.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cardiologist referred to was the defendant, Dr. Ramanathan. Paragraph 10 of the statement of claim sets out the plaintiff's limited dealings with Dr. Ramanathan. Dr. Ramanathan was concerned about whether the plaintiff had driven himself to the hospital and ordered him not to go to any other hospital, which the plaintiff took as an "insinuation" that he had exhausted all his options to be treated in Vancouver. Dr. Ramanathan told Mr. Ahmed that he had looked at all his records, including "the angiogram", but discharged him with the information that he would be called within one month for a MIBI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consequence of his dissatisfaction with this attendance, the plaintiff then apparently launched a complaint against the Board of Trustees of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Then, according to paragraph 12 of the statement of claim, he forwarded a CD of the angiogram and other medical reports to at least six hospitals in other countries,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all replied that my case was so serious that I should enter a hospital as soon as possible because one of my arteries had an aneurism, which could blow up any time and cause instant death .... We were shocked and terrified that all the cardiologists we got to know in Vancouver, had conspired together to have me die or killed and rather break their medical oath instead of doing the right thing and give the treatment I so desperately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statement of claim goes on to relate the plaintiff's collapse at home on March 19, 2007, and his transport by ambulance to St. Paul's Hospital, where he was attended by Dr. Aymong "a very pleasant female cardiologist, who I had encountered a few years earlier at St. Paul's". This doctor said she would arrange a meeting the following day at 7 a.m. "with the rest of the cardiologists from St. Paul's and VGH to discuss my case ... and decide which procedure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following day a cardiologist named Dr. Buller performed an angioplasty and inserted two medicated stents, and Dr. Aymong apparently renewed a list of medications which Dr. Jakubowski had previously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Apart from the reference in paragraph 12 to the plaintiff's fear that "... all the cardiologists we got to know" had conspired to have him "die or killed", the only other reference to conspiracy in the enumerated paragraphs of the statement of claim is contained in paragraph 21 which reads: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effect they admitted and confirmed that during the months of December 2006 to February 2007 the four above-mentioned cardiologists and their superiors in the three hospitals and the College of Physicians and Surgeons of British Columbia, who licensed and supervise the cardiologists named above, knew without a shadow of a doubt that I needed immediate attention to correct my severe coronary condition, but have conspired and protected each other in their cover-up in which they concluded that there was nothing wrong with my heart falsified their reports and angiogram results. They have been lying to my wife and me, stopped my vital heart medications, which I should take until the end of my life. They poisoned me with useless medications and refused me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first sentence of this paragraph is an assertion of a constructive or implied admission ("in effect") by persons ("they") whose identity is not specified and is not discernible from the context. The most logical candidates intended to be referred to by the pronoun "they" in the context of the four preceding paragraphs would seem to be Drs. Aymong and Buller, but if "they" refers to those two doctors, the sentence is not asserting the fact of a relevant admission by the defendants, rather it is asserting that these third persons somehow (perhaps, one might guess, by performing the angioplasty not undertaken earlier) confirmed the plaintiff's suspicions of a conspiracy. That is pleading argument not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Even if one ignores the grammatical structure of the first sentence in paragraph 21 and the reference to someone admitting and confirming some fact, and tries to discern a factual assertion of a conspiracy, it is impossible to do so with any specificity. One might surmise that the "four above mentioned cardiologists" might be the four named defendants, rather than the last four cardiologists named in the statement of claim, but perhaps that was not intended. Even if the sentence is read as an allegation that four cardiologists and their unidentified "superiors in the three hospitals and the College of Physicians and Surgeons of British Columbia ... conspired", there are no specific facts set out describing the timing or the nature or the purpose of any conspiracy. The only further reference to any conspiracy is in the prayer for relief, where, for the first time, it is called a conspiracy to cause premature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23 (the second paragraph bearing that number), refers to "the criminal intention" of the "above mentioned physicians with the condonance of their hospitals", in a preamble to a testamentary statement purporting to "assign" his rights in the case to his wife. This is not a factual pleading, and the purported testamentary statement, of course, has no place in a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are many additional difficulties with the statement of claim that I need not go through in detail. For example, included in the remedies sought is the "... revoking of medical licenses to practise medicine." Some of these other deficiencies could be corrected by striking only specific portions of the statement of claim, but I am of the view that there is too much wrong with the statement of claim to consider it a viable pleading of a tortuous conspiracy claim, even after potential amendment. Coherent as the narrative is as a story of the origins of Mr. Ahmed's grievances about inadequate medical attention, it runs afoul of the rules of pleadings in reciting evidence and argument, rather than facts in a concise form. To the extent that allegations of fact might be implied with a very liberal approach considering that the plaintiff is self-represented and untrained in the law, the implied factual allegations would still not touch on the ingredients of the tort of conspiracy as set out in the authorities usefully reviewed in a case cited to me by Ms. Kinch; namely, </w:t>
      </w:r>
      <w:r>
        <w:rPr>
          <w:rFonts w:ascii="arial" w:eastAsia="arial" w:hAnsi="arial" w:cs="arial"/>
          <w:b/>
          <w:i/>
          <w:color w:val="000000"/>
          <w:sz w:val="20"/>
          <w:lang w:val="en-US" w:eastAsia="en-US" w:bidi="ar-SA"/>
        </w:rPr>
        <w:t>Olenga v. Insurance Corp. of British Columbia</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2005 BCSC 1015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statement of claim is struck in its entirety. Rather than dismiss the action immediately, I will adopt the alternative course suggested in the application and grant leave to the plaintiff to file a statement of claim that discloses a reasonable claim within thirty (30) days of the release of this decision. The applicants will have costs of this application payable forthwith. In the event that the plaintiff does not file a new statement of claim in the time period granted, the defendants may apply by requisition for a desk order dismissing the action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am granting leave to file a new statement of claim primarily because some of the factual allegations that can be implied from the narrative suggest that the plaintiff might be alleging misdiagnosis on the occasion of his hospitalization on December 27 to 29 of 2006, and this might theoretically provide the basis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I strongly urge Mr. Ahmed to seek legal advice before filing another statement of claim pursuant to the leave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also wish to remind Mr. Ahmed of my suggestion to him at the hearing that, as a man with a severe heart condition, he may wish to consider whether the hoped for outcome of a potential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is worth the likely cost, monetary and otherwise, of proceeding self-represented and requiring the use of foreign experts, in the situation where his theoretical claim is apparently for damages for stress and anxiety over a three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impassioned submissions, the plaintiff made it plain that his objective in this action is to punish the defendant doctors to the point of complete financial impoverishment and destruction of their careers for their alleged mistreatment of him. In his words, he wants to "paralyze" them financially and professionally. I must say that that appears to be a completely disproportionate response to any of the more rational of his allegations and it smacks of malice. He also stated that a secondary motive is to expose and help rectify what he perceives as systemic discrimination in the medical profession against immigrant minorities. It is not clear how this could be achieved within this action, but, in any event, the plaintiff should be cautioned that commencing litigation with undisclosed ulterior motives or pursuing unfounded claims with malicious intent could be considered reprehensible behaviour giving rise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Allen v. Dennis P.A. Nimchuk Inc., [2016] B.C.J. No. 1065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10, 2016.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25, 2016.</w:t>
      </w:r>
    </w:p>
    <w:p>
      <w:pPr>
        <w:spacing w:before="120" w:line="260" w:lineRule="atLeast"/>
        <w:jc w:val="center"/>
        <w:rPr>
          <w:lang w:val="en-US" w:eastAsia="en-US" w:bidi="ar-SA"/>
        </w:rPr>
      </w:pPr>
      <w:r>
        <w:rPr>
          <w:rFonts w:ascii="arial" w:eastAsia="arial" w:hAnsi="arial" w:cs="arial"/>
          <w:color w:val="000000"/>
          <w:sz w:val="20"/>
          <w:lang w:val="en-US" w:eastAsia="en-US" w:bidi="ar-SA"/>
        </w:rPr>
        <w:t>Docket: 143940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B.C.J. No. 1065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BCSC 940</w:t>
      </w:r>
    </w:p>
    <w:p>
      <w:pPr>
        <w:spacing w:before="120" w:line="260" w:lineRule="atLeast"/>
        <w:rPr>
          <w:lang w:val="en-US" w:eastAsia="en-US" w:bidi="ar-SA"/>
        </w:rPr>
      </w:pPr>
      <w:r>
        <w:rPr>
          <w:rFonts w:ascii="arial" w:eastAsia="arial" w:hAnsi="arial" w:cs="arial"/>
          <w:color w:val="000000"/>
          <w:sz w:val="20"/>
          <w:lang w:val="en-US" w:eastAsia="en-US" w:bidi="ar-SA"/>
        </w:rPr>
        <w:t>Between Felicia Allen, Plaintiff, and Dennis P.A. Nimchuk Inc.,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0" style="position:absolute;z-index:2516654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45" w:name="Keywords_6"/>
      <w:bookmarkEnd w:id="45"/>
      <w:r>
        <w:rPr>
          <w:rFonts w:ascii="arial" w:eastAsia="arial" w:hAnsi="arial" w:cs="arial"/>
          <w:b/>
          <w:color w:val="000000"/>
          <w:sz w:val="20"/>
          <w:lang w:val="en-US" w:eastAsia="en-US" w:bidi="ar-SA"/>
        </w:rPr>
        <w:t>Civil litigation — Limitation of actions — Time — When time begins to run — Application by Dennis P.A. Nimchuk Inc. ("Nimchuk") for summary dismissal of action on basis that relevant limitation periods expired allowed — Allen commenced dental malpractice and defamation claim in 2012, which took place in 2002 — Action was dismissed in its entirety because claim were statute barred — At very latest, cause of action arose in January 2009 — Filing of action in 2012 was outside of limitation period — Limitation Act, ss. 6(3), 6(4).</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6" w:name="Case Summary_4"/>
            <w:bookmarkEnd w:id="4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Dennis P.A. Nimchuk Inc. ("Nimchuk") for summary dismissal of the action on the basis that the relevant limitation periods expired. Allen commenced a dental malpractice and defamation claim in 2012, which took place in 2002. Allen had commenced an application for the same relief in 2004. In 2015, Nimchuk brought an application under Rule 9-5 for the same relief. The application was dismissed because a limitation defence was not a matter that could form the basis of a successful application under Rule 9-5(1). Allen submitted that the limitation period should not flow because she filed her defamation action in the wrong court originally. </w:t>
            </w:r>
            <w:r>
              <w:rPr>
                <w:lang w:val="en-US" w:eastAsia="en-US" w:bidi="ar-SA"/>
              </w:rPr>
              <w:cr/>
            </w:r>
          </w:p>
          <w:p>
            <w:pPr>
              <w:spacing w:before="120" w:line="260" w:lineRule="atLeast"/>
              <w:ind w:left="240"/>
              <w:jc w:val="both"/>
              <w:rPr>
                <w:lang w:val="en-US" w:eastAsia="en-US" w:bidi="ar-SA"/>
              </w:rPr>
            </w:pPr>
            <w:bookmarkStart w:id="47" w:name="Holdings of Court_4"/>
            <w:bookmarkEnd w:id="47"/>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action was dismissed in its entirety. Summary trial on the issue of application of the limitation period was appropriate here. At the very latest, the cause of action arose in January 2009. The action for claims of personal injury and defamation were statute barred. </w:t>
            </w:r>
            <w:r>
              <w:rPr>
                <w:lang w:val="en-US" w:eastAsia="en-US" w:bidi="ar-SA"/>
              </w:rPr>
              <w:cr/>
            </w:r>
          </w:p>
          <w:p>
            <w:pPr>
              <w:rPr>
                <w:lang w:val="en-US" w:eastAsia="en-US" w:bidi="ar-SA"/>
              </w:rPr>
            </w:pPr>
          </w:p>
        </w:tc>
      </w:tr>
    </w:tbl>
    <w:p>
      <w:pPr>
        <w:jc w:val="both"/>
        <w:rPr>
          <w:lang w:val="en-US" w:eastAsia="en-US" w:bidi="ar-SA"/>
        </w:rPr>
      </w:pPr>
      <w:bookmarkStart w:id="48" w:name="Legislation Cited_6"/>
      <w:bookmarkEnd w:id="4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61" style="position:absolute;z-index:2517166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Limitation Act, R.S.B.C. 1996, c. 266, s. 6(3), s. 6(4)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Small Claims Act, </w:t>
      </w:r>
      <w:hyperlink r:id="rId127" w:history="1">
        <w:r>
          <w:rPr>
            <w:rFonts w:ascii="arial" w:eastAsia="arial" w:hAnsi="arial" w:cs="arial"/>
            <w:i/>
            <w:color w:val="0077CC"/>
            <w:sz w:val="20"/>
            <w:u w:val="single"/>
            <w:shd w:val="clear" w:color="auto" w:fill="FFFFFF"/>
            <w:lang w:val="en-US" w:eastAsia="en-US" w:bidi="ar-SA"/>
          </w:rPr>
          <w:t>R.S.B.C. 1996, c. 430, s. 3</w:t>
        </w:r>
      </w:hyperlink>
      <w:r>
        <w:rPr>
          <w:rFonts w:ascii="arial" w:eastAsia="arial" w:hAnsi="arial" w:cs="arial"/>
          <w:color w:val="000000"/>
          <w:sz w:val="20"/>
          <w:lang w:val="en-US" w:eastAsia="en-US" w:bidi="ar-SA"/>
        </w:rPr>
        <w:t>(2) Rule 9-5, Rule 9-7</w:t>
      </w:r>
      <w:r>
        <w:rPr>
          <w:lang w:val="en-US" w:eastAsia="en-US" w:bidi="ar-SA"/>
        </w:rPr>
        <w:cr/>
      </w:r>
    </w:p>
    <w:p>
      <w:pPr>
        <w:keepNext/>
        <w:spacing w:before="240" w:line="340" w:lineRule="atLeast"/>
        <w:rPr>
          <w:lang w:val="en-US" w:eastAsia="en-US" w:bidi="ar-SA"/>
        </w:rPr>
      </w:pPr>
      <w:bookmarkStart w:id="49" w:name="Counsel_6"/>
      <w:bookmarkEnd w:id="4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2" style="position:absolute;z-index:2517678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Plaintiff, appearing on own behalf: Felicia Allen.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D.J. Bell, L. Wilson, Articled Student.</w:t>
      </w:r>
      <w:r>
        <w:rPr>
          <w:lang w:val="en-US" w:eastAsia="en-US" w:bidi="ar-SA"/>
        </w:rPr>
        <w:cr/>
      </w:r>
    </w:p>
    <w:p>
      <w:pPr>
        <w:spacing w:after="240"/>
        <w:rPr>
          <w:lang w:val="en-US" w:eastAsia="en-US" w:bidi="ar-SA"/>
        </w:rPr>
      </w:pPr>
      <w:bookmarkStart w:id="50" w:name="Judgment_6"/>
      <w:bookmarkEnd w:id="50"/>
      <w:r>
        <w:pict>
          <v:line id="_x0000_s1063" style="position:absolute;z-index:2518190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1" w:name="J.R. DILLON J."/>
            <w:bookmarkEnd w:id="51"/>
            <w:r>
              <w:rPr>
                <w:rFonts w:ascii="arial" w:eastAsia="arial" w:hAnsi="arial" w:cs="arial"/>
                <w:b/>
                <w:color w:val="000000"/>
                <w:sz w:val="30"/>
                <w:lang w:val="en-US" w:eastAsia="en-US" w:bidi="ar-SA"/>
              </w:rPr>
              <w:t>J.R. DILLON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Dennis P.A. Nimchuk Inc., applies for dismissal of the action pursuant to Rule 9-7 on the basis that the relevant limitation periods have expired for the plaintiff's dental malpractice and defamation claims. In the alternative with respect to the defamation, the defendant says that the statements were provided on an occasion of absolute privilege.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September 2015, the defendant had brought an application under Rule 9-5 for the same relief on the basis that the claims were statute barred by reason of the expiry of the limitation period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application was dismissed because a limitation defence was not a matter that could form the basis of a successful application under Rule 9-5(1) (</w:t>
      </w:r>
      <w:r>
        <w:rPr>
          <w:rFonts w:ascii="arial" w:eastAsia="arial" w:hAnsi="arial" w:cs="arial"/>
          <w:i/>
          <w:color w:val="000000"/>
          <w:sz w:val="20"/>
          <w:lang w:val="en-US" w:eastAsia="en-US" w:bidi="ar-SA"/>
        </w:rPr>
        <w:t>Allen v. Dennis P.A. Nimchuk Inc.</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[2015] B.C.J. No. 2154</w:t>
        </w:r>
      </w:hyperlink>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2015 BCSC 1800</w:t>
        </w:r>
      </w:hyperlink>
      <w:r>
        <w:rPr>
          <w:rFonts w:ascii="arial" w:eastAsia="arial" w:hAnsi="arial" w:cs="arial"/>
          <w:color w:val="000000"/>
          <w:sz w:val="20"/>
          <w:lang w:val="en-US" w:eastAsia="en-US" w:bidi="ar-SA"/>
        </w:rPr>
        <w:t xml:space="preserve"> at paras. 41-45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background facts were succinctly set out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at paras. 5-37 and have not changed. A brief summary will suffice.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treated by Dr. Nimchuk, a prosthodontist, in 2002 and 2003. She filed a complaint with the College of Dental Surgeons (the "college") in July 2003. Dr. Nimchuk responded to requests of the college in correspondence dated September 12, 2003, November 9, 2003, and June 24, 2004. The college advised Dr. Nimchuk on July 21, 2004 that the investigation was complete, no disciplinary action would take place, and the file was closed (the "college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commenced action against the college in September 2004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libel and in appeal of the college decision. The actions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libel were struck but the British Columbia Court of Appeal granted leave for the plaintiff to bring an appeal of the college decision in the proper form (</w:t>
      </w:r>
      <w:r>
        <w:rPr>
          <w:rFonts w:ascii="arial" w:eastAsia="arial" w:hAnsi="arial" w:cs="arial"/>
          <w:i/>
          <w:color w:val="000000"/>
          <w:sz w:val="20"/>
          <w:lang w:val="en-US" w:eastAsia="en-US" w:bidi="ar-SA"/>
        </w:rPr>
        <w:t>Allen v. College of Dental Surgeons of British Columbia,</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2005 BCSC 842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Allen v. College of Dental Surgeons</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2007 BCCA 75</w:t>
        </w:r>
      </w:hyperlink>
      <w:r>
        <w:rPr>
          <w:rFonts w:ascii="arial" w:eastAsia="arial" w:hAnsi="arial" w:cs="arial"/>
          <w:color w:val="000000"/>
          <w:sz w:val="20"/>
          <w:lang w:val="en-US" w:eastAsia="en-US" w:bidi="ar-SA"/>
        </w:rPr>
        <w:t xml:space="preserve"> and </w:t>
      </w:r>
      <w:hyperlink r:id="rId131" w:history="1">
        <w:r>
          <w:rPr>
            <w:rFonts w:ascii="arial" w:eastAsia="arial" w:hAnsi="arial" w:cs="arial"/>
            <w:i/>
            <w:color w:val="0077CC"/>
            <w:sz w:val="20"/>
            <w:u w:val="single"/>
            <w:shd w:val="clear" w:color="auto" w:fill="FFFFFF"/>
            <w:lang w:val="en-US" w:eastAsia="en-US" w:bidi="ar-SA"/>
          </w:rPr>
          <w:t>2007 BCCA 259</w:t>
        </w:r>
      </w:hyperlink>
      <w:r>
        <w:rPr>
          <w:rFonts w:ascii="arial" w:eastAsia="arial" w:hAnsi="arial" w:cs="arial"/>
          <w:color w:val="000000"/>
          <w:sz w:val="20"/>
          <w:lang w:val="en-US" w:eastAsia="en-US" w:bidi="ar-SA"/>
        </w:rPr>
        <w:t>). This appeal of the college decision remains unresolved.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15, 2009, the college disclosed to the plaintiff its complete investigation file, including the responses of Dr. Nimchuk dated September 12, 2003 and June 24, 2004 which included the alleged defamatory statements (Amended Notice of Civil Claim dated July 19, 2012, para. 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commenced a dental malpractice action in the Provincial Court of British Columbia, Small Claims Division, on November 4, 2004 under the style of cause </w:t>
      </w:r>
      <w:r>
        <w:rPr>
          <w:rFonts w:ascii="arial" w:eastAsia="arial" w:hAnsi="arial" w:cs="arial"/>
          <w:i/>
          <w:color w:val="000000"/>
          <w:sz w:val="20"/>
          <w:lang w:val="en-US" w:eastAsia="en-US" w:bidi="ar-SA"/>
        </w:rPr>
        <w:t>Allen v. Dennis P.A. Nimchuk Inc.</w:t>
      </w:r>
      <w:r>
        <w:rPr>
          <w:rFonts w:ascii="arial" w:eastAsia="arial" w:hAnsi="arial" w:cs="arial"/>
          <w:color w:val="000000"/>
          <w:sz w:val="20"/>
          <w:lang w:val="en-US" w:eastAsia="en-US" w:bidi="ar-SA"/>
        </w:rPr>
        <w:t xml:space="preserve"> On May 22, 2009, the plaintiff amended her small claims action to include an allegation of defamation. On June 20, 2011, at a trial conference, Judge Yee ordered that the plaintiff had leave to apply to transfer the small claims action to the Supreme Court and advised the plaintiff that the provincial court did not have jurisdiction to consider the defamation action. The application to transfer the matter to the Supreme Court was heard on June 21 and 22, 2012. Judge Gallagher dismissed the application to transfer on June 22, 2012 (</w:t>
      </w:r>
      <w:r>
        <w:rPr>
          <w:rFonts w:ascii="arial" w:eastAsia="arial" w:hAnsi="arial" w:cs="arial"/>
          <w:i/>
          <w:color w:val="000000"/>
          <w:sz w:val="20"/>
          <w:lang w:val="en-US" w:eastAsia="en-US" w:bidi="ar-SA"/>
        </w:rPr>
        <w:t>Allen v. Dennis P.A. Nimchuk Inc.,</w:t>
      </w:r>
      <w:r>
        <w:rPr>
          <w:rFonts w:ascii="arial" w:eastAsia="arial" w:hAnsi="arial" w:cs="arial"/>
          <w:color w:val="000000"/>
          <w:sz w:val="20"/>
          <w:lang w:val="en-US" w:eastAsia="en-US" w:bidi="ar-SA"/>
        </w:rPr>
        <w:t xml:space="preserve"> unreported Provincial Court File No. 04-05085, Vancouver, June 22, 2012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Provincial Court)). No judicial review was sought of this decision and the plaintiff terminated her small claims action by notice of withdrawal on June 10, 2015.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commenced this action for malpractice and defamation in the Supreme Court on July 19, 2012. The defendant filed a response to civil claim on August 21, 2012, claiming that the action was statute barred by virtue of expiry of the limitation periods provided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amongst other defences.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application of the defendant for judgment is on the issue of the applicability of a limitation period. Rule 9-7 does contemplate judgment on an issue but if judgment is sought on liability only, the court must consider the principles of severance (</w:t>
      </w:r>
      <w:r>
        <w:rPr>
          <w:rFonts w:ascii="arial" w:eastAsia="arial" w:hAnsi="arial" w:cs="arial"/>
          <w:i/>
          <w:color w:val="000000"/>
          <w:sz w:val="20"/>
          <w:lang w:val="en-US" w:eastAsia="en-US" w:bidi="ar-SA"/>
        </w:rPr>
        <w:t>Zary v. Canada Mortgage and Housing Corporation</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2015 BCSC 1145</w:t>
        </w:r>
      </w:hyperlink>
      <w:r>
        <w:rPr>
          <w:rFonts w:ascii="arial" w:eastAsia="arial" w:hAnsi="arial" w:cs="arial"/>
          <w:color w:val="000000"/>
          <w:sz w:val="20"/>
          <w:lang w:val="en-US" w:eastAsia="en-US" w:bidi="ar-SA"/>
        </w:rPr>
        <w:t xml:space="preserve"> at paras. 27-28;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Burg Properties Ltd.</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Burg Properties Ltd.</w:t>
      </w:r>
      <w:r>
        <w:rPr>
          <w:rFonts w:ascii="arial" w:eastAsia="arial" w:hAnsi="arial" w:cs="arial"/>
          <w:color w:val="000000"/>
          <w:sz w:val="20"/>
          <w:lang w:val="en-US" w:eastAsia="en-US" w:bidi="ar-SA"/>
        </w:rPr>
        <w:t xml:space="preserve"> at para. 27: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[27] There is authority for the proposition that in a summary trial application where a party seeks to proceed only on liability, a two step approach should be followed: the first step is to determine whether there should be severance, and the second step is to determine if a summary trial on the issue of liability is appropriate: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paras. 8-9.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the court stated that the test for severance is whether there are extraordinary, exceptional or compelling reasons for the severance. A compelling reason to order severance is a likelihood of a significant savings in time and expense realized by a summary trial: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xml:space="preserve"> at para. 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test for severance has been met here because of the considerable savings in time and expense that can be accomplished if liability is decided. This is especially so given the tortuous route that this litigation has taken. A decision on the limitation issue has the potential to end the trial, subject to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Summary trial on the issue of application of a limitation period is also appropriate here. It would not be unjust to decide this issue given how long this litigation has been ongoing generally, apart from just the Supreme Court action, and the discrete nature of the defence. There is no difficulty finding the necessary facts which are not in dispute. The amount involved is within the jurisdiction of the small claims court as decided by Judge Gallagher when she ordered that the matter would not be transferred to the Supreme Court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Provincial Court at paras. 26-29). The communication alleged to be defamatory, a confidential communication to a regulatory disciplinary body, is not of the kind to attract a large compensatory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Also, it has been held that a limitation defence issue can be suitable for determination pursuant to Rule 9-7 (</w:t>
      </w:r>
      <w:r>
        <w:rPr>
          <w:rFonts w:ascii="arial" w:eastAsia="arial" w:hAnsi="arial" w:cs="arial"/>
          <w:i/>
          <w:color w:val="000000"/>
          <w:sz w:val="20"/>
          <w:lang w:val="en-US" w:eastAsia="en-US" w:bidi="ar-SA"/>
        </w:rPr>
        <w:t>Blok v. Mathew</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2012 BCSC 754</w:t>
        </w:r>
      </w:hyperlink>
      <w:r>
        <w:rPr>
          <w:rFonts w:ascii="arial" w:eastAsia="arial" w:hAnsi="arial" w:cs="arial"/>
          <w:color w:val="000000"/>
          <w:sz w:val="20"/>
          <w:lang w:val="en-US" w:eastAsia="en-US" w:bidi="ar-SA"/>
        </w:rPr>
        <w:t xml:space="preserve"> at para. 72, aff'd </w:t>
      </w:r>
      <w:hyperlink r:id="rId137" w:history="1">
        <w:r>
          <w:rPr>
            <w:rFonts w:ascii="arial" w:eastAsia="arial" w:hAnsi="arial" w:cs="arial"/>
            <w:i/>
            <w:color w:val="0077CC"/>
            <w:sz w:val="20"/>
            <w:u w:val="single"/>
            <w:shd w:val="clear" w:color="auto" w:fill="FFFFFF"/>
            <w:lang w:val="en-US" w:eastAsia="en-US" w:bidi="ar-SA"/>
          </w:rPr>
          <w:t>2014 BCCA 78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decided by Ehrcke J.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at para. 40 and accepted here, because this action was commenced before June 1, 2013 and all acts or omissions occurred before that date,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to this matter (see s. 30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By s.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plaintiff could not bring an action for damages in respect of injury to the person or for defamation after the expiration of two years after the date on which the right to do so arose.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claim is for personal injury as a result of dental implant surgery which took place in November 2002 and which had terminated by April 2003. Although the plaintiff filed a malpractice action in the provincial court within time, she withdrew that action in June 2015. This action was commenced on July 19, 2012, just after the provincial court refused to transfer the small claims action to the Supreme Court. The right to bring the action arose in April 2003, at the latest. The filing of this action is clearly outside of the limitation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argued that the running of time for the limitation period on the personal injury action should be postponed pursuant to s. 6(3) and (4)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because she had new information as described at pages 4-5 of the application response related to the credentials of Dr. Nimchuk as a "specialist in dental implants". The plaintiff suggested that the doctor was "self-taught" and not a certified specialist. This statement is refuted by Dr. Nimchuk who swore that he is and was at the relevant time a certified specialist in prosthodontics and described the history of the specialty in British Columbia which allowed him to be grandfathered into the specialty and in which he had been qualified through a credible exam process. The evidence of Dr. Nimchuk is accepted on this point. However, the nature of his qualification as a specialist does not go to the claimant's means of knowledge as giving rise to the cause of action and does not provide any relief under s. 6(4).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respect to the claim for defamation, the right to bring that action arose on June 24, 2004, because that is the date of the last letter that allegedly contains the defamatory statements. At the very latest, this cause of action arose in January 2009 when the plaintiff received the investigation file which contained the responsive letters. The filing of this action in July 2012 is outside of the limitation period on either time equation.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argued that the limitation period should not flow because she filed her defamation action in the wrong court. She cited </w:t>
      </w:r>
      <w:r>
        <w:rPr>
          <w:rFonts w:ascii="arial" w:eastAsia="arial" w:hAnsi="arial" w:cs="arial"/>
          <w:i/>
          <w:color w:val="000000"/>
          <w:sz w:val="20"/>
          <w:lang w:val="en-US" w:eastAsia="en-US" w:bidi="ar-SA"/>
        </w:rPr>
        <w:t>Myer v. Saxton</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2008 BCSC 1685</w:t>
        </w:r>
      </w:hyperlink>
      <w:r>
        <w:rPr>
          <w:rFonts w:ascii="arial" w:eastAsia="arial" w:hAnsi="arial" w:cs="arial"/>
          <w:color w:val="000000"/>
          <w:sz w:val="20"/>
          <w:lang w:val="en-US" w:eastAsia="en-US" w:bidi="ar-SA"/>
        </w:rPr>
        <w:t xml:space="preserve">, a distinguishable case because it dealt with the test for setting aside a default judgment. Section 3(2)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is clear that the provincial court does not have jurisdiction in a claim for libel or slander. This argument is without merit.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view of the decision that the action for claims of personal injury and defamation are statute barred because of the application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it is not necessary to consider whether the defamation action should be dismissed on the basis of absolute privilege. However, brief comment may save further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impugned letters written by Dr. Nimchuk to the college were written pursuant to Rule 16.03 of the rules of the college in place at the relevant time as a mandatory response to a written request from the college for information related to the complaint filed by the plaintiff. The college was investigating the complaint as a regulatory body with the power to hold disciplinary proceedings (ss. 28, 36, 38, 42, and 43 </w:t>
      </w:r>
      <w:r>
        <w:rPr>
          <w:rFonts w:ascii="arial" w:eastAsia="arial" w:hAnsi="arial" w:cs="arial"/>
          <w:i/>
          <w:color w:val="000000"/>
          <w:sz w:val="20"/>
          <w:lang w:val="en-US" w:eastAsia="en-US" w:bidi="ar-SA"/>
        </w:rPr>
        <w:t>Dentists Act</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R.S.B.C. 1996, c. 94</w:t>
        </w:r>
      </w:hyperlink>
      <w:r>
        <w:rPr>
          <w:rFonts w:ascii="arial" w:eastAsia="arial" w:hAnsi="arial" w:cs="arial"/>
          <w:color w:val="000000"/>
          <w:sz w:val="20"/>
          <w:lang w:val="en-US" w:eastAsia="en-US" w:bidi="ar-SA"/>
        </w:rPr>
        <w:t>, [repealed April 3/09 by Bill 62, c. 57 (B.C. Reg. 421/2008]). Absolute privilege provides complete immunity for defamatory communications, even when made with malice (</w:t>
      </w:r>
      <w:r>
        <w:rPr>
          <w:rFonts w:ascii="arial" w:eastAsia="arial" w:hAnsi="arial" w:cs="arial"/>
          <w:i/>
          <w:color w:val="000000"/>
          <w:sz w:val="20"/>
          <w:lang w:val="en-US" w:eastAsia="en-US" w:bidi="ar-SA"/>
        </w:rPr>
        <w:t>Fouad v. Longman</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2014 BCSC 785</w:t>
        </w:r>
      </w:hyperlink>
      <w:r>
        <w:rPr>
          <w:rFonts w:ascii="arial" w:eastAsia="arial" w:hAnsi="arial" w:cs="arial"/>
          <w:color w:val="000000"/>
          <w:sz w:val="20"/>
          <w:lang w:val="en-US" w:eastAsia="en-US" w:bidi="ar-SA"/>
        </w:rPr>
        <w:t xml:space="preserve"> at para. 83 (</w:t>
      </w:r>
      <w:r>
        <w:rPr>
          <w:rFonts w:ascii="arial" w:eastAsia="arial" w:hAnsi="arial" w:cs="arial"/>
          <w:i/>
          <w:color w:val="000000"/>
          <w:sz w:val="20"/>
          <w:lang w:val="en-US" w:eastAsia="en-US" w:bidi="ar-SA"/>
        </w:rPr>
        <w:t>Fouad</w:t>
      </w:r>
      <w:r>
        <w:rPr>
          <w:rFonts w:ascii="arial" w:eastAsia="arial" w:hAnsi="arial" w:cs="arial"/>
          <w:color w:val="000000"/>
          <w:sz w:val="20"/>
          <w:lang w:val="en-US" w:eastAsia="en-US" w:bidi="ar-SA"/>
        </w:rPr>
        <w:t>)). Absolute privilege applies to statements made in the initiation or during the course of proceedings before a statutory body exercising disciplinary powers over a member with respect to professional conduct (</w:t>
      </w:r>
      <w:r>
        <w:rPr>
          <w:rFonts w:ascii="arial" w:eastAsia="arial" w:hAnsi="arial" w:cs="arial"/>
          <w:i/>
          <w:color w:val="000000"/>
          <w:sz w:val="20"/>
          <w:lang w:val="en-US" w:eastAsia="en-US" w:bidi="ar-SA"/>
        </w:rPr>
        <w:t>Fouad</w:t>
      </w:r>
      <w:r>
        <w:rPr>
          <w:rFonts w:ascii="arial" w:eastAsia="arial" w:hAnsi="arial" w:cs="arial"/>
          <w:color w:val="000000"/>
          <w:sz w:val="20"/>
          <w:lang w:val="en-US" w:eastAsia="en-US" w:bidi="ar-SA"/>
        </w:rPr>
        <w:t xml:space="preserve"> at para. 84;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Schut v. Magee</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2003 BCCA 417</w:t>
        </w:r>
      </w:hyperlink>
      <w:r>
        <w:rPr>
          <w:rFonts w:ascii="arial" w:eastAsia="arial" w:hAnsi="arial" w:cs="arial"/>
          <w:color w:val="000000"/>
          <w:sz w:val="20"/>
          <w:lang w:val="en-US" w:eastAsia="en-US" w:bidi="ar-SA"/>
        </w:rPr>
        <w:t xml:space="preserve"> at paras. 14-19) (</w:t>
      </w:r>
      <w:r>
        <w:rPr>
          <w:rFonts w:ascii="arial" w:eastAsia="arial" w:hAnsi="arial" w:cs="arial"/>
          <w:i/>
          <w:color w:val="000000"/>
          <w:sz w:val="20"/>
          <w:lang w:val="en-US" w:eastAsia="en-US" w:bidi="ar-SA"/>
        </w:rPr>
        <w:t>Schut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2002 BCSC 1234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aff'd </w:t>
      </w:r>
      <w:hyperlink r:id="rId141"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Joyce J. at para. 60 found the Law Society and the Certified General Accountants Association to be quasi-judicial bodies empowered by statute with a duty to investigate complaints and to hold disciplinary hearings. As such, a person filing a complaint to the college was protected by absolute privilege from all causes of action derived from the act complained of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at para. 73). Joyce J. quoted at paras. 54-57 from </w:t>
      </w:r>
      <w:r>
        <w:rPr>
          <w:rFonts w:ascii="arial" w:eastAsia="arial" w:hAnsi="arial" w:cs="arial"/>
          <w:i/>
          <w:color w:val="000000"/>
          <w:sz w:val="20"/>
          <w:lang w:val="en-US" w:eastAsia="en-US" w:bidi="ar-SA"/>
        </w:rPr>
        <w:t>Sussman v. Eales</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(1985), 33 C.C.L.T. 156</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Sussman</w:t>
      </w:r>
      <w:r>
        <w:rPr>
          <w:rFonts w:ascii="arial" w:eastAsia="arial" w:hAnsi="arial" w:cs="arial"/>
          <w:color w:val="000000"/>
          <w:sz w:val="20"/>
          <w:lang w:val="en-US" w:eastAsia="en-US" w:bidi="ar-SA"/>
        </w:rPr>
        <w:t xml:space="preserve">), app. all'd in part </w:t>
      </w:r>
      <w:hyperlink r:id="rId145" w:history="1">
        <w:r>
          <w:rPr>
            <w:rFonts w:ascii="arial" w:eastAsia="arial" w:hAnsi="arial" w:cs="arial"/>
            <w:i/>
            <w:color w:val="0077CC"/>
            <w:sz w:val="20"/>
            <w:u w:val="single"/>
            <w:shd w:val="clear" w:color="auto" w:fill="FFFFFF"/>
            <w:lang w:val="en-US" w:eastAsia="en-US" w:bidi="ar-SA"/>
          </w:rPr>
          <w:t>(1986) 25 C.P.C. (2d) 7</w:t>
        </w:r>
      </w:hyperlink>
      <w:r>
        <w:rPr>
          <w:rFonts w:ascii="arial" w:eastAsia="arial" w:hAnsi="arial" w:cs="arial"/>
          <w:color w:val="000000"/>
          <w:sz w:val="20"/>
          <w:lang w:val="en-US" w:eastAsia="en-US" w:bidi="ar-SA"/>
        </w:rPr>
        <w:t xml:space="preserve"> (Ont. C.A.) which found that the complaint and disciplinary process of the Royal College of Dental Surgeons was quasi-judicial in nature such that absolute immunity applied to a document properly used in the course of any proceedings. Although both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Sussman</w:t>
      </w:r>
      <w:r>
        <w:rPr>
          <w:rFonts w:ascii="arial" w:eastAsia="arial" w:hAnsi="arial" w:cs="arial"/>
          <w:color w:val="000000"/>
          <w:sz w:val="20"/>
          <w:lang w:val="en-US" w:eastAsia="en-US" w:bidi="ar-SA"/>
        </w:rPr>
        <w:t xml:space="preserve"> dealt with the initiating complaint to the disciplinary college, the immunity applies to any statements used in the course of a disciplinary proceeding (</w:t>
      </w:r>
      <w:r>
        <w:rPr>
          <w:rFonts w:ascii="arial" w:eastAsia="arial" w:hAnsi="arial" w:cs="arial"/>
          <w:i/>
          <w:color w:val="000000"/>
          <w:sz w:val="20"/>
          <w:lang w:val="en-US" w:eastAsia="en-US" w:bidi="ar-SA"/>
        </w:rPr>
        <w:t>Schut</w:t>
      </w:r>
      <w:r>
        <w:rPr>
          <w:rFonts w:ascii="arial" w:eastAsia="arial" w:hAnsi="arial" w:cs="arial"/>
          <w:color w:val="000000"/>
          <w:sz w:val="20"/>
          <w:lang w:val="en-US" w:eastAsia="en-US" w:bidi="ar-SA"/>
        </w:rPr>
        <w:t xml:space="preserve"> at para. 17). Absolute privilege therefore attaches to the mandatory response of Dr. Nimchuk to the college's request for information arising from the plaintiff's complaint as contained in the letters to the college of September 12, 2003 and June 24,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action is dismissed in its entirety because the claims are statute barred. The defendant/applicant is awarded costs of the action on Scale 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J.R. 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Bergeron v. British Columbia (Workers' Compensation Board), [2000] B.C.J. No. 2160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3180/98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2160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1548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683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Lloyd Ernest Bergeron, plaintiff, and Workers' Compensation Board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2" w:name="Keywords_7"/>
      <w:bookmarkEnd w:id="52"/>
      <w:r>
        <w:rPr>
          <w:rFonts w:ascii="arial" w:eastAsia="arial" w:hAnsi="arial" w:cs="arial"/>
          <w:b/>
          <w:color w:val="000000"/>
          <w:sz w:val="20"/>
          <w:lang w:val="en-US" w:eastAsia="en-US" w:bidi="ar-SA"/>
        </w:rPr>
        <w:t>Limitation of actions — Enlargement of time period — Bars — Termination of limitation period.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3" w:name="Case Summary_5"/>
            <w:bookmarkEnd w:id="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Workers' Compensation Board for an order to dismiss Bergeron's action against it for damages. Bergeron claimed that the Board advised his physician in November 1962 that he abused narcotics and that he did not receive proper medical care between because of this allegation. Bergeron claimed that the limitation period should be extended. He did not learn of the correspondence between his physician and the Board until October 1996 and commenced this action in September 1998.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4" w:name="Holdings of Court_5"/>
            <w:bookmarkEnd w:id="5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Section 6 of the Limitation Act allowed the commencement of a limitation period to be postponed. However, section 6(8) provided an ultimate limitation period of 30 years. The latest date that this cause of action could have arisen was November 1962. The action was barred by the 30-year limitation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5" w:name="Legislation Cited_7"/>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 6, 6(1), 6(3), 6(7), 6(8).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6" w:name="Counsel_7"/>
      <w:bookmarkEnd w:id="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T.L. Brown, Q.C., for the plaintiff. B.S. Parkin,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8"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MELVIN J."/>
            <w:bookmarkEnd w:id="58"/>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its notice of motion issued August 15, 2000, the defendant seeks a dismissal of the plaintiff's claim pursuant to R. 19(24) of the rules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test to be applied is set forth in Carey Canada Inc. et al v. Hunt et al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a decision of the Supreme Court of Canada on appeal from the judgment of the Court of Appeal of British Columbia. At page 289,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 19(24)(a) of the British Columbia Rules of Court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 listed in R. 19(24) of the British Columbia Rules of Court should the relevant portions of a plaintiff's statement of claim be struck out under R.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respect, it is necessary to consider the cause of action of the plaintiff as disclosed by the writ, amended writ and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Writ issued September 1, 1998: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is for general and special damages for injuries caused by the Defendants' breach of contractual duty, breach of fiduciary duty, breach of statutory duty or, in the alternative,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by failing to provide the Plaintiff with an arthrodesis of the ankle and/or other appropriate medical treatment and care between the years of 1953 and 1977, and for costs.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writ described the plaintiff's claim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is against the Defendant for damages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breach of fiduciary duty, breach of statute duty and bad faith and in failing to provide the Plaintiff with an arthrodesis of the ankle and/or other appropriate medical treatment and care between the years of 1953 and 1977, and for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statement of claim, the plaintiff alleges an injury in September 1953 and that since that injury, the plaintiff has been eligible for treatment and benefits pursuant to the Workers Compensation Act. The plaintiff alleges that on numerous occasions from 1957 through 1976 the plaintiff's physicians recommended that the plaintiff receive an arthrodesis of the ankle. The significant allegation in the statement of claim is contained in paragraph 11:</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 response to the Plaintiff's physicians' requests for approval of arthrodesis, repeatedly and erroneously informed the Plaintiffs' physicians that the Plaintiff abused narcotics. As a result, the arthrodesis was never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demanded particulars of paragraph 11 which particulars were provided by the plaintiff identifying a series of letters (eight in number), the last being November 20, 1962.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nature of the plaintiff's cause of action is the allegation that the defendant improperly advised the plaintiff's physician that the plaintiff abused narcotics which resulted in the medical procedure requested not being performed which resulted in continuation of the plaintiff's injury leading ultimately to amputation of the plaintiff's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last occurrence in the chain of events which created the cause of action is the letter of November 20, 1962. The subsequent impact on the plaintiff of the 1962 and earlier correspondence, which resulted in him not receiving the medical treatment, in my opinion, relate not to a cause of action, but to damage or injury flowing from the alleged wrongful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statement of claim, the plaintiff alleges that he did not know or could not become aware of the correspondence between the defendant and his medical professionals until October of 1996. His learning of the correspondence triggered the action commenced September 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the hearing of the defendant's application, it was conceded by the defence that the right to bring an action arises when the negligent and consequent damage occur, not when they are discovered. In that respect, counsel refer to Bera v. Marr </w:t>
      </w:r>
      <w:hyperlink r:id="rId153"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and Wittman v. Emmott et al </w:t>
      </w:r>
      <w:hyperlink r:id="rId154" w:history="1">
        <w:r>
          <w:rPr>
            <w:rFonts w:ascii="arial" w:eastAsia="arial" w:hAnsi="arial" w:cs="arial"/>
            <w:i/>
            <w:color w:val="0077CC"/>
            <w:sz w:val="20"/>
            <w:u w:val="single"/>
            <w:shd w:val="clear" w:color="auto" w:fill="FFFFFF"/>
            <w:lang w:val="en-US" w:eastAsia="en-US" w:bidi="ar-SA"/>
          </w:rPr>
          <w:t>(1991), 53 B.C.L.R. (2d) 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my view, it is unnecessary to go through the writ and statement of claim to consider whether or not there is a cause of action in breach of contract; a cause of action in defamation; a cause of action in breach of fiduciary duty; or the like, because of the operation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Section 6 of the Limitation Act provides for a set of circumstances under which the running of time with respect to limits set by the Act may be postponed. Subsection (1) relates to actions based on fraud or fraudulent breach of trust where the running of time is postponed against the beneficiary until the beneficiary becomes fully aware of the fraud. Subsection (3) identifies a number of separate and distinct causes of action, the running of time with respect to which may be postponed until the identity of the defendant is known and those facts within the plaintiff's means of knowledge are such that a reasonable person would regard the facts showing a cause of action. Subsection (7) provides for a postponement in terms of actions of a minor or a person suffering a disability or lacking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subsection (8), in my view, overrides all. It provides for an ultimate limitation period, after the expiration of 30 years from the date on which the right to commence proceedings arose. In this respect, based on the particulars provided, the latest date at which the cause of action against the defendant may have arisen is November 20, 1962. Consequently, the plaintiff's action is barred by the 30-year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applicability of the 30-year limitation was the subject of comment by the Supreme Court of Canada in Blueberry River Indian Band v. Canada </w:t>
      </w:r>
      <w:hyperlink r:id="rId155" w:history="1">
        <w:r>
          <w:rPr>
            <w:rFonts w:ascii="arial" w:eastAsia="arial" w:hAnsi="arial" w:cs="arial"/>
            <w:i/>
            <w:color w:val="0077CC"/>
            <w:sz w:val="20"/>
            <w:u w:val="single"/>
            <w:shd w:val="clear" w:color="auto" w:fill="FFFFFF"/>
            <w:lang w:val="en-US" w:eastAsia="en-US" w:bidi="ar-SA"/>
          </w:rPr>
          <w:t>(1995), 130 D.L.R. (4th) 193</w:t>
        </w:r>
      </w:hyperlink>
      <w:r>
        <w:rPr>
          <w:rFonts w:ascii="arial" w:eastAsia="arial" w:hAnsi="arial" w:cs="arial"/>
          <w:color w:val="000000"/>
          <w:sz w:val="20"/>
          <w:lang w:val="en-US" w:eastAsia="en-US" w:bidi="ar-SA"/>
        </w:rPr>
        <w:t>, where Madam Justice McLachlin in discussing the provisions of the Limitation Act in the Province of British Columbia,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 The relevant legislation in British Columbia is the Limitation Act, R.S.B.C. 1979, c. 236. Section 8 of that Act places a general ultimate 30-year limitation on any action: no action may be brought after the expiration of 30 years from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Madam Justice McLaughlin was not writing for the majority, Mr. Justice Gonthier in writing for the majority, agreed with her application of the British Columbia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Consequently, the plaintiff's action is dismissed, with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Biggar v. Enns, [2017] B.C.J. No. 2545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6-7, 2017.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12, 2017.</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M165486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[2017] B.C.J. No. 2545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2017 BCSC 2290</w:t>
      </w:r>
    </w:p>
    <w:p>
      <w:pPr>
        <w:spacing w:before="120" w:line="260" w:lineRule="atLeast"/>
        <w:rPr>
          <w:lang w:val="en-US" w:eastAsia="en-US" w:bidi="ar-SA"/>
        </w:rPr>
      </w:pPr>
      <w:r>
        <w:rPr>
          <w:rFonts w:ascii="arial" w:eastAsia="arial" w:hAnsi="arial" w:cs="arial"/>
          <w:color w:val="000000"/>
          <w:sz w:val="20"/>
          <w:lang w:val="en-US" w:eastAsia="en-US" w:bidi="ar-SA"/>
        </w:rPr>
        <w:t>Between Donald William Biggar, Plaintiff, and Dennis Paul Enns,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0" style="position:absolute;z-index:2516674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9" w:name="Keywords_8"/>
      <w:bookmarkEnd w:id="59"/>
      <w:r>
        <w:rPr>
          <w:rFonts w:ascii="arial" w:eastAsia="arial" w:hAnsi="arial" w:cs="arial"/>
          <w:b/>
          <w:color w:val="000000"/>
          <w:sz w:val="20"/>
          <w:lang w:val="en-US" w:eastAsia="en-US" w:bidi="ar-SA"/>
        </w:rPr>
        <w:t>Transportation law — Motor vehicles and highway traffic — Liability — Civil actions — Action by motorist for damages for injuries sustained in accident allowed — While on motorcycle trip together, plaintiff lost control of vehicle when he braked to avoid colliding with defendant, who was perpendicular across lane, attempting to regain position after he had lost control — Defendant caused accident and plaintiff was not contributorily negligent — There was no evidence plaintiff's speed was excessive or unreasonable for road conditions, he was not careless in his braking and he was not following defendant too closely.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0" w:name="Case Summary_6"/>
            <w:bookmarkEnd w:id="6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a motorist for damages for injuries sustained in an accident. The parties were friends. While on a two-week motorcycling trip together, the parties were involved in an accident in which the plaintiff was injured. The parties had been travelling on a windy road through the desert. As the defendant rounded a curve in the road, he gazed out over the canyon. As a result, he lost control of his motorcycle and crossed over the centre line. He quickly took corrective action to get back into position, but failed to look to his right as he did so. Consequently, when the plaintiff rounded the curve, he was confronted with the defendant in a perpendicular position on the road ahead. In order to avoid crashing into the defendant, the plaintiff braked hard, causing him to lose control of his bike. The plaintiff suffered five broken ribs, a broken collarbone and a shattered shoulder in the accident. The police report identified the plaintiff as the cause of the accident. The defendant admitted some responsibility for the accident, but claimed that the plaintiff was also contributorily negligent. The parties agreed on the quantum of damages. </w:t>
            </w:r>
            <w:r>
              <w:rPr>
                <w:lang w:val="en-US" w:eastAsia="en-US" w:bidi="ar-SA"/>
              </w:rPr>
              <w:cr/>
            </w:r>
          </w:p>
          <w:p>
            <w:pPr>
              <w:spacing w:before="120" w:line="260" w:lineRule="atLeast"/>
              <w:ind w:left="240"/>
              <w:jc w:val="both"/>
              <w:rPr>
                <w:lang w:val="en-US" w:eastAsia="en-US" w:bidi="ar-SA"/>
              </w:rPr>
            </w:pPr>
            <w:bookmarkStart w:id="61" w:name="Holdings of Court_6"/>
            <w:bookmarkEnd w:id="61"/>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 was liable for the accident and the plaintiff was not contributorily negligent. There was no evidence that the plaintiff's speed was excessive or unreasonable for the road conditions, he was not careless in his braking and he was not following the defendant too closely. The defendant ought to have stayed on the shoulder and allowed the plaintiff to pass before trying to regain his position. Furthermore, the defendant lost control of his motorcycle by gazing over the canyon as he took the curve. It was a reasonable course of action for the plaintiff to brake hard in an attempt to avoid colliding with the defendant or an oncoming vehicle, which caused him to lose control. The plaintiff was entitled to assume that the defendant had negotiated the curve safely. He could not be blamed for acting reasonably to avoid a more serious accident. </w:t>
            </w:r>
            <w:r>
              <w:rPr>
                <w:lang w:val="en-US" w:eastAsia="en-US" w:bidi="ar-SA"/>
              </w:rPr>
              <w:cr/>
            </w:r>
          </w:p>
          <w:p>
            <w:pPr>
              <w:rPr>
                <w:lang w:val="en-US" w:eastAsia="en-US" w:bidi="ar-SA"/>
              </w:rPr>
            </w:pPr>
          </w:p>
        </w:tc>
      </w:tr>
    </w:tbl>
    <w:p>
      <w:pPr>
        <w:jc w:val="both"/>
        <w:rPr>
          <w:lang w:val="en-US" w:eastAsia="en-US" w:bidi="ar-SA"/>
        </w:rPr>
      </w:pPr>
      <w:bookmarkStart w:id="62" w:name="Legislation Cited_8"/>
      <w:bookmarkEnd w:id="6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71" style="position:absolute;z-index:2517186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163"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(1), s. 162(1)</w:t>
      </w:r>
      <w:r>
        <w:rPr>
          <w:lang w:val="en-US" w:eastAsia="en-US" w:bidi="ar-SA"/>
        </w:rPr>
        <w:cr/>
      </w:r>
    </w:p>
    <w:p>
      <w:pPr>
        <w:keepNext/>
        <w:spacing w:before="240" w:line="340" w:lineRule="atLeast"/>
        <w:rPr>
          <w:lang w:val="en-US" w:eastAsia="en-US" w:bidi="ar-SA"/>
        </w:rPr>
      </w:pPr>
      <w:bookmarkStart w:id="63" w:name="Counsel_8"/>
      <w:bookmarkEnd w:id="6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2" style="position:absolute;z-index:2517698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 Epstein, C. Gale, Articled Student.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 Wilkinson.</w:t>
      </w:r>
      <w:r>
        <w:rPr>
          <w:lang w:val="en-US" w:eastAsia="en-US" w:bidi="ar-SA"/>
        </w:rPr>
        <w:cr/>
      </w:r>
    </w:p>
    <w:p>
      <w:pPr>
        <w:spacing w:after="240"/>
        <w:rPr>
          <w:lang w:val="en-US" w:eastAsia="en-US" w:bidi="ar-SA"/>
        </w:rPr>
      </w:pPr>
      <w:bookmarkStart w:id="64" w:name="Judgment_8"/>
      <w:bookmarkEnd w:id="64"/>
      <w:r>
        <w:pict>
          <v:line id="_x0000_s1073" style="position:absolute;z-index:2518210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5" w:name="N. SHARMA J."/>
            <w:bookmarkEnd w:id="65"/>
            <w:r>
              <w:rPr>
                <w:rFonts w:ascii="arial" w:eastAsia="arial" w:hAnsi="arial" w:cs="arial"/>
                <w:b/>
                <w:color w:val="000000"/>
                <w:sz w:val="30"/>
                <w:lang w:val="en-US" w:eastAsia="en-US" w:bidi="ar-SA"/>
              </w:rPr>
              <w:t>N. SHARMA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and the defendant are friends who decided to go on a two week motorcycle trip covering most of the western United States in August 2014. Both were experienced motorcycle riders. Unfortunately, the plaintiff was injured during that trip.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trial addressed liability only because the parties agree on the </w:t>
      </w:r>
      <w:r>
        <w:rPr>
          <w:rFonts w:ascii="arial" w:eastAsia="arial" w:hAnsi="arial" w:cs="arial"/>
          <w:i/>
          <w:color w:val="000000"/>
          <w:sz w:val="20"/>
          <w:lang w:val="en-US" w:eastAsia="en-US" w:bidi="ar-SA"/>
        </w:rPr>
        <w:t>quantum</w:t>
      </w:r>
      <w:r>
        <w:rPr>
          <w:rFonts w:ascii="arial" w:eastAsia="arial" w:hAnsi="arial" w:cs="arial"/>
          <w:color w:val="000000"/>
          <w:sz w:val="20"/>
          <w:lang w:val="en-US" w:eastAsia="en-US" w:bidi="ar-SA"/>
        </w:rPr>
        <w:t xml:space="preserve"> of damages. There were only two witnesses: the parties themselves.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came to an agreed statement of facts. In addition, their testimony was consistent on the material points. The following paragraphs constitute my findings of fact, based on that agreement and the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on August 17, 2014 on a hot, sunny day. The parties were travelling westbound on Montezuma Valley Road, which is in southern California. It is a windy road through desert terrain, apparently making it an attraction for motorcyclists.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spent the night before the accident in a small town in Arizona and had lunch in Borrego Springs, which is about four miles from the start of Montezuma Valley Road. They were headed toward Palm Springs.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agreed that there was little traffic and no wildlife on Montezuma Valley Road that day. Although the plaintiff had never travelled on that road before, the defendant had driven it on two previous occasions. Neither party was impaired by alcohol, fatigue or illness.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no maximum speed limit for Montezuma Valley Road. There was a sign indicating the road would be windy for ten miles. No speed limit was written on that 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men identified other signs that were on the road from photos, which were entered into evidence. The signs would depict the direction and angle of an upcoming curve (or turn), and have a speed written underneath that symbol (20, 25 or 30 mph).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men testified that in their mind, if a sign showed an upcoming road feature (such as a curve) with a designated speed, the speed was applicable only to that upcoming feature. Neither man believed that it would apply to the rest of the road beyond that sign. There was no evidence presented that suggested otherwise. That interpretation is reasonable because there were different speed signs posted, presumably dependent upon the angle of the upcoming curve. Therefore, I am satisfied that the speed posted on signs was not applicable generally to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Both men were experienced motorcyclists, having ridden together for five years. The defendant was the more "aggressive" driver of the two, which is why he typically took the lead position, but both men were safe drivers.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They were driving identical motorcycles - BMW K1300s. That model has a "linked braking" system meaning when the brakes on the right side of the handlebar is depressed, the majority of power is sent to the front brakes but some is also sent to the back brakes. Using the pedal brake engages only the back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drove in staggered positions, consistent with safe driving practices for motorcycles. The defendant was in the lead, driving in first position, which means he was closest to the centre line which divides the opposing lanes of traffic. The plaintiff was driving behind the defendant in third position, which means on the right side of the westbound lane, closest to the shoulder. Second position would mean driving in the centre of the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Three features of motorcycle driving arise in the facts. While driving a motorcycle, one should "look where you are going", because the bike will follow your gaze. So when taking a curve, you have to "look through" the curve to where you want to go. Second, it is necessary to counter-steer when taking a curve. That means "leaning into" the curve by applying more pressure on the handlebars on the same side toward which you want to turn. You also apply some throttle to maintain momentum so as not to tip over. Third, if you only engage the front brakes when you want to stop quickly, you are more likely to lose control of your bike. The latter two features are dictated by the laws of physics.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accident happened August 17, 2014 at about 1:30 p.m. It occurred on a right curve. To the men's left of that curve was a canyon with a guard rail on the shoulder, and to their right was a mountain. Both drivers were travelling at about 35 mph before the curve. They were about 30 metres apart in staggered position and there was an uphill grade. The plaintiff slowed to about 25 mph as he approached the curve and lost sight of the defendant because the mountain obscured his sight-line.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the defendant rounded the curve, he hesitated and gazed out over the canyon instead of looking ahead to where he wanted to travel. This caused him to briefly lose control of his motorcycle; his bike straightened up and crossed into the oncoming lane. He went as far as the shoulder of the oncoming lane. He felt stressed to get back into position and at that point was not thinking about the plaintiff coming up behind him. He geared down and took corrective action to get back into third position as quickly as he could, but he failed to look to the right as he did so. He crossed back over the centre line and re-entered the westbound lane. Just before impact, he was facing the mountain and roughly perpendicular to the westbound lane of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the plaintiff came around the curve, he was suddenly confronted with the defendant on his bike ahead of him in a perpendicular position to the direction of traffic. The plaintiff could not tell if the defendant was stopped or moving, and if moving, whether he was going forward or backward. The bikes were only about 15 to 20 feet apart at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point he saw the defendant, had the plaintiff continued straight, he would have crashed directly into the defendant. He could not swerve around to his left because he did not know if there was oncoming traffic. In a split-second decision, the plaintiff braked hard by engaging the right hand brake. He lost control of his bike and slid across the oncoming lane, onto the shoulder and was stopped by the railing. The bike was on top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Aftermath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immediately parked his bike and ran to check on the plaintiff. The plaintiff was in a lot of pain not only from injuries but because of the hot pavement. The temperature was about 45degree Celsius at that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Fortunately, a car came along and stopped. The passengers helped the defendant move the plaintiff into the backseat of that vehicle with instructions to take the plaintiff to a medical facility. The plaintiff was airlifted to a hospital just outside of San Diego where he spent two days. His injuries were serious; he had five broken ribs, a broken collarbone and a shattered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retrieved the plaintiff's personal belongings (two saddle bags and a tank bag) and got a ride from another passing vehicle into the town. He went to the hotel where they had spent the previous night asking if the hotel would keep the plaintiff's bags, which it did. He then phoned the plaintiff's wife and his own wife to update them on the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at the hotel, the defendant spoke briefly to a police officer, but the defendant does not remember the content of that conversation. He also spoke to an officer about a week after the accident in which he recalls he gave few details, only saying the plaintiff lost control of his bike and the road was very curvy. No police officer spoke with the plaintiff about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California Highway Patrol apparently prepared a report, which identified the plaintiff to be the cause of the accident. That report was not entered into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admits that he bears responsibility for the accident, but submits that the plaintiff was contributorily negligent. The defendant relies, in part, on the report from the California Highway Patrol. As noted above, that report was not entered into evidence, and I have no evidence upon which to assess what factors led the officer in California to conclude the plaintiff was at fault. I do know that the officer did not speak to the plaintiff. In my view, it would be improper to consider the report's findings in that context. In any event, even if I did consider it, that report's conclusion about fault under California law probably has little weight to my determination.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says that the plaintiff was driving at a speed that was excessive relative to the road traffic visibility or weather conditions (in contravention of s. 144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The defendant also submits that the plaintiff followed the defendant more closely than was reasonable and prudent having regard to the speed of the vehicles and the amount and nature of traffic on and condition of the highway (contrary to s. 162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submits that the plaintiff was travelling too fast as he approached the curve, which deprived him of adequate time or space to brake safely. Having lost sight of the defendant, and given the twisty nature of the road and the sight-lines, the defendant submits the plaintiff needed to drive with "extreme caution".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based this argument, in part, on the fact that some of the signs the men had already passed on Montezuma Valley Road indicated a speed limit less than 35 mph. However, I do not agree that those signs applied to anything other than the immediately following feature. There was no sign posting a maximum speed ahead of the curve where the accident happened. In my view, nothing about the signage on that road supports the defendant's argument.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defendant also argues I should not accept the plaintiff's evidence that he was driving at a speed less than 35 mph as he entered the curve; counsel stated that it is open to me to reject both parties' testimony about their speed. Counsel pointed to the following in support of that position: both men were experienced motorcyclists; they were on a trip specifically to enjoy riding; the defendant admitted that it is the windy nature of the road that makes it attractive to motorcycle riders and the two men are friends, and therefore I should consider the possibility that their evidence was tainted.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reject those submissions. There is nothing inherent in the facts cited by the defendant (that the men were experienced motorcyclists, that the trip was undertaken to enjoy motorcycle driving, and that a windy road is more fun to drive than a straight one) that makes it more likely than not that the parties would be untruthful or unreliable about their estimate of speed. In my view, their testimony confirmed the men are careful and cautious riders.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Also, counsel for the defendant did not suggest to the plaintiff during his testimony that his friendship with the defendant made it more likely their evidence about speed was less credible or reliable. It is therefore not proper to make that suggestion because the witness was not confronted with it. In any event, I found both witnesses to be forthright, non-argumentative and thorough in their answers. I am satisfied both men were credible and reliable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a clear, sunny day and there was little traffic and no wildlife on the road. In other words, driving conditions were excellent. Both parties testified they were driving at about 35 mph prior to reaching the curve, and that they maintained a safe distance between them. I had no evidence to suggest the parties were driving too close together.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he slowed down to 25 mph before entering the curve, and as the laws of physics demand, he gently applied the throttle as he leaned into the curve. That does not mean he was accelerating through the curve; the throttle is necessary to make sure the bike does not fall over. There was no evidence, nor any reasonable inference I can draw from the evidence, that the plaintiff's speed was excessive or even unreasonable for the road conditions.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the defendant's argument is akin to saying the plaintiff must have been travelling too fast because the accident happened. I do not agree nor is there legal support for that line of circular reasoning.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also submits that the plaintiff's braking behaviour was not safe, but I find that was based on a misunderstanding about how the brakes worked on the bikes. Unlike many bikes, engaging the right brakes did send some power to the back brakes. Therefore, the plaintiff was not being careless or unsafe by applying only the front brakes to stop quickly.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position is consistent with the defendant's testimony. He testified that the plaintiff is a safe driver and he did not think there was anything else the plaintiff could have done that day to avoid his accident. The defendant testified that he ought to have stayed on the shoulder and allowed the plaintiff to pass before trying to regain his position on the highway. He also admitted he lost control of his motorcycle by gazing in to the canyon as he took the curve. He admitted he failed to look to the right when he took corrective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those statements are not determinative, I do find they are helpful. Both men were experienced motorcyclists. The defendant had driven on that road before and admitted to being the more "aggressive" driver. His observations do carry some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all those reasons, I conclude the plaintiff was not driving too fast for the road conditions, nor that he was following too closely behind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submits that the law is clear that in general, liability is attributed to a trailing vehicle when there has been an accident between two vehicles travelling one in front of the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Gibson v. Matthies</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2017 BCSC 839</w:t>
        </w:r>
      </w:hyperlink>
      <w:r>
        <w:rPr>
          <w:rFonts w:ascii="arial" w:eastAsia="arial" w:hAnsi="arial" w:cs="arial"/>
          <w:color w:val="000000"/>
          <w:sz w:val="20"/>
          <w:lang w:val="en-US" w:eastAsia="en-US" w:bidi="ar-SA"/>
        </w:rPr>
        <w:t xml:space="preserve"> at para. 179, the Court held the plaintiff, driving a motorcycle behind a truck, was liable for failing to keep a proper lookout. The truck had stopped suddenly to make a left turn at an intersection, and two motorcyclists were forced to take evasive action. One of them rode into the ditch and the other, the plaintiff, hit the back of the truck. The Court stated, at para. 4, that the onus lies on a trailing vehicle to prove that it was not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forward vehicle, that caused the accident. The Court cited </w:t>
      </w:r>
      <w:r>
        <w:rPr>
          <w:rFonts w:ascii="arial" w:eastAsia="arial" w:hAnsi="arial" w:cs="arial"/>
          <w:i/>
          <w:color w:val="000000"/>
          <w:sz w:val="20"/>
          <w:lang w:val="en-US" w:eastAsia="en-US" w:bidi="ar-SA"/>
        </w:rPr>
        <w:t>Cue v. Breitkreuz</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2010 BCSC 617</w:t>
        </w:r>
      </w:hyperlink>
      <w:r>
        <w:rPr>
          <w:rFonts w:ascii="arial" w:eastAsia="arial" w:hAnsi="arial" w:cs="arial"/>
          <w:color w:val="000000"/>
          <w:sz w:val="20"/>
          <w:lang w:val="en-US" w:eastAsia="en-US" w:bidi="ar-SA"/>
        </w:rPr>
        <w:t>, where Justice Smith stated at para. 15: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Where there has been a rear-end collision, the onus shifts to the following driver to show that he or she was not at fault: </w:t>
      </w:r>
      <w:r>
        <w:rPr>
          <w:rFonts w:ascii="arial" w:eastAsia="arial" w:hAnsi="arial" w:cs="arial"/>
          <w:i/>
          <w:color w:val="000000"/>
          <w:sz w:val="20"/>
          <w:lang w:val="en-US" w:eastAsia="en-US" w:bidi="ar-SA"/>
        </w:rPr>
        <w:t>Robbie v. King</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2003 BCSC 1553</w:t>
        </w:r>
      </w:hyperlink>
      <w:r>
        <w:rPr>
          <w:rFonts w:ascii="arial" w:eastAsia="arial" w:hAnsi="arial" w:cs="arial"/>
          <w:color w:val="000000"/>
          <w:sz w:val="20"/>
          <w:lang w:val="en-US" w:eastAsia="en-US" w:bidi="ar-SA"/>
        </w:rPr>
        <w:t xml:space="preserve"> at para. 13. It is also the case that the driver of a following vehicle must allow a sufficient distance to stop safely in the event of a sudden or unanticipated stop by the vehicle ahead: </w:t>
      </w:r>
      <w:r>
        <w:rPr>
          <w:rFonts w:ascii="arial" w:eastAsia="arial" w:hAnsi="arial" w:cs="arial"/>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xml:space="preserve"> at para. 21, aff'd </w:t>
      </w:r>
      <w:hyperlink r:id="rId168" w:history="1">
        <w:r>
          <w:rPr>
            <w:rFonts w:ascii="arial" w:eastAsia="arial" w:hAnsi="arial" w:cs="arial"/>
            <w:i/>
            <w:color w:val="0077CC"/>
            <w:sz w:val="20"/>
            <w:u w:val="single"/>
            <w:shd w:val="clear" w:color="auto" w:fill="FFFFFF"/>
            <w:lang w:val="en-US" w:eastAsia="en-US" w:bidi="ar-SA"/>
          </w:rPr>
          <w:t>2002 BCCA 639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xml:space="preserve"> at para. 30.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Gibson</w:t>
      </w:r>
      <w:r>
        <w:rPr>
          <w:rFonts w:ascii="arial" w:eastAsia="arial" w:hAnsi="arial" w:cs="arial"/>
          <w:color w:val="000000"/>
          <w:sz w:val="20"/>
          <w:lang w:val="en-US" w:eastAsia="en-US" w:bidi="ar-SA"/>
        </w:rPr>
        <w:t>, the Court held, at para. 179, there were two aspects to the plaintiff's failure to keep a proper lookout. First, the plaintiff failed to see that the truck was slowing and about to stop suddenly and second, the plaintiff remained at the same cruising speed while the truck had slowed which then meant he lost the ability to veer right and avoid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distinguish this case because I have found the plaintiff did slow down as he entered the curve, and that he was not driving at an excessive speed. Also, the landscape made it impossible for the plaintiff to see what happened until he came upon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 also relies on </w:t>
      </w:r>
      <w:r>
        <w:rPr>
          <w:rFonts w:ascii="arial" w:eastAsia="arial" w:hAnsi="arial" w:cs="arial"/>
          <w:i/>
          <w:color w:val="000000"/>
          <w:sz w:val="20"/>
          <w:lang w:val="en-US" w:eastAsia="en-US" w:bidi="ar-SA"/>
        </w:rPr>
        <w:t>Brooks-Martin v. Martin</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2011 BCSC 194</w:t>
        </w:r>
      </w:hyperlink>
      <w:r>
        <w:rPr>
          <w:rFonts w:ascii="arial" w:eastAsia="arial" w:hAnsi="arial" w:cs="arial"/>
          <w:color w:val="000000"/>
          <w:sz w:val="20"/>
          <w:lang w:val="en-US" w:eastAsia="en-US" w:bidi="ar-SA"/>
        </w:rPr>
        <w:t>. That case involved two motorcycles. An important difference from the facts before me, however, is that while they were driving in a staggered pattern, they were only about four to six feet apart. Thus, when the defendant had to take evasive action because of sand on the road surface, his rear wheel skidded as he moved to the left. That required him to steer right in order to gain control of his motorcycle. In doing so, he travelled across the lane in the path in front of his wife. He was able to straighten out the path but her bike fell. She argued that he was negligent for driving directly into her path of travel without signalling or warning of any kind. The husband argued that she failed to keep a proper lookout because she was following too closely behind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found both drivers at fault, attributing 70% to the husband and 30% to the wife (para. 169). The reasoning was that the husband created the risk and, therefore, bore the larger part of the responsibility, but that the wife had been travelling too close behind him. I have found the plaintiff was not driving too close behind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 also referred to </w:t>
      </w:r>
      <w:r>
        <w:rPr>
          <w:rFonts w:ascii="arial" w:eastAsia="arial" w:hAnsi="arial" w:cs="arial"/>
          <w:i/>
          <w:color w:val="000000"/>
          <w:sz w:val="20"/>
          <w:lang w:val="en-US" w:eastAsia="en-US" w:bidi="ar-SA"/>
        </w:rPr>
        <w:t>McKim v. Oakley</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[1994] B.C.J. No. 1130</w:t>
        </w:r>
      </w:hyperlink>
      <w:r>
        <w:rPr>
          <w:rFonts w:ascii="arial" w:eastAsia="arial" w:hAnsi="arial" w:cs="arial"/>
          <w:color w:val="000000"/>
          <w:sz w:val="20"/>
          <w:lang w:val="en-US" w:eastAsia="en-US" w:bidi="ar-SA"/>
        </w:rPr>
        <w:t xml:space="preserve">, aff'd </w:t>
      </w:r>
      <w:hyperlink r:id="rId172" w:history="1">
        <w:r>
          <w:rPr>
            <w:rFonts w:ascii="arial" w:eastAsia="arial" w:hAnsi="arial" w:cs="arial"/>
            <w:i/>
            <w:color w:val="0077CC"/>
            <w:sz w:val="20"/>
            <w:u w:val="single"/>
            <w:shd w:val="clear" w:color="auto" w:fill="FFFFFF"/>
            <w:lang w:val="en-US" w:eastAsia="en-US" w:bidi="ar-SA"/>
          </w:rPr>
          <w:t>[1995] B.C.J. No. 1754</w:t>
        </w:r>
      </w:hyperlink>
      <w:r>
        <w:rPr>
          <w:rFonts w:ascii="arial" w:eastAsia="arial" w:hAnsi="arial" w:cs="arial"/>
          <w:color w:val="000000"/>
          <w:sz w:val="20"/>
          <w:lang w:val="en-US" w:eastAsia="en-US" w:bidi="ar-SA"/>
        </w:rPr>
        <w:t>. That case is distinguishable because of the high rates of speed involved.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refers to a number of cases that amplify the obvious point that as in all other cases, liability in a rear-end collision case depends upon the factual circumstances. Moreover, the basic enquiry into causation is whether the plaintiff can prove on a balance of probabilities that "but for" the defendant's negligent conduct, the injury would not have occurred (</w:t>
      </w:r>
      <w:r>
        <w:rPr>
          <w:rFonts w:ascii="arial" w:eastAsia="arial" w:hAnsi="arial" w:cs="arial"/>
          <w:i/>
          <w:color w:val="000000"/>
          <w:sz w:val="20"/>
          <w:lang w:val="en-US" w:eastAsia="en-US" w:bidi="ar-SA"/>
        </w:rPr>
        <w:t>Davies v. Elston</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2014 BCSC 2435</w:t>
        </w:r>
      </w:hyperlink>
      <w:r>
        <w:rPr>
          <w:rFonts w:ascii="arial" w:eastAsia="arial" w:hAnsi="arial" w:cs="arial"/>
          <w:color w:val="000000"/>
          <w:sz w:val="20"/>
          <w:lang w:val="en-US" w:eastAsia="en-US" w:bidi="ar-SA"/>
        </w:rPr>
        <w:t xml:space="preserve"> at para. 21).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particular, the plaintiff submits that the court has to determine whether, and to what extent, each person involved in the accident met his/her common law duties of care to the other users of the road. In coming to that determination, the court takes into account the rules of the road as set out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However, that does not eliminate the need to consider the reasonableness of each person's actions. In other words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not a complete legal framework for determining liability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paras. 18, 21 [as cited in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rear-end collisions, courts should look at four factors: (i) the speed of the rear vehicle; (ii) the distance between the two vehicles as they were driving along; (iii) the actions of the driver in the rear vehicle before the emergency arose, and; (iv) the actions of the driver as the emergency arose (</w:t>
      </w:r>
      <w:r>
        <w:rPr>
          <w:rFonts w:ascii="arial" w:eastAsia="arial" w:hAnsi="arial" w:cs="arial"/>
          <w:i/>
          <w:color w:val="000000"/>
          <w:sz w:val="20"/>
          <w:lang w:val="en-US" w:eastAsia="en-US" w:bidi="ar-SA"/>
        </w:rPr>
        <w:t>Ayers v. Singh</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[1997] B.C.J. No. 350</w:t>
        </w:r>
      </w:hyperlink>
      <w:r>
        <w:rPr>
          <w:rFonts w:ascii="arial" w:eastAsia="arial" w:hAnsi="arial" w:cs="arial"/>
          <w:color w:val="000000"/>
          <w:sz w:val="20"/>
          <w:lang w:val="en-US" w:eastAsia="en-US" w:bidi="ar-SA"/>
        </w:rPr>
        <w:t xml:space="preserve"> (B.C.C.A) at para. 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agree with the plaintiff that the question of liability is easily answered in this case. The defendant admitted that he failed to negotiate the tightness of the curve and lost control of his bike and went into the oncoming lane. After doing so, he failed to look to the right as he was re-entering the lane and that he put his bike in a dangerous position and should have instead stayed on the shoulder and allowed the plaintiff to ride past him. He also agreed, had the plaintiff not braked hard, he would have collided with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admits he is liable. He has the burden to establish on a balance of probabilities that the plaintiff was contributorily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says that in the face of an unexpected hazard and in the "agony of the moment", he acted appropriately in order to avoid colliding with the defendant. Courts have accepted that even if a driver applied less than a perfect effort to avoid an accident, when that is done in a manner to avoid a more serious collision, more latitude is given to the driver (</w:t>
      </w:r>
      <w:r>
        <w:rPr>
          <w:rFonts w:ascii="arial" w:eastAsia="arial" w:hAnsi="arial" w:cs="arial"/>
          <w:i/>
          <w:color w:val="000000"/>
          <w:sz w:val="20"/>
          <w:lang w:val="en-US" w:eastAsia="en-US" w:bidi="ar-SA"/>
        </w:rPr>
        <w:t>Dewart v. Insurance Corp. of British Columbia</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2005 BCSC 1293</w:t>
        </w:r>
      </w:hyperlink>
      <w:r>
        <w:rPr>
          <w:rFonts w:ascii="arial" w:eastAsia="arial" w:hAnsi="arial" w:cs="arial"/>
          <w:color w:val="000000"/>
          <w:sz w:val="20"/>
          <w:lang w:val="en-US" w:eastAsia="en-US" w:bidi="ar-SA"/>
        </w:rPr>
        <w:t xml:space="preserve"> at paras. 57-58).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the phrase "agony of the moment" aptly describes the plaintiff's situation. The plaintiff's first reaction was to avoid colliding with the defendant, or an oncoming vehicle. Therefore, it was a reasonable course of action for him to brake hard which caused his bike to fall and slide. The defendant agreed that in order to avoid hitting him, the plaintiff had to brake hard, and that made the plaintiff's bike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the evidence is clear that the plaintiff was riding in a prudent and careful manner. There is no evidence that his speed was inappropriate for the conditions of the road or any other circumstance.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noted earlier, I do not accept the defendant's argument that once he lost sight of the defendant in front of him, the plaintiff should have slowed down more than he did. Also, I have already concluded the plaintiff was driving at an appropriate rate of speed, and that he had already slowed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Drivers are entitled to assume that other people will be driving in a prudent and safe manner. In </w:t>
      </w:r>
      <w:r>
        <w:rPr>
          <w:rFonts w:ascii="arial" w:eastAsia="arial" w:hAnsi="arial" w:cs="arial"/>
          <w:i/>
          <w:color w:val="000000"/>
          <w:sz w:val="20"/>
          <w:lang w:val="en-US" w:eastAsia="en-US" w:bidi="ar-SA"/>
        </w:rPr>
        <w:t>Bern v. Jung</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2010 BCSC 730</w:t>
        </w:r>
      </w:hyperlink>
      <w:r>
        <w:rPr>
          <w:rFonts w:ascii="arial" w:eastAsia="arial" w:hAnsi="arial" w:cs="arial"/>
          <w:color w:val="000000"/>
          <w:sz w:val="20"/>
          <w:lang w:val="en-US" w:eastAsia="en-US" w:bidi="ar-SA"/>
        </w:rPr>
        <w:t xml:space="preserve"> the plaintiff lost control of a bicycle because of a sudden and unexpected presence of the defendant's vehicle travelling in the wrong direction. The Court noted, at paras. 13-14, that the plaintiff was forced to act quickly and apply his brakes quickly and that he should not be found contributorily negligent for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this case the plaintiff was entitled to assume that his friend had negotiated the curve safely; coming upon the defendant situated in front of him and perpendicular to his line of traffic was unexpected and sudden. The plaintiff cannot be blamed for doing what I find to be the only reasonable thing he could do to avoid a more serious accident: applying his brakes hard. I conclude it was the defendant's string of actions (looking to the canyon, and trying to get back in position instead of waiting on the shoulder) that caused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For all those reasons, I find the defendant 100% liable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is 100% liable for the accident. The plaintiff is entitled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 SHARMA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B.M.P. Global Distribution Inc. v. Bank of Nova Scotia (c.o.b. Scotiabank), [2002] B.C.J. No. 2450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Humphries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28 - 30,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S017273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2450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B.C.L.R. (4th) 184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598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B.M.P. Global Distribution Inc., 636651 B.C. Ltd., Audie Hashka and Paul Backman, plaintiffs, and Bank of Nova Scotia, doing business as the Scotiabank and the said Scotiabank,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6" w:name="Keywords_9"/>
      <w:bookmarkEnd w:id="66"/>
      <w:r>
        <w:rPr>
          <w:rFonts w:ascii="arial" w:eastAsia="arial" w:hAnsi="arial" w:cs="arial"/>
          <w:b/>
          <w:color w:val="000000"/>
          <w:sz w:val="20"/>
          <w:lang w:val="en-US" w:eastAsia="en-US" w:bidi="ar-SA"/>
        </w:rPr>
        <w:t>Banks and banking — Cheques and orders drawn on deposits — Dishonour of cheques — Rights of bank — Liability to customers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7" w:name="Case Summary_7"/>
            <w:bookmarkEnd w:id="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BMP Global Distribution, its directors and holding company for summary disposition of its action against Scotiabank for recovery of certain funds taken from their accounts and transmitted to the Royal Bank. BMP received a cheque for $904,563. The cheque was a customized cheque form from First National Corporation, written on an account at the Royal Bank. It was delivered by courier with no covering letter. The directors of BMP took the cheque to Scotiabank. The branch manager asked his service manager to phone the Royal Bank to verify the cheque. The branch manager was told the funds were available and there was no stop payment on the cheque. He told the directors that the funds would be released on October 30, 2001. On that day, the directors gave the manager a list of certified cheques to individuals and companies that they wanted to pay. These cheques were eventually honoured. On Nov ember 9, the manager learned from the Royal Bank that the cheque had not been issued by First National and was counterfeit. Scotiabank froze BMP's account, the director's personal accounts and the account of one of their holding companies. Scotiabank subsequently removed $777,336 from the accounts and remitted it to the Royal Bank.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8" w:name="Holdings of Court_7"/>
            <w:bookmarkEnd w:id="6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Scotiabank breached its contract with BMP but there was no loss other than possible consequential damages and this issue was referred to trial. BMP's interpretation of its contract with Scotiabank was correct. Once settlement had been received after the cheque was initially processed through the clearing system, Scotiabank was not entitled to charge back the cheque. If Scotiabank wanted to protect itself, it could have drafted the contract more broadly. BMP's expectations of what Scotiabank could be expected to do to protect its interests were not met. Once it accepted the forged cheque, Scotiabank could not deny its validity to a holder in due course. Scotiabank charged back the funds and remitted them to the Royal Bank without authorization, thereby breaching its contract. However, the appropriate remedy was not a return of the money. BMP suffered no damage by having the money, which was never real and never theirs, taken from their accounts.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9" w:name="Legislation Cited_9"/>
      <w:bookmarkEnd w:id="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Bills of Exchange Act, ss. 128, 165, 165(3).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Privacy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0" w:name="Counsel_9"/>
      <w:bookmarkEnd w:id="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 Jaffe, for the plaintiffs. A.P. Seckel and J.L. Francis,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9"/>
      <w:bookmarkEnd w:id="71"/>
      <w:r>
        <w:pict>
          <v:line id="_x0000_s1078"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HUMPHRIES J."/>
            <w:bookmarkEnd w:id="72"/>
            <w:r>
              <w:rPr>
                <w:rFonts w:ascii="arial" w:eastAsia="arial" w:hAnsi="arial" w:cs="arial"/>
                <w:b/>
                <w:color w:val="000000"/>
                <w:sz w:val="30"/>
                <w:lang w:val="en-US" w:eastAsia="en-US" w:bidi="ar-SA"/>
              </w:rPr>
              <w:t>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recovery of certain funds taken by the Bank of Nova Scotia ("Scotiabank") from their accounts and transmitted to the Royal Bank. Scotiabank takes the position this action is not suitable for summary trial, particularly because of an outstanding request for production of documents. Nevertheless, full argument was made on the narrow legal issue upon which the case turns, as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facts are unusual, and to some extent, inexplicable. The plaintiffs Backman and Hashka are the directors of BMP Global Distribution Inc. ("BMP"). 636651 B.C. Ltd. ("636651") is Hashka's holding company. Each of the companies has an account at the bank; Backman and Hashka also hold personal accounts there. Backman's two accounts are joint with his wife. Backman and Hashka have dealt with the bank since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Backman and Hashka developed a line of non-stick bakeware. They entered into discussions with a man in the United States, (whose name seems to be either Danko or Neman) and although no agreement had been reached, they had some expectation that this party would buy distribution rights for $US1.2 million. They also understood that the American party would, if sending money, use a financial institution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October 22, 2001, BMP received a cheque for $904,563.00. The cheque was on a customized cheque form from First National Financial Corporation, written on an account at the Royal Bank, and purporting to be signed by two signatories. It came by courier with no covering letter. It contained no indication of its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Hashka and Mr. Backman took the cheque to the bank and spoke to the branch manager, Jeff Richards, who had known the men since 1998. Mr. Hashka told him the cheque was a down payment for distributor rights for their product, and that he had been expecting more and in US funds. Mr. Richards told Mr. Hashka they would have to wait seven days for the cheque to clear. Mr. Richards thought it was unusual to receive such a large cheque with no letter, and asked his Service Manager to phone the Royal Bank to verify the cheque. Mr. Richards was told funds were available and there was no stop payment on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October 26, 2001, Richards, Hashka and Backman had a discussion about the unusual circumstances surrounding the cheque. The men told Mr. Richards they had phoned their customer in the United States who had told them he used First National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Richards told them the funds would be released on October 30,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October 30, the two men came to see Mr. Richards and gave him a list of certified cheques to individuals and companies that they wanted to pay. These cheques were all produced and eventually honoured. They make up the balance of the money, a little over $100,000, that was not available to the Scotiabank when the bank eventually took the money out of the accounts on November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November 2, 2001, Mr. Hashka decided to open up the 636651 account and requested a certified cheque for $100,000 to be issued to 636651 and deposited in the new Scotiabank account. He also asked for a certified cheque in the amount of $300,000 payable to BMP, to be deposited in the Bank of Montreal. These funds were eventually returned to the BMP account at ScotiaBank by bank draft from the Bank of Montreal, as that bank did not want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9, 2001, Mr. Richards received a telephone call from a person at the Royal Bank advising him that the cheque had not been issued by First National. Officers of First National have filed affidavits saying the signatures on the cheque are not theirs and the form, although identical to their cheque stock, is not on their paper stock. The cheque, in other words, is counterfeit.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Scotiabank froze the accounts, and subsequently removed $777,336.04 from the accounts of BMP, 636651, and Hashka and Backman, remitting it to the Royal Bank on December 7, 2001. The balance had been paid out to other parties, as set out in paragraph 8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21, 2001, the plaintiffs sued Scotiabank for return of the money and for consequential damages for the way in which Scotiabank dealt with them and allegedly damaged their business reputation (the latter claim not being part of this application); Royal Bank has now initiated a separate action against the plaintiffs, I presume for the balance of the money. That action is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Statement of Claim sounds in breach of contract, libel, slander,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conversion, money had and received, breach of fiduciary duty, breach of the Privacy Act and breach of the Bills of Exchange Act, but the argument before me centered on contract. The Statement of Defence as originally filed pleaded only mistake of fact. It has now been amended to include a defence of lawful justification in respect of the crediting of the Royal Bank with the funds, and breach of various obligations on the part of the plaintiffs. In neither version has fraud or any involvement in the production of the cheque on the part of the plaintiffs been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end of the hearing, the circumstances surrounding the production of the cheque remain a mystery.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the plaintiffs' contention that the Scotiabank breached its contract with them by removing funds in their accounts once the cheque had cleared and settled, and that they are entitled in debt to the return of the $777,336.04. Even if Scotiabank had some right to take funds belonging to BMP itself, the plaintiffs argue that the funds which had left the BMP account and been transferred into the other personal accounts and that of 636651 must be returned. This is particularly so in respect of the funds which were transferred by way of certified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wishes to pursue an investigation into a particular transfer of US$20,000 from BMP to an entity in New York on November 8, 2001 which the plaintiffs seem unable to explain, and thus argues that there are unanswered questions which would preclude deciding this now. Nevertheless its counsel presented full argument on the contractual issue. It is Scotiabank's position that it did not breach the contract, but even if it did, the plaintiffs cannot be entitled to return of the money; all they are entitled to is consequential damages, if any, arising out of the circumstances surrounding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Before beginning an analysis of the limited question before me, I should note that I am mindful of the comments of the Court of Appeal in Baccus Agents (1981) Ltd. v. Philippe Dandurand Wines Limited, </w:t>
      </w:r>
      <w:hyperlink r:id="rId185" w:history="1">
        <w:r>
          <w:rPr>
            <w:rFonts w:ascii="arial" w:eastAsia="arial" w:hAnsi="arial" w:cs="arial"/>
            <w:i/>
            <w:color w:val="0077CC"/>
            <w:sz w:val="20"/>
            <w:u w:val="single"/>
            <w:shd w:val="clear" w:color="auto" w:fill="FFFFFF"/>
            <w:lang w:val="en-US" w:eastAsia="en-US" w:bidi="ar-SA"/>
          </w:rPr>
          <w:t>[2002] B.C.J. No. 377</w:t>
        </w:r>
      </w:hyperlink>
      <w:r>
        <w:rPr>
          <w:rFonts w:ascii="arial" w:eastAsia="arial" w:hAnsi="arial" w:cs="arial"/>
          <w:color w:val="000000"/>
          <w:sz w:val="20"/>
          <w:lang w:val="en-US" w:eastAsia="en-US" w:bidi="ar-SA"/>
        </w:rPr>
        <w:t>, and the pointed warning to trial judges not to be enticed into allowing the parties to "[litigate] in slices". In my view, however, a determination of this issue will assist the efficient resolution of the proceeding and is a suitable issue for disposition under the rule. The issue is clear and narrow and the facts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Despite the outstanding request for documents, I am of the view that I can fairly decide the matter. Further production of documents can be pursued during the second stage of this litigation, and of course will be necessary in the action brought by the Royal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SCOTIABANK BREACH ITS CONTRACT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there are remedies sought in equity in the Statement of Claim, the plaintiffs did not pursue them at trial, concentrating on their claim of debt under the Financial Services Agreement ("the contract"), which is a standard banking contract of adhesion.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position is simple: they maintain that, settlement having been received, the bank had no authority to charge their account. Whatever the rights of the Royal Bank, and whoever is eventually entitled to the money, Scotiabank could not simply take the money from their accounts and send it off to the Royal Bank. By doing so Scotiabank breached its contract with the plaintiff and is in debt to the plaintiffs for the amounts taken from their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argues that at equity and common law, the plaintiffs would not be allowed to benefit from such a windfall; those principles cannot be disregarded when interpreting the contract; and in any event, when read as a whole, the terms of the contract were not breached. The defendant also contends that it was exposed to liability to the Royal Bank as, once fixed with knowledge of the counterfeit cheque, it became a constructive trustee of the money it held in the accounts, and so were justified in seizing and transferring the money to the Royal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response to this latter point, the plaintiffs say the Scotiabank became a holder in due course of the funds under the Bills of Exchange Act, and were not at any risk of liability to the Royal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case turns on Clause 4.7 of Scotiabank's standard contract,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authorize us to charge the following to any of your accounts, even if they are not specifically designated for the instruction or service: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you ask us to pay in any instruction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any instruction we have paid to you or credited to your account and for which we do not receive settlement for any reason (including fraud, loss or endorsement error) together with all related costs</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any amount you owe us, including fees, charges, costs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Essentially, the plaintiffs argue that the words "for which we do not receive settlement" were intended to mean, "for which we do not receive settlement when the cheque is initially processed through the clearing system." Having received settlement at that stage, Scotiabank was not entitled to charge back the cheque. In response, Scotiabank argues that the words should be construed to mean "for which we do not receive settlement once all the transactions involving the cheque are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 plaintiff's interpretation should govern.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First, the words of the contract could have been more widely drafted if the bank wished to protect itself in circumstances like these. In Bank of Nova Scotia v. Regent Enterprises </w:t>
      </w:r>
      <w:hyperlink r:id="rId186" w:history="1">
        <w:r>
          <w:rPr>
            <w:rFonts w:ascii="arial" w:eastAsia="arial" w:hAnsi="arial" w:cs="arial"/>
            <w:i/>
            <w:color w:val="0077CC"/>
            <w:sz w:val="20"/>
            <w:u w:val="single"/>
            <w:shd w:val="clear" w:color="auto" w:fill="FFFFFF"/>
            <w:lang w:val="en-US" w:eastAsia="en-US" w:bidi="ar-SA"/>
          </w:rPr>
          <w:t>(1997), 157 Nfld. &amp; P.E.I.R. 102</w:t>
        </w:r>
      </w:hyperlink>
      <w:r>
        <w:rPr>
          <w:rFonts w:ascii="arial" w:eastAsia="arial" w:hAnsi="arial" w:cs="arial"/>
          <w:color w:val="000000"/>
          <w:sz w:val="20"/>
          <w:lang w:val="en-US" w:eastAsia="en-US" w:bidi="ar-SA"/>
        </w:rPr>
        <w:t xml:space="preserve"> (Nfld. C.A.), the right of charge-back in the relevant banking contract expressly covered: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credited to any account of the customer pursuant to any instruction to transfer funds whether by the customer or any third party, howsoever implemented, </w:t>
      </w:r>
      <w:r>
        <w:rPr>
          <w:rFonts w:ascii="arial" w:eastAsia="arial" w:hAnsi="arial" w:cs="arial"/>
          <w:b/>
          <w:color w:val="000000"/>
          <w:sz w:val="20"/>
          <w:lang w:val="en-US" w:eastAsia="en-US" w:bidi="ar-SA"/>
        </w:rPr>
        <w:t>which is reversed in whole or in part for any reason</w:t>
      </w:r>
      <w:r>
        <w:rPr>
          <w:rFonts w:ascii="arial" w:eastAsia="arial" w:hAnsi="arial" w:cs="arial"/>
          <w:color w:val="000000"/>
          <w:sz w:val="20"/>
          <w:lang w:val="en-US" w:eastAsia="en-US" w:bidi="ar-SA"/>
        </w:rPr>
        <w:t xml:space="preserve"> or in respect of which settlement is not received by the Bank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Similar words could have been added to this contract, but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Second, Clause 4.3 of the contract requires the customer to acknowledge that the bank uses a clearing system and is bound by its rules. As the Royal Bank was attempting to return the cheque far beyond the one day time limit set out in rule A4 of the Canadian Payments Association Clearing rules for Returned and Redirected items, the customer's expectations of what the bank could be expected to do to protect its interests were not met. It was open to Scotiabank to dispute the return through the dispute resolution mechanism set out in Rule A6. As an alternative, the appropriate course of action may have been to interplead the money as the Bank of Nova Scotia has no claim to it, but was facing claims from the plaintiffs and the Royal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Third, under s. 128 and s. 165 of the Bills of Exchange Act, R.S.C. 1085, c. B-4, once having accepted the forged cheque, the bank could not deny its validity to a holder in due course. Section 128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acceptor of a bill by accepting it is precluded from denying to a holder in due course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the drawer, the genuineness of his signature and his capacity and authority to draw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165(3) provides: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cheque is delivered to a bank for deposit to the credit of a person and the bank credits him with the amount of the cheque, the bank acquires all the rights and powers of a holder in due course of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Citizen's Trust Co. v. Hongkong Bank of Canada </w:t>
      </w:r>
      <w:hyperlink r:id="rId187" w:history="1">
        <w:r>
          <w:rPr>
            <w:rFonts w:ascii="arial" w:eastAsia="arial" w:hAnsi="arial" w:cs="arial"/>
            <w:i/>
            <w:color w:val="0077CC"/>
            <w:sz w:val="20"/>
            <w:u w:val="single"/>
            <w:shd w:val="clear" w:color="auto" w:fill="FFFFFF"/>
            <w:lang w:val="en-US" w:eastAsia="en-US" w:bidi="ar-SA"/>
          </w:rPr>
          <w:t>(1991), 85 D.L.R. (4th) 762</w:t>
        </w:r>
      </w:hyperlink>
      <w:r>
        <w:rPr>
          <w:rFonts w:ascii="arial" w:eastAsia="arial" w:hAnsi="arial" w:cs="arial"/>
          <w:color w:val="000000"/>
          <w:sz w:val="20"/>
          <w:lang w:val="en-US" w:eastAsia="en-US" w:bidi="ar-SA"/>
        </w:rPr>
        <w:t xml:space="preserve"> (B.C.S.C.), the court recognized that a forged signature would destroy the "bill of exchange" character of the cheque, but where the cheque was initially regarded as a bill of exchange by the parties, s. 128(a) protected the payee and forced the loss upon the bank that had certified the forged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Thus Scotiabank could have taken the position that these monies were not impressed with a constructive trust, should Royal Bank have asserted such a position or attempted to deny the validity of the cheque to Scotiabank once Royal Bank had accepted it as genuine. In other words, Scotiabank's position that the money was impressed with a constructive trust, requiring its immediate transfer to the Royal Bank, is not an answer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Scotiabank argues that when paragraph 4.7 is taken in the context of the contract as a whole, particularly in light of paragraphs 13.1 and 14, the contract clearly reflects the intention of the parties to place the risk of loss for any instruction that has been credited to a customer's account but which s subsequently unpaid directly on the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Those paragraphs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419"/>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Limits of our 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not liable for any loss or damage you suffer in connection with your accounts or the provision of any service, or refusal to provide any service, except if it was caused by 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You acknowledge this means we are not liable for the following specific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honouring, or refusing to honour or cancel an instruction, for any reason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forged, unauthorized or fraudulent use of services, instruction, or material alteration to an instruction, even if you or we did not verify the signature, instruction or authorization.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14.1 Indemnity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agree to:</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release us from liability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indemnify and hold us blameless; and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compensate both us and any third party providing services or settling instructions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any loss, damage, payment, legal expense...and other costs, as may be applicable, resulting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service performed or refused;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instruction honoured, processed, negotiated, settled, changed, cancelled, reversed or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Neither of these paragraphs authorizes the removal of the funds from the accounts in the unusual circumstances of this case. This is not a situation where the concept of risk of loss arises for Scotiabank. Paragraph 4.7 authorizes charge backs in certain situations. It does not cover this situation. Therefore the bank charged back the funds and remitted them to the Royal Bank without authorization, thereby breaching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While I am sympathetic to the Bank's position that the plaintiffs cannot take advantage of a windfall through some "legal legerdemain" (see National Slag v. Canadian Imperial Bank of Commerce et al. </w:t>
      </w:r>
      <w:hyperlink r:id="rId188" w:history="1">
        <w:r>
          <w:rPr>
            <w:rFonts w:ascii="arial" w:eastAsia="arial" w:hAnsi="arial" w:cs="arial"/>
            <w:i/>
            <w:color w:val="0077CC"/>
            <w:sz w:val="20"/>
            <w:u w:val="single"/>
            <w:shd w:val="clear" w:color="auto" w:fill="FFFFFF"/>
            <w:lang w:val="en-US" w:eastAsia="en-US" w:bidi="ar-SA"/>
          </w:rPr>
          <w:t>(1985), 19 DLR (4th) 383</w:t>
        </w:r>
      </w:hyperlink>
      <w:r>
        <w:rPr>
          <w:rFonts w:ascii="arial" w:eastAsia="arial" w:hAnsi="arial" w:cs="arial"/>
          <w:color w:val="000000"/>
          <w:sz w:val="20"/>
          <w:lang w:val="en-US" w:eastAsia="en-US" w:bidi="ar-SA"/>
        </w:rPr>
        <w:t>), the issue before me is very narrow: could the bank transfer the funds in the plaintiffs' accounts to the Royal Bank? In my view they could not. However, the question of the appropriate remedy remains.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may be that the plaintiffs have suffered consequential damage through the manner in which the defendants dealt with their accounts; that issue is not before me and will go to the trial list. However, the plaintiffs have suffered no damage by having the money, which was never real and never theirs, taken from their accounts. To ignore the fact that there was no underlying transaction through which the plaintiffs had any valid or legally enforceable expectation of money, were owed any money, or were put at risk by not receiving the money, would indeed be to sanction a windfall, created through "legal legerdemain.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result, I find that the bank did breach the contract when it transferred the funds out of the plaintiffs' account to the Royal Bank, but the plaintiff did not suffer a loss by the transfer of those funds, other that whatever consequential damages might be proven at trial. That issue is referred to the trial list. Although I am not seized, I will hear it if counsel can arrange a convenient time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are other considerations and other arguments to be made in respect of entitlement to the money which is the subject of the action by the Royal Bank; that action is not based upon the contract in issue here. As well, there may be different evidence before the court on that action. Obviously, I can make no finding in this action which is relevant to the sorts of losses or claims that may or may not have occurred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has succeeded in proving a breach, but the defendant has succeeded in their position that there has been no loss. Unless there is a reason to address the issue of costs for reasons not apparent on the material, I am of the view that the parties should bear their own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Crisafio Estate (Re), [2018] B.C.J. No. 347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P092716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305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Re: The Estate of Roland Leonard Crisafio, otherwise known as Roland L. Crisafio, Roland Crisafio, and Leonard Rolando Crisafio, Deceased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10"/>
      <w:bookmarkEnd w:id="73"/>
      <w:r>
        <w:rPr>
          <w:rFonts w:ascii="arial" w:eastAsia="arial" w:hAnsi="arial" w:cs="arial"/>
          <w:b/>
          <w:color w:val="000000"/>
          <w:sz w:val="20"/>
          <w:lang w:val="en-US" w:eastAsia="en-US" w:bidi="ar-SA"/>
        </w:rPr>
        <w:t>Wills, estates and trusts law — Executors and administrators — Accounts and passing of accounts — Application by former executor for costs and other relief allowed and application by co-executors for special costs against former executor dismissed — Deceased died in 2007 naming former executor as executor and co-executors as alternates — Former executor did not apply for letters probate or deliver accounts until co-executors demanded she do so — Former executor had paid for losses she caused estate and co-executors legal fees, and did not take compensation — Former executor breach obligations to estate and beneficiaries by failing to deal with estate promptly, but her actions were not wilful — There was no need to further punish former executor.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8"/>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former executor, Kwichak, for an order approving accounts, approving compensation, discharging her and for costs and application by the co-executors, the Barteauxs, for special costs against the former executor. The deceased died in 2007 with a will. The will named Kwichak as the executor and the Barteauxs as alternate co-executors. Kwichak did not administer the estate between 2007 and 2009. One of the Barteauxs demanded that Kwichak apply for letters probate and administer the estate. In December 2009, letters probate were granted to Kwichak. A few days after letters probate were granted, a property, which was the main asset of the estate, was transferred to Kwichak. In December 2011, Kwichak was ordered to pass her accounts. She delivered her accounts within 60 days. After reviewing the accounts, the Barteauxs took the position that Kwichak had improperly used estate funds to pay the expenses of an individual whom the deceased had directed be permitted to continue living in the property for a period of five years after his death. The parties settled the claim and, as part of the settlement, Kwichak agreed to pay the Barteauxs $21,105, which included $10,500 for legal fees. Subsequently, the Barteauxs alleged that Kwichak caused further losses to the estate. The parties entered into another settlement whereby Kwichak agreed to pay $23,094, which included $6,500 in legal fees. Kwichak agreed to apply for a discharge, but she did not do so. The Barteauxs claimed that their attempts to administer the estate were frustrated by Kwichak, which caused further waste. In May 2016, Kwichak was ordered to provided documentation related to the estate and pass her accounts within 90 days, but she did not do so. Kwichak agreed to pay the Barteauxs an additional $7,500 in costs and she delivered her accounts. The Barteauxs disputed some of the items and set the matter down for a hearing. The parties then entered into another settlement and Kwichak paid an additional $8,160. The co-executors consented to the relief sought from the former executor with the exception of the request for costs. They argued that Kwichak's conduct had been reprehensible and deserving of reproach and therefore she should be ordered to pay their costs and she should not be entitled to any costs. Kwichak argued that as she had forgone receiving a fee for administering the estate and had compensated the estate for all losses caused by her, she was entitled to special costs of the passing of her accounts from the estate and that the costs of the Barteauxs were likewise payable by the estate.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5" w:name="Holdings of Court_8"/>
            <w:bookmarkEnd w:id="75"/>
            <w:r>
              <w:rPr>
                <w:rFonts w:ascii="arial" w:eastAsia="arial" w:hAnsi="arial" w:cs="arial"/>
                <w:color w:val="000000"/>
                <w:sz w:val="20"/>
                <w:lang w:val="en-US" w:eastAsia="en-US" w:bidi="ar-SA"/>
              </w:rPr>
              <w:t>HELD: Application by Kwichak allowed and application by the Barteauxs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there was delay caused by Kwichak's failure to proceed promptly with the administration of the estate and there was a breach of the obligations owed to the estate and the beneficiaries, or actions were not wilful, malicious or fraudulent and she was not acting in her own self-interest. Given that she had paid the estate all amounts alleged to have resulted from her errors and she had forgone compensation, there was no need for further punishment. The estate should pay Kwichak's costs of passing the accounts assessed as special costs. The reasonable costs of the Barteauxs' incidental to the litigation relating to the estate were to be paid by the estate.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Legislation Cited_10"/>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Trustee Act, </w:t>
      </w:r>
      <w:hyperlink r:id="rId196" w:history="1">
        <w:r>
          <w:rPr>
            <w:rFonts w:ascii="arial" w:eastAsia="arial" w:hAnsi="arial" w:cs="arial"/>
            <w:i/>
            <w:color w:val="0077CC"/>
            <w:sz w:val="20"/>
            <w:u w:val="single"/>
            <w:shd w:val="clear" w:color="auto" w:fill="FFFFFF"/>
            <w:lang w:val="en-US" w:eastAsia="en-US" w:bidi="ar-SA"/>
          </w:rPr>
          <w:t>R.S.B.C. 1996, c. 464, s. 88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7" w:name="Counsel_10"/>
      <w:bookmarkEnd w:id="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co-executrices, Margaret Barteaux and Mary Barteaux: L.K. Donaldson.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former executrix and trustee, Leda Kwichak: David A. Hunter.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0"/>
      <w:bookmarkEnd w:id="78"/>
      <w:r>
        <w:pict>
          <v:line id="_x0000_s1083"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MASTER L. MUIR"/>
            <w:bookmarkEnd w:id="79"/>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were two applications before me. The first, that of Leda Kwichak ("Ms. Kwichak"), was for the following:</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approving the accounts of Ms. Kwichak, the former executrix of the last will and testament of Roland Leonard Crisafio, otherwise known as Roland L. Crisafio, Roland Crisafio, and Leonard Rolando Crisafio (the "Deceased") for the period from February 23, 2012 to May 3, 2016.</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Ms. Kwichak pay to Margaret Barteaux and Mary Barteaux (collectively, the "co-executrices"), in their capacities as co-executrices of the Deceased's estate, the sum of $8,160.99.</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Ms. Kwichak be discharged as executrix of the Deceased's estate, subject to the right of the co-executrices to seek indemnity from Ms. Kwichak for any presently unknown and undiscoverable losses that Ms. Kwichak may have caused to the Deceased's estate in relation to any income taxes filed by Ms. Kwichak as executrix of the Deceased's estate, including any subsequently assessed interest and penalties.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Ms. Kwichak receive her costs of this application as special costs payable out of the Deceased's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orders in subparagraphs a, b and c are consented to on condition that the words "and undiscoverable" be deleted from subparagraph c. These orders are granted by consent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With respect to subparagraph d, the co-executrices oppose the award to Ms. Kwichak of her costs on any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their application, the co-executrices seek:</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special costs against Ms. Kwichak, or that the reasonable costs of the co-executrices incidental to the litigation relating to the Estate of the Deceased be payable by Ms. Kwichak, personally on a full indemnity basis;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that the reasonable costs of the applicants incidental to the litigation relating to the estate be payable from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Deceased died on November 29, 2007, leaving a will dated March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will named Ms. Kwichak, a friend of the Deceased, as the executrix and trustee of the estate. The will also named Margaret Barteaux and Mary Barteaux as alternate co-executrices.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main asset in the Deceased's estate was a property in Surrey, B.C. The total value of the estate was $846,311.69 as at July 31,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Kwichak did not administer the estate between 2007 and 2009. Mary Barteaux made demand that Ms. Kwichak apply for probate and proceed with the administration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December 11, 2009, Letters Probate were granted to Ms. Kwichak.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Surrey Property was transmitted to Ms. Kwichak on December 15,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will, the Deceased directed that the Deceased's friend, Sherri Knight, be permitted to continue living in the Surrey property after his death for a period of five years, and that she pay all of the expenses of the house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13, 2011, the co-executrices filed a petition seeking an order that Ms. Kwichak show cause why she had not passed her accounts and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2, 2011, Master Caldwell heard the petition and ordered that Ms. Kwichak pass her accounts within 60 days of the date of the Order. Master Caldwell did not make an order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February 2012, Ms. Kwichak delivered her accounts to the co-executrices. After reviewing the accounts, the co-executrices took the position that Ms. Kwichak had improperly used funds from the Deceased's estate to pay for the expenses of Ms. Knight during her tenancy in the Deceased's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June 19, 2012, Ms. Kwichak and the co-executrices entered into an interim settlement agreement with respect to these claims. As part of that settlement, Ms. Kwichak agreed to pay the co-executrices $21,105.33, which included $10,500.00 for the co-executrices'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or around October, 2012, at the end of the five year term, Ms. Knight moved out of the Surrey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20, 2014, the co-executrices alleged further losses to the estate since the date of the June 19, 2012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24, 2014, the parties reached a further agreement whereby Ms. Kwichak agreed to pay the co-executrices $23,094.21 for losses to the estate, which included a further $6,500 for legal fees, and agreed to apply to be discharged as executrix of the Deceased's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Kwichak did not make the application for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co-executrices allege that their attempts to administer the estate were frustrated by Ms. Kwichak and as a result the estate continued to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Despite that, the co-executrices did not take action until they filed an application in the petition action on March 13, 2016, which resulted in a consent order of May 3, 2016 granted by Master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Master Harper's order required Ms. Kwichak to provide the co-executrices with the records and documents relating to the estate and its administration, and to pass her accounts from February 23, 2012 to the date of the order within 90 days. Ms. Kwichak was ordered to pay costs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Kwichak did not provide the documents or records and did not apply to pass her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result, on September 15, 2016, the co-executrices brought a contempt application. No finding of contempt was made,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hearing of the contempt application, it was agreed that Ms. Kwichak would pay $7,500 costs to the co-executrices.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Kwichak delivered her further accounts for the estate to the co-executrices on October 31,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February 1, 2017, the co-executrices responded and took issue with additional estate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March 6, 2017, the co-executrices set down a three-day hearing commencing August 14, 2017 for the passing of Ms. Kwichak's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March 21, 2017, Ms. Kwichak advised that she agreed to pay most of the disputed expenses, with the exception of some water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August 9, 2017, the co-executrices advised of additional disputed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August 10, 2017, the parties settled the remaining disputed items in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result was that Ms. Kwichak paid the co-executrices an additional $8,160.99, which appears to have covered additional expenses of Ms. Knight, utilities paid during her tenancy, water expenses, interest and penalties on utilities and property taxes, and some travel expenses of the co-executrices.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addition, the co-executrices claimed Ms. Kwichak should compensate them for all of their actual legal fees incurred of $53,030.88, less those attributable to the June 19, 2012 settlement (actual fees $11,160.59, settled at $10,500), the May 3, 2016 consent order (actual fees $6,172.67, settled at $5,000.00) and the contempt application (actual fees $10,186.67, settled at $7,500.00).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 result, the hearing scheduled to commence on August 14, 2017 was adjourned by consent, and this Notice of Application was scheduled by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co-executrices say that Ms. Kwichak's conduct throughout has been reprehensible and deserving of reproach and that she should be ordered to pay all of the costs incurred by the co-executrices other than those attributable to the three specific matters for which costs were agreed. In addition, that Ms. Kwichak should not be entitled to any costs for the passing of her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Kwichak has foregone receiving any fee for administering the estate. Section 88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xml:space="preserve"> provides for remuneration of up to 5% of the estate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Kwichak submits that she has compensated the estate for all matters that could be said to have arisen from her fault and has paid the co-executrices' costs for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Kwichak further submits that having foregone her fee, and having dealt with all issues alleged to have arisen from her fault, that she should be entitled to have her special costs of the passing of her accounts paid from the estate in the normal course and that the other costs of the co-executrices should likewise be recoverable from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co-executrices pointed to the numerous occasions where they were forced to take steps to compel Ms. Kwichak to comply with her obligations. Thus, they argue these proceedings were necessary to hold her to account and the estate should not be responsible for any of the legal fees that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co-executrices cited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(C.A.) for the proposition that special costs are awarded to punish a party for reprehensible conduct, a concept which encompasses scandalous or outrageous conduct but also encompasses milder forms of misconduct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They also argue that if special costs are awarded in civil proceedings, they are generally awarded for the entire proceeding, citing </w:t>
      </w:r>
      <w:r>
        <w:rPr>
          <w:rFonts w:ascii="arial" w:eastAsia="arial" w:hAnsi="arial" w:cs="arial"/>
          <w:i/>
          <w:color w:val="000000"/>
          <w:sz w:val="20"/>
          <w:lang w:val="en-US" w:eastAsia="en-US" w:bidi="ar-SA"/>
        </w:rPr>
        <w:t>Commonwealth Trust Co. (Re)</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2012 BCCA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Of course, here, there are complications in that there are in fact two proceedings. Ms. Kwichak argues there is no basis upon which the court could award costs in the petition proceeding on any basis when Master Caldwell declined to do so. Further, subsequent proceedings in that action, being the application before Master Harper, had costs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agree. I do not see how I would have discretion to make any award of costs against Ms. Kwichak in the petition proceeding itself. I accept that I would have jurisdiction to deal with expenses incurred by the co-executrices in attempting to promote the administration of the estate, which could include expenses incurred by them over and above the costs awarded in the petition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co-executrices argue that court orders must be complied with. Otherwise, the administration of justice falls into disrepute, significant costs are incurred by parties attempting to enforce compliance and delay results. They argue that a breach of a court order therefore constitutes reprehensible conduct that merits reproach. They cite </w:t>
      </w:r>
      <w:r>
        <w:rPr>
          <w:rFonts w:ascii="arial" w:eastAsia="arial" w:hAnsi="arial" w:cs="arial"/>
          <w:i/>
          <w:color w:val="000000"/>
          <w:sz w:val="20"/>
          <w:lang w:val="en-US" w:eastAsia="en-US" w:bidi="ar-SA"/>
        </w:rPr>
        <w:t xml:space="preserve">Grewal v. Nijjer, </w:t>
      </w:r>
      <w:hyperlink r:id="rId199" w:history="1">
        <w:r>
          <w:rPr>
            <w:rFonts w:ascii="arial" w:eastAsia="arial" w:hAnsi="arial" w:cs="arial"/>
            <w:i/>
            <w:color w:val="0077CC"/>
            <w:sz w:val="20"/>
            <w:u w:val="single"/>
            <w:shd w:val="clear" w:color="auto" w:fill="FFFFFF"/>
            <w:lang w:val="en-US" w:eastAsia="en-US" w:bidi="ar-SA"/>
          </w:rPr>
          <w:t>2011 BCCA 505</w:t>
        </w:r>
      </w:hyperlink>
      <w:r>
        <w:rPr>
          <w:rFonts w:ascii="arial" w:eastAsia="arial" w:hAnsi="arial" w:cs="arial"/>
          <w:color w:val="000000"/>
          <w:sz w:val="20"/>
          <w:lang w:val="en-US" w:eastAsia="en-US" w:bidi="ar-SA"/>
        </w:rPr>
        <w:t xml:space="preserve">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was an appeal from a judge's decision striking the defendants, the Nijjers' pleadings and awarding special costs against them. The court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judge found that the Nijjers' pleadings should be struck because their default was deliberate and they did not intend to comply with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note that in this case the issue of failure to comply with a court order was dealt with on the contempt application, where no finding of contempt was made. Ms. Kwichak has already paid the co-executrices' costs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co-executrices referred me to </w:t>
      </w:r>
      <w:r>
        <w:rPr>
          <w:rFonts w:ascii="arial" w:eastAsia="arial" w:hAnsi="arial" w:cs="arial"/>
          <w:i/>
          <w:color w:val="000000"/>
          <w:sz w:val="20"/>
          <w:lang w:val="en-US" w:eastAsia="en-US" w:bidi="ar-SA"/>
        </w:rPr>
        <w:t>Szpradowski (Guardian ad litem of) v. Szpradowski Estate</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[1992] B.C.J. No. 94</w:t>
        </w:r>
      </w:hyperlink>
      <w:r>
        <w:rPr>
          <w:rFonts w:ascii="arial" w:eastAsia="arial" w:hAnsi="arial" w:cs="arial"/>
          <w:color w:val="000000"/>
          <w:sz w:val="20"/>
          <w:lang w:val="en-US" w:eastAsia="en-US" w:bidi="ar-SA"/>
        </w:rPr>
        <w:t xml:space="preserve"> (S.C.). I note from that decision that there were findings that the executor was dishonest: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oral reasons I held that the "taking of money out of an estate over which you are executor, using it for your own purposes, setting an interest rate that is inappropriate, and pre-taking remuneration" are dishonest acts and breaches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executor was, therefore, deprived of remuneration and special costs were awarded against him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Kwichak argues that this is the thread that ties all of the cases where a trustee is deprived of costs or ordered to pay costs -- that their actions were deserving of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Ms. Kwichak referred me to </w:t>
      </w:r>
      <w:r>
        <w:rPr>
          <w:rFonts w:ascii="arial" w:eastAsia="arial" w:hAnsi="arial" w:cs="arial"/>
          <w:i/>
          <w:color w:val="000000"/>
          <w:sz w:val="20"/>
          <w:lang w:val="en-US" w:eastAsia="en-US" w:bidi="ar-SA"/>
        </w:rPr>
        <w:t>Re Lowe Estate</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2002 BCSC 813</w:t>
        </w:r>
      </w:hyperlink>
      <w:r>
        <w:rPr>
          <w:rFonts w:ascii="arial" w:eastAsia="arial" w:hAnsi="arial" w:cs="arial"/>
          <w:color w:val="000000"/>
          <w:sz w:val="20"/>
          <w:lang w:val="en-US" w:eastAsia="en-US" w:bidi="ar-SA"/>
        </w:rPr>
        <w:t>, where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I conclude that to justify an order for special costs there must be reprehensible conduct of such a kind that it is deserving of punishment. Even if the conduct of Ms. Hoy could be characterized as reprehensible, I can see no justification for punishing her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 am supported in that view by the authorities. In </w:t>
      </w:r>
      <w:r>
        <w:rPr>
          <w:rFonts w:ascii="arial" w:eastAsia="arial" w:hAnsi="arial" w:cs="arial"/>
          <w:i/>
          <w:color w:val="000000"/>
          <w:sz w:val="20"/>
          <w:lang w:val="en-US" w:eastAsia="en-US" w:bidi="ar-SA"/>
        </w:rPr>
        <w:t>F.D. Widdifield on Executors' Accounts</w:t>
      </w:r>
      <w:r>
        <w:rPr>
          <w:rFonts w:ascii="arial" w:eastAsia="arial" w:hAnsi="arial" w:cs="arial"/>
          <w:color w:val="000000"/>
          <w:sz w:val="20"/>
          <w:lang w:val="en-US" w:eastAsia="en-US" w:bidi="ar-SA"/>
        </w:rPr>
        <w:t>, 5th ed. (Toronto: Carswell, 1967) at p. 108-109 the author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mere fact of executors being charged with interest on balances in their hands, or any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of itself a sufficient ground for burdening them with the costs of an action, or even refusing them costs: </w:t>
      </w:r>
      <w:r>
        <w:rPr>
          <w:rFonts w:ascii="arial" w:eastAsia="arial" w:hAnsi="arial" w:cs="arial"/>
          <w:i/>
          <w:color w:val="000000"/>
          <w:sz w:val="20"/>
          <w:lang w:val="en-US" w:eastAsia="en-US" w:bidi="ar-SA"/>
        </w:rPr>
        <w:t>Flanagan v. Nolan</w:t>
      </w:r>
      <w:r>
        <w:rPr>
          <w:rFonts w:ascii="arial" w:eastAsia="arial" w:hAnsi="arial" w:cs="arial"/>
          <w:color w:val="000000"/>
          <w:sz w:val="20"/>
          <w:lang w:val="en-US" w:eastAsia="en-US" w:bidi="ar-SA"/>
        </w:rPr>
        <w:t xml:space="preserve">, 1 Moll. 84; </w:t>
      </w:r>
      <w:r>
        <w:rPr>
          <w:rFonts w:ascii="arial" w:eastAsia="arial" w:hAnsi="arial" w:cs="arial"/>
          <w:i/>
          <w:color w:val="000000"/>
          <w:sz w:val="20"/>
          <w:lang w:val="en-US" w:eastAsia="en-US" w:bidi="ar-SA"/>
        </w:rPr>
        <w:t>Travers v. Townsend</w:t>
      </w:r>
      <w:r>
        <w:rPr>
          <w:rFonts w:ascii="arial" w:eastAsia="arial" w:hAnsi="arial" w:cs="arial"/>
          <w:color w:val="000000"/>
          <w:sz w:val="20"/>
          <w:lang w:val="en-US" w:eastAsia="en-US" w:bidi="ar-SA"/>
        </w:rPr>
        <w:t xml:space="preserve">, 1 Moll. 496; and an executor who has not been guilty of dishonesty, and who has made good to the estate the deficiency arising from an improper investment made by him, will not be ordered to pay costs: </w:t>
      </w:r>
      <w:r>
        <w:rPr>
          <w:rFonts w:ascii="arial" w:eastAsia="arial" w:hAnsi="arial" w:cs="arial"/>
          <w:i/>
          <w:color w:val="000000"/>
          <w:sz w:val="20"/>
          <w:lang w:val="en-US" w:eastAsia="en-US" w:bidi="ar-SA"/>
        </w:rPr>
        <w:t>Peacock v. Colling</w:t>
      </w:r>
      <w:r>
        <w:rPr>
          <w:rFonts w:ascii="arial" w:eastAsia="arial" w:hAnsi="arial" w:cs="arial"/>
          <w:color w:val="000000"/>
          <w:sz w:val="20"/>
          <w:lang w:val="en-US" w:eastAsia="en-US" w:bidi="ar-SA"/>
        </w:rPr>
        <w:t xml:space="preserve">, 54 L.J. Ch. 743; </w:t>
      </w:r>
      <w:r>
        <w:rPr>
          <w:rFonts w:ascii="arial" w:eastAsia="arial" w:hAnsi="arial" w:cs="arial"/>
          <w:i/>
          <w:color w:val="000000"/>
          <w:sz w:val="20"/>
          <w:lang w:val="en-US" w:eastAsia="en-US" w:bidi="ar-SA"/>
        </w:rPr>
        <w:t>Re Whiteley</w:t>
      </w:r>
      <w:r>
        <w:rPr>
          <w:rFonts w:ascii="arial" w:eastAsia="arial" w:hAnsi="arial" w:cs="arial"/>
          <w:color w:val="000000"/>
          <w:sz w:val="20"/>
          <w:lang w:val="en-US" w:eastAsia="en-US" w:bidi="ar-SA"/>
        </w:rPr>
        <w:t xml:space="preserve">, 33 Ch. D.34. See also </w:t>
      </w:r>
      <w:r>
        <w:rPr>
          <w:rFonts w:ascii="arial" w:eastAsia="arial" w:hAnsi="arial" w:cs="arial"/>
          <w:i/>
          <w:color w:val="000000"/>
          <w:sz w:val="20"/>
          <w:lang w:val="en-US" w:eastAsia="en-US" w:bidi="ar-SA"/>
        </w:rPr>
        <w:t>Re Davis</w:t>
      </w:r>
      <w:r>
        <w:rPr>
          <w:rFonts w:ascii="arial" w:eastAsia="arial" w:hAnsi="arial" w:cs="arial"/>
          <w:color w:val="000000"/>
          <w:sz w:val="20"/>
          <w:lang w:val="en-US" w:eastAsia="en-US" w:bidi="ar-SA"/>
        </w:rPr>
        <w:t xml:space="preserve"> [1887], W.N. 186.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if the executors' accounts are falsified, or they have been guilty of gross or wilful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have acted from fraudulent or interested motives, they are generally ordered to pay costs, or so much of them as have been occasioned by their misconduct; or may be disallowed their costs: </w:t>
      </w:r>
      <w:r>
        <w:rPr>
          <w:rFonts w:ascii="arial" w:eastAsia="arial" w:hAnsi="arial" w:cs="arial"/>
          <w:i/>
          <w:color w:val="000000"/>
          <w:sz w:val="20"/>
          <w:lang w:val="en-US" w:eastAsia="en-US" w:bidi="ar-SA"/>
        </w:rPr>
        <w:t>Tebbs v. Carpenter</w:t>
      </w:r>
      <w:r>
        <w:rPr>
          <w:rFonts w:ascii="arial" w:eastAsia="arial" w:hAnsi="arial" w:cs="arial"/>
          <w:color w:val="000000"/>
          <w:sz w:val="20"/>
          <w:lang w:val="en-US" w:eastAsia="en-US" w:bidi="ar-SA"/>
        </w:rPr>
        <w:t xml:space="preserve">, 1 Madd. 290, 16 R.R. 124; </w:t>
      </w:r>
      <w:r>
        <w:rPr>
          <w:rFonts w:ascii="arial" w:eastAsia="arial" w:hAnsi="arial" w:cs="arial"/>
          <w:i/>
          <w:color w:val="000000"/>
          <w:sz w:val="20"/>
          <w:lang w:val="en-US" w:eastAsia="en-US" w:bidi="ar-SA"/>
        </w:rPr>
        <w:t>Gilbert v. Lee</w:t>
      </w:r>
      <w:r>
        <w:rPr>
          <w:rFonts w:ascii="arial" w:eastAsia="arial" w:hAnsi="arial" w:cs="arial"/>
          <w:color w:val="000000"/>
          <w:sz w:val="20"/>
          <w:lang w:val="en-US" w:eastAsia="en-US" w:bidi="ar-SA"/>
        </w:rPr>
        <w:t>, 13 W.R. 1012.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also noted the recent decision of Registrar Nielsen in </w:t>
      </w:r>
      <w:r>
        <w:rPr>
          <w:rFonts w:ascii="arial" w:eastAsia="arial" w:hAnsi="arial" w:cs="arial"/>
          <w:i/>
          <w:color w:val="000000"/>
          <w:sz w:val="20"/>
          <w:lang w:val="en-US" w:eastAsia="en-US" w:bidi="ar-SA"/>
        </w:rPr>
        <w:t>Zadra v. Cortese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2016 BCSC 390</w:t>
        </w:r>
      </w:hyperlink>
      <w:r>
        <w:rPr>
          <w:rFonts w:ascii="arial" w:eastAsia="arial" w:hAnsi="arial" w:cs="arial"/>
          <w:color w:val="000000"/>
          <w:sz w:val="20"/>
          <w:lang w:val="en-US" w:eastAsia="en-US" w:bidi="ar-SA"/>
        </w:rPr>
        <w:t>, where he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In </w:t>
      </w:r>
      <w:r>
        <w:rPr>
          <w:rFonts w:ascii="arial" w:eastAsia="arial" w:hAnsi="arial" w:cs="arial"/>
          <w:i/>
          <w:color w:val="000000"/>
          <w:sz w:val="20"/>
          <w:lang w:val="en-US" w:eastAsia="en-US" w:bidi="ar-SA"/>
        </w:rPr>
        <w:t>Re Kanee Estate</w:t>
      </w:r>
      <w:r>
        <w:rPr>
          <w:rFonts w:ascii="arial" w:eastAsia="arial" w:hAnsi="arial" w:cs="arial"/>
          <w:color w:val="000000"/>
          <w:sz w:val="20"/>
          <w:lang w:val="en-US" w:eastAsia="en-US" w:bidi="ar-SA"/>
        </w:rPr>
        <w:t>, [1991] B.C.W.L.D. 24[6]2, the Court outlined circumstances where an administrator's claim for cost will be disallowed. At para. 16,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 Finally, the Estate is protected against unreasonable claims by the Executors because the Court has a discretion as to costs. Mr. Justice Donald recognized that matter when referring to the master's findings.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saw no unreasonableness in the amount claimed by the Executors, nor did he find any bad faith or other impropriety in the matters which led to the reduction, nor do I. The adjustment for mistakes was adequately made by the reduction in remuneration; it was unnecessary to penalize the Executors by denying them costs. There will be cases where the executor's claim is outrageous or tainted by serious misconduct and the discretion as to costs should be exercised differently.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The administrator's claim to fees has been reduced; however, the claim was not "outrageous or tainted by serious misconduct".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[102] The administrator's pre-taking of fees was a breach of trust, and contrary to Rule 25-13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requires a court order, however, that has been taken into account in arriving at the administrator's remuneration.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The administrator was a lay person, inexperienced in estate matters, legal matters, and accounting matters. He struck me as an individual who was overwhelmed but sought to do the best he could on the advice of professionals.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I see no reason to depart from the usual order that the estate pay the administrator's costs of passing the accounts, assessed as special costs,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question that special costs can be awarded against a trustee personally where breach of trust, breach of fiduciary duty, or other wrongdoing is established sufficient for punishment to be warranted. In such cases there is no reason the estate should bear the costs to which the executor put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agree that there was delay occasioned by Ms. Kwichak's failure to proceed promptly with the administration of the estate. That was a breach of the obligations owed to the estate and the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co-executrices chose not to deal with that earlier, although they could have made application to have Ms. Kwichak removed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clear that the estate could not have been wound up until Ms. Knight's tenancy ended in October 2012. The delay was thus at most five years, not the ten years urged by the co-executrices.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Kwichak explains some of that delay in the affidavit filed by her for the contempt application. She was dealing with exceptional and potentially devastating business issues that were demanding of her time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nothing in the evidence before me that suggests that the actions of Ms. Kwichak were wilful or stemmed from malicious or fraudulent motives. Nor is there any suggestion that she was acting out of self-interest or to intentionally benefit herself or others at the expense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noted from </w:t>
      </w:r>
      <w:r>
        <w:rPr>
          <w:rFonts w:ascii="arial" w:eastAsia="arial" w:hAnsi="arial" w:cs="arial"/>
          <w:i/>
          <w:color w:val="000000"/>
          <w:sz w:val="20"/>
          <w:lang w:val="en-US" w:eastAsia="en-US" w:bidi="ar-SA"/>
        </w:rPr>
        <w:t>Re Kanee Estate</w:t>
      </w:r>
      <w:r>
        <w:rPr>
          <w:rFonts w:ascii="arial" w:eastAsia="arial" w:hAnsi="arial" w:cs="arial"/>
          <w:color w:val="000000"/>
          <w:sz w:val="20"/>
          <w:lang w:val="en-US" w:eastAsia="en-US" w:bidi="ar-SA"/>
        </w:rPr>
        <w:t xml:space="preserve">, quoted by Registrar Nielsen in </w:t>
      </w:r>
      <w:r>
        <w:rPr>
          <w:rFonts w:ascii="arial" w:eastAsia="arial" w:hAnsi="arial" w:cs="arial"/>
          <w:i/>
          <w:color w:val="000000"/>
          <w:sz w:val="20"/>
          <w:lang w:val="en-US" w:eastAsia="en-US" w:bidi="ar-SA"/>
        </w:rPr>
        <w:t>Zadra</w:t>
      </w:r>
      <w:r>
        <w:rPr>
          <w:rFonts w:ascii="arial" w:eastAsia="arial" w:hAnsi="arial" w:cs="arial"/>
          <w:color w:val="000000"/>
          <w:sz w:val="20"/>
          <w:lang w:val="en-US" w:eastAsia="en-US" w:bidi="ar-SA"/>
        </w:rPr>
        <w:t>, an adjustment for mistakes is commonly dealt with by a reduction in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Given that Ms. Kwichak has paid the estate all amounts alleged to have resulted from errors on her part, has paid the costs awarded or agreed to and has completely foregone any remuneration for administering the estate, I am satisfied that there is no need for further punishment. The estate should pay Ms. Kwichak's costs of passing the accounts, assessed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Similarly, there is no basis, in my view, for punishing Ms. Kwichak with an order for payment of the special costs of the co-executrices and the application in that regard is dismissed. The reasonable costs of the co-executrices' incidental to the litigation relating to the estate will be payable from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Deschamps v. Wloka, [2006] B.C.J. No. 332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Hyslop</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35836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801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Theresa Deschamps, plaintiff, and Frank Wloka, Lorne Mann, 460423 BC Ltd., 482022 BC Ltd., KRC Investments Inc., Er-Conn Development Inc., and R. Griffith Land Surveying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0" w:name="Keywords_11"/>
      <w:bookmarkEnd w:id="80"/>
      <w:r>
        <w:rPr>
          <w:rFonts w:ascii="arial" w:eastAsia="arial" w:hAnsi="arial" w:cs="arial"/>
          <w:b/>
          <w:color w:val="000000"/>
          <w:sz w:val="20"/>
          <w:lang w:val="en-US" w:eastAsia="en-US" w:bidi="ar-SA"/>
        </w:rPr>
        <w:t>Civil procedure — Parties — Adding or substituting — Plaintiff, vendor of land, permitted to add subsequent purchasers of land to action against vendor's solicitor and original purchasers, where subsequent purchasers prevented vendor from exercising access to vendor's remaining property.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Pleadings — Amendment of — Statement of claim — Adding new cause of action — To alter or add claim for relief — To raise additional issues — Vendor of land permitted to amend pleadings to add claims for breach of trust, constructive trust, promissory estoppel and unjust enrichment where claims known to law — Vendor not permitted to add claim for nuisance, as claim was separate and distinct from original claims — Vendor not permitted to add claim for equitable fraud, as no special relationship established between vendor and defendant purchasers.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Deschamps owned five acre property with house — Deschamps subdivided property, sold lot — Town required dedicated strip of land along boundary of property for street extension — Deschamps visited lawyer Mann, sold another portion of property — Agreement for sale called for purchaser, Wloka, to pay costs of street extension — Deschamps subsequently received agreement, purportedly signed by her and four companies, for sale of property — Deschamps had no recollection of signing agreement — Plan attached to agreement did not show street extension — For next two years, Deschamps drove along 16-foot strip on easterly border of land to access her home — Lilac, represented by Colonel, purchased remaining lands — Lilac sold lands to Strata — Strata refused to allow Deschamps to use 16-foot strip — Deschamps alleged Colonel shouted at her, sent bulldozers to dig up 16-foot strip — Deschamps had lawyer issue writ claiming companies failed to advise her she was selling driveway, causing her to suffer damages including significant devaluation of her residence — Deschamps originally sued land surveyor and Mann — Deschamps successfully added Wloka and purchasing companies to claim, discontinued claim against land surveyor, and applied to amend claim against Wloka, Mann and purchasing companies — Deschamps claim against Wloka and Mann, alleging participation in breach of trust with purchasing companies, allowed — Deschamps permitted to add Lilac, Strata and Colonel to action as defendants — Deschamps sought to postpone running of limitation period — Deschamps claimed Colonel, Lilac and Strata had knowledge of her use of 16-foot strip — Amendment allowed to Deschamps statement of claim, as cause of action for breach of trust because of parties knowledge of Deschamps' use of 16-foot strip was not frivolous — Deschamps' claim for equitable fraud not allowed, as Deschamps did not demonstrate any special relationship with proposed defendants — Deschamps not permitted to add claim against proposed defendants in nuisance, as nuisance claim was separate and distinct from claims against other defendants — Deschamps' claims against proposed defendants not statute-barred, as Colonel had knowledge of Deschamps' claims for some time — Deschamps' additional claims for proprietary estoppel, constructive trust and unjust enrichment added, as causes of action known to law.</w:t>
      </w:r>
    </w:p>
    <w:p>
      <w:pPr>
        <w:jc w:val="both"/>
        <w:rPr>
          <w:rFonts w:ascii="arial" w:eastAsia="arial" w:hAnsi="arial" w:cs="arial"/>
          <w:sz w:val="20"/>
          <w:lang w:val="en-US" w:eastAsia="en-US" w:bidi="ar-SA"/>
        </w:rPr>
      </w:pPr>
      <w:bookmarkStart w:id="81" w:name="Legislation Cited_11"/>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6"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2, 15(5)(a),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Title Act, R.S.B.C. c. 250, ss. 20,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Limitations Act, R.S.B.C. 1996, c. 266, ss. 6(1), 6(4)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2" w:name="Counsel_11"/>
      <w:bookmarkEnd w:id="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Lawrence Colonel and Lilac Investments Ltd.: D.M. Rush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3" w:name="Judgment_11"/>
      <w:bookmarkEnd w:id="83"/>
      <w:r>
        <w:pict>
          <v:line id="_x0000_s1088"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4" w:name="MASTER HYSLOP"/>
            <w:bookmarkEnd w:id="84"/>
            <w:r>
              <w:rPr>
                <w:rFonts w:ascii="arial" w:eastAsia="arial" w:hAnsi="arial" w:cs="arial"/>
                <w:b/>
                <w:color w:val="000000"/>
                <w:sz w:val="30"/>
                <w:lang w:val="en-US" w:eastAsia="en-US" w:bidi="ar-SA"/>
              </w:rPr>
              <w:t>MASTER HYSLOP</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granting the plaintiff leave to amend the amended writ of summons and statement of claim in the form attached hereto;</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Lawrence Colonel, Lilac Investments Ltd., and the owners, Strata Plan NES2065 as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 will rely on Rules 2, 15(5)(a), and 24(1) and the court's inherent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master does not have inherent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proposed defendants, Lawrence Colonel ("Colonel"), Lilac Investments Ltd. ("Lilac") and the owners of Strata Plan NES2065 ("Strata"), collectively referred to as the ("proposed defendants"), oppose this application in so far as it relates to them. I am advised that all defendants have received notice of this application. They have not appeared at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Rush acts on behalf of Colonel and Lilac. He also argued against adding Strata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application is brought by the plaintiff to amend the amended statement of claim. The plaintiff first amended the statement of claim on September 15, 2004 then amended it again on March 22, 2005 without leave or consent pursuant to Rule 24(1)(a), including the addition of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first amendments to the statement of claim are those allegations in paragraph 39, 40 and 41 of the proposed amended statement of claim. The only change to those paragraphs is their numbering in the proposed amended statement of claim and a sentence in paragraph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89 years of age. She is a widow residing in the Town of Creston, where at one time she owned a five-acre piece of land. On this land is located a house in which the plaintiff presently resides. The civic address of this land is 710 Devon Road, Creston,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1991, the plaintiff subdivided her five-acre property, creating a lot which she sold. At around that time she became aware that the Town of Creston would require, should she subdivide her property further, the dedication of a strip of land along the easterly boundary of her property for the proposed extension of 7th Avenue. In September of 1994, the plaintiff received an offer to sell a portion of the remainder of her property. She attended the offices of the defendant, Lorne Mann, a notary public, and accepted and signed an offer. Attached to this agreement was a sketch plan showing the land that the plaintiff would retain, the land she was to sell, and the dedication of a strip of land for the 7th Avenue extension. The agreement called for the purchasers to pay the costs of the extension of 7th Avenue. The purchaser was the defendant, Frank Wloka or "assignee".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Subsequent to attending Mr. Mann's office, the plaintiff alleges that she received in the mail an agreement purportedly signed by her and 460423 BC Ltd., 482033 BC Ltd. and KRC Investments Inc. and Er-Conn Development Inc. (referred to in the statement of claim and amendments as "the purchasing defendants"). The plaintiff swears that she has no recollection of signing this document. Attached to that document is a plan consolidating the plaintiff's land and the land of a neighbour, which the purchasing defendants purchased. The plan did not show the 7th Avenue extension. In January of 1995, the plaintiff signed the plan of subdivision. It was deposited in the Land Title Office in February of 1995. In March of 1995, the plaintiff transferred her portion of her subdivided property to the purchasing defendants. The plaintiff alleges that for the next two and a half years she continued to drive up and down the easterly border of her land (the "16-foot strip") to access what she describes as her carport, home and the balance of her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1996, Colonel, on behalf of Lilac, made inquiries about buying a portion of the subdivided consolidated lands. Eventually, in 1997, Lilac purchased all of the consolidated lands. These lands were then sold to Strata who then developed a strata manufactured home park. The property in dispute, that is the 16-feet, is now part of the common property of the Strata. The plaintiff can no longer use this 16-foot strip of land. Mr. Colonel swears that approximately 20 of the lots have been purchased by third parties. The balance of the lots are owned by Lilac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1997, the plaintiff alleges that Colonel shouted at the plaintiff to get off his land, and the following day sent bulldozers to dig up the 16-foot strip of land that the plaintiff used as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Commencing in 1997 the plaintiff consulted a number of lawyers regarding the loss of the 16-foot strip. In 1999, one of the lawyers the plaintiff contacted issued a writ and endorsed the writ with this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arises because of the defendants' having omitted to advise the plaintiff that when she subdivided a portion of her property in 1995 she would, in effect, be selling her driveway to the owners of the new subdivision an would, as a result, have no access to a significant portion of her residence, including the carport, which she previously accessed over the driveway, which was subdivided off and sold to the purchasers of the newly created subdivision.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those omissions the plaintiff has suffered damages, including the significant devaluation of her residence.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Dated: October 21,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only defendants named in common with this action are R. Griffith Land Surveying Inc. and Lorne D. Mann. None of the other defendants or proposed defendants are named in that writ. I do not know the status of that action, I assume that it is not being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GRIFFITH LAND SURVEYING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discontinued her claims against R. Griffith Land Surveying Inc. The plaintiff seeks to amend those parts of the proposed amended statement of claim relating to R. Griffith Land Surveying Inc. by deleting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reference to R. Griffith Land Surveying Inc. on page 1 and 2 of the writ;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paragraph 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"Plan 19550 was prepared by Griffith Surveys" and in its place the word "Plan 19550";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paragraph 18, 19, and 20;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"Griffith Surveys had also been retained by 482033 B.C. Ltd., 460423 BC Ltd., Er-Conn Development Inc., and Kooteney River Concrete Inc. the firm applied on behalf of these", and in its place the words "the purchasing defendants applied".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17 the words "wrote to Griffith Survey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20 the words "addressed to Ross Beddees of Griffith Surveys";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24(c) the words "that had been prepared by Robert Griffith"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to the proposed amended statement of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42 The plaintiff expressly waives any and all right to recover from the defendants or any other party, any portion of the plaintiff's loss which a court may attribute to the fault, tort,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breach of bylaw, and/or the breach of any equitable, common law or statutory duty of R. Griffith Land Surveying Inc. (the "Excluded Party") and for which the defendants might reasonably be entitled to claim from the Excluded Party contribution, indemnity or an apportionment either at common law, in equity,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amendments thereto, or any successor or similar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These amendments are not opposed and are appropriate. I order that the plaintiff is permitted to make these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AMENDMENTS RELATING TO LORNE MANN AND THE PURCHASING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agree with counsel for the plaintiff that the proposed amendments in paragraph 13 and 25 go to the equities between the parties. Paragraphs 26 and 28 clarify the involvement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amendment to the prayer for relief reflect the changes sought in the proposed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Paragraph 39 was part of the amendments made on September 15, 2004, except the sentence "The defendants Wloka and Mann participated in and assisted these defendants with this breach of trust". This claim is not frivolous, I allow this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in her prayer for relief, seeks an order declaring that she is entitled to a permanent free and clear access to the 16-foot strip of land, and an order granting possession of those lands and damages for breach of trust, fraud, and/or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Robson Bulldozing Ltd. v. Royal Bank of Canada </w:t>
      </w:r>
      <w:hyperlink r:id="rId210" w:history="1">
        <w:r>
          <w:rPr>
            <w:rFonts w:ascii="arial" w:eastAsia="arial" w:hAnsi="arial" w:cs="arial"/>
            <w:i/>
            <w:color w:val="0077CC"/>
            <w:sz w:val="20"/>
            <w:u w:val="single"/>
            <w:shd w:val="clear" w:color="auto" w:fill="FFFFFF"/>
            <w:lang w:val="en-US" w:eastAsia="en-US" w:bidi="ar-SA"/>
          </w:rPr>
          <w:t>(1985), 62 B.C.L.R. 267</w:t>
        </w:r>
      </w:hyperlink>
      <w:r>
        <w:rPr>
          <w:rFonts w:ascii="arial" w:eastAsia="arial" w:hAnsi="arial" w:cs="arial"/>
          <w:color w:val="000000"/>
          <w:sz w:val="20"/>
          <w:lang w:val="en-US" w:eastAsia="en-US" w:bidi="ar-SA"/>
        </w:rPr>
        <w:t xml:space="preserve"> describes the requirement for adding defendants. Madam Justice McLachlin, as she then was, writes in Robson at page 3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first question is whether there is a possible cause of action between the proposed plaintiffs and the defendants. Unless a cause of action is suggested, it cannot be said that they ought to have been joined as parties, that their participation is necessary to ensure effectual adjudication, or that there is an issue between them which it is just and convenient be tried with the others: R. 15(5). Only if a cause of action is made out, do the conditions set out under R. 15(5) become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adding a proposed defendant and the amending the statement of claim, it is sufficient to show the cause of action so long as the material facts are pleaded. Strata Plan LMS 1816 v. Acastina Investments Ltd. </w:t>
      </w:r>
      <w:hyperlink r:id="rId211" w:history="1">
        <w:r>
          <w:rPr>
            <w:rFonts w:ascii="arial" w:eastAsia="arial" w:hAnsi="arial" w:cs="arial"/>
            <w:i/>
            <w:color w:val="0077CC"/>
            <w:sz w:val="20"/>
            <w:u w:val="single"/>
            <w:shd w:val="clear" w:color="auto" w:fill="FFFFFF"/>
            <w:lang w:val="en-US" w:eastAsia="en-US" w:bidi="ar-SA"/>
          </w:rPr>
          <w:t>(2004), 33 B.C.L.R. (4th) 69</w:t>
        </w:r>
      </w:hyperlink>
      <w:r>
        <w:rPr>
          <w:rFonts w:ascii="arial" w:eastAsia="arial" w:hAnsi="arial" w:cs="arial"/>
          <w:color w:val="000000"/>
          <w:sz w:val="20"/>
          <w:lang w:val="en-US" w:eastAsia="en-US" w:bidi="ar-SA"/>
        </w:rPr>
        <w:t>. This is based on the assumption that evidence exists to support the facts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assessing whether the cause of action is made out, the chambers judge is not to assess the plaintiff's chances of success against the proposed defendants, only that a claim is not entirely frivolous, Quintette Coal Ltd. Bow Valley Resources Services </w:t>
      </w:r>
      <w:hyperlink r:id="rId212" w:history="1">
        <w:r>
          <w:rPr>
            <w:rFonts w:ascii="arial" w:eastAsia="arial" w:hAnsi="arial" w:cs="arial"/>
            <w:i/>
            <w:color w:val="0077CC"/>
            <w:sz w:val="20"/>
            <w:u w:val="single"/>
            <w:shd w:val="clear" w:color="auto" w:fill="FFFFFF"/>
            <w:lang w:val="en-US" w:eastAsia="en-US" w:bidi="ar-SA"/>
          </w:rPr>
          <w:t>(1986), 6 B.C.L.R. (2d) 347</w:t>
        </w:r>
      </w:hyperlink>
      <w:r>
        <w:rPr>
          <w:rFonts w:ascii="arial" w:eastAsia="arial" w:hAnsi="arial" w:cs="arial"/>
          <w:color w:val="000000"/>
          <w:sz w:val="20"/>
          <w:lang w:val="en-US" w:eastAsia="en-US" w:bidi="ar-SA"/>
        </w:rPr>
        <w:t>, [1986] B.C.D. Civ 3663-03; 3699-01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LIMITATIONS ACT, R.S.B.C. [1996] c. 266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in her pleadings, paragraph 40 and 41 seeks to postpone the running of the application within the limitation period pursuant to s. 6(1) and (6(4) of the Limitation Act. In considering the effect of the Limitation Act, the court considers prejudice to the proposed defendants and the length of delay. (See: Cassidy v. Abbotsford (City) Police Department, </w:t>
      </w:r>
      <w:hyperlink r:id="rId213" w:history="1">
        <w:r>
          <w:rPr>
            <w:rFonts w:ascii="arial" w:eastAsia="arial" w:hAnsi="arial" w:cs="arial"/>
            <w:i/>
            <w:color w:val="0077CC"/>
            <w:sz w:val="20"/>
            <w:u w:val="single"/>
            <w:shd w:val="clear" w:color="auto" w:fill="FFFFFF"/>
            <w:lang w:val="en-US" w:eastAsia="en-US" w:bidi="ar-SA"/>
          </w:rPr>
          <w:t>[2001] B.C.J. No. 1210</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2001 BCSC 760</w:t>
        </w:r>
      </w:hyperlink>
      <w:r>
        <w:rPr>
          <w:rFonts w:ascii="arial" w:eastAsia="arial" w:hAnsi="arial" w:cs="arial"/>
          <w:color w:val="000000"/>
          <w:sz w:val="20"/>
          <w:lang w:val="en-US" w:eastAsia="en-US" w:bidi="ar-SA"/>
        </w:rPr>
        <w:t xml:space="preserve"> and Teal Cedar Products (1977) Ltd. v. Dale Intermediaries Ltd. </w:t>
      </w:r>
      <w:hyperlink r:id="rId214"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AMENDMENTS TO THE PROPOSED AMENDED STATEMENT OF CLAIM RELATING TO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Other than the description of the proposed defendants, the claims against the proposed defendants are contained in paragraphs 30 to 38 inclusive of the proposed amended statement of claim. Counsel for the proposed defendants categorizes the causes of action in his outline. I use those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REM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alleges that during negotiations between Colonel and the defendant purchasers, that Colonel had knowledge of the plaintiff's use of and the obligation of the defendant purchasers to construct the extension of 7th Avenue. Further the plaintiff alleges that Lilac, Strata and Colonel had knowledge that the 16-foot strip of land was impressed with a trust relating to 7th Avenue which they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plaintiff argues that denying plaintiff use and possession of the 16-foot strip of land constitutes fraud in that the proposed defendants claim to stand on their registered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Counsel for the proposed defendants claim ss. 20 and 29 of the 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and amendments thereto, protects them even though the proposed defendants may have actual knowledge of the plaintiff's unregistered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Woodwest Developments Ltd. v. Met-Tec Installations Ltd., </w:t>
      </w:r>
      <w:hyperlink r:id="rId215" w:history="1">
        <w:r>
          <w:rPr>
            <w:rFonts w:ascii="arial" w:eastAsia="arial" w:hAnsi="arial" w:cs="arial"/>
            <w:i/>
            <w:color w:val="0077CC"/>
            <w:sz w:val="20"/>
            <w:u w:val="single"/>
            <w:shd w:val="clear" w:color="auto" w:fill="FFFFFF"/>
            <w:lang w:val="en-US" w:eastAsia="en-US" w:bidi="ar-SA"/>
          </w:rPr>
          <w:t>[1982] B.C.J. No. 1509</w:t>
        </w:r>
      </w:hyperlink>
      <w:r>
        <w:rPr>
          <w:rFonts w:ascii="arial" w:eastAsia="arial" w:hAnsi="arial" w:cs="arial"/>
          <w:color w:val="000000"/>
          <w:sz w:val="20"/>
          <w:lang w:val="en-US" w:eastAsia="en-US" w:bidi="ar-SA"/>
        </w:rPr>
        <w:t xml:space="preserve"> (S.C.) the issue related to an unregistered lease and whether the purchaser, the defendant, had notice of the tenant's lease. Mr. Justice Davis in Woodwest poses a question as to the meaning of fraud as stated in s. 29 of the Land Title Act. He says this at page 3 [paragraph]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13 Therefore, one must determine what is meant by the word "fraud" in s. 29. Is it to be actual, intentional fraud which must positively be proven or can it be fraud inferred from the particular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concludes, after reviewing the accepted test as to what amounts to fraud over the years in various cases in British Columbia,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25 The cases which I have reviewed support the view that notice before entering into a binding contract is a sufficient circumstance to warrant that a purchaser would take, subject to a prior unregistered interest of which he has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goes on to say at [paragraph]31 and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31 I find that I am in complete agreement with the conclusions reached by Gerald W. Ghikas in his excellent review of the authorities on this subject in (1980), 38 The Advocate 207. At p. 220 he gave the following conclusions: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authorities establish that notwithstanding Section 44 of the Land Registry Act and its successor, Section 29 of the Land Title Act, the title of a transferee may be encumbered by an unregistered interest of which the transferee has actual notice prior to the time at which the transferee registers his own interest. This proposition is based upon the conclusion that the transferee in completing his own transaction becomes a party to the transferor's fraud, or alternatively is no longer bona fie'. There is persuasive authority to the effect that no additional overt act or dishonest intention on the party of the transferee is required beyond that implicit in his seeking the protection of the statute to defeat what would otherwise be a prior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32 There is further authority that the transferee's honest belief that the unregistered interest was unenforceable does not constitute a defence. The authorities suggest that there is a point in time prior to the registration of the transferee's interest after which actual notice will have no effect, but are inconsistent in fixing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is a cause of action plead by the plaintiff which not only exists between the present defendants and the plaintiff but is also a cause of action plead by the plaintiff as against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TRUST CLAIM AND ITS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alleges that the proposed defendants each knew that the 16-foot strip was impressed with the conditions for the development and construction of 7th Avenue which was to provide access to the plaintiff's residence which the proposed defendants' have refused to acknowledge preventing the plaintiff from using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for the defendant and the plaintiff cite a number of cases, these decisions are the result of the trial. At this stage I am not to determine whether there is a prospect of success. This cause of action is not frivolous and is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EQUITABLE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Equitable fraud is defined by Mr. Justice Blair in Louie v. Derrickson, </w:t>
      </w:r>
      <w:hyperlink r:id="rId216" w:history="1">
        <w:r>
          <w:rPr>
            <w:rFonts w:ascii="arial" w:eastAsia="arial" w:hAnsi="arial" w:cs="arial"/>
            <w:i/>
            <w:color w:val="0077CC"/>
            <w:sz w:val="20"/>
            <w:u w:val="single"/>
            <w:shd w:val="clear" w:color="auto" w:fill="FFFFFF"/>
            <w:lang w:val="en-US" w:eastAsia="en-US" w:bidi="ar-SA"/>
          </w:rPr>
          <w:t>[1993] B.C.J. No. 1338</w:t>
        </w:r>
      </w:hyperlink>
      <w:r>
        <w:rPr>
          <w:rFonts w:ascii="arial" w:eastAsia="arial" w:hAnsi="arial" w:cs="arial"/>
          <w:color w:val="000000"/>
          <w:sz w:val="20"/>
          <w:lang w:val="en-US" w:eastAsia="en-US" w:bidi="ar-SA"/>
        </w:rPr>
        <w:t xml:space="preserve"> (S.C.),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98 In Guerin v. R., </w:t>
      </w:r>
      <w:hyperlink r:id="rId217" w:history="1">
        <w:r>
          <w:rPr>
            <w:rFonts w:ascii="arial" w:eastAsia="arial" w:hAnsi="arial" w:cs="arial"/>
            <w:i/>
            <w:color w:val="0077CC"/>
            <w:sz w:val="20"/>
            <w:u w:val="single"/>
            <w:shd w:val="clear" w:color="auto" w:fill="FFFFFF"/>
            <w:lang w:val="en-US" w:eastAsia="en-US" w:bidi="ar-SA"/>
          </w:rPr>
          <w:t>[1984] 6 W.W.R. 481</w:t>
        </w:r>
      </w:hyperlink>
      <w:r>
        <w:rPr>
          <w:rFonts w:ascii="arial" w:eastAsia="arial" w:hAnsi="arial" w:cs="arial"/>
          <w:color w:val="000000"/>
          <w:sz w:val="20"/>
          <w:lang w:val="en-US" w:eastAsia="en-US" w:bidi="ar-SA"/>
        </w:rPr>
        <w:t xml:space="preserve"> (S.C.C.), Dickson J. (as he then was) at pages 505 and 506 found a breach of fiduciary duty by the defendant's employees giving rise to a six year limitation period which began to run when the plaintiff discovered, or ought with reasonable diligence to have discovered, the defendant's equitable fraud. He quoted with approval the definition of equitable fraud from Kitchen v. Royal Air Force Assn., [1958] 3 All E.R. 241 (C.A.) which held equitable fraud arose out of conduct which, having regard to some special relationship between the two parties concerned, is an unconscionable thing for the one to do towards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Louie, the relationship that the defendant had with the Indian Band was that he was Chief. In that case, Mr. Justice Blair found that Derrickson, the defendant, had accepted the payment of money for himself which should have been that of the Band's.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Louie, the cases of Guerin and Kitchen are referred to. In the case of Guerin, the special relationship was that of the Department of Indian Affairs and the Indian Band. The Department of Indian Affairs in that case were found not to have leased land which they held in trust for the Band on terms less favourable than approved by the Band. In Kitchen, the special relationship was that of a solicitor and his client. Kitchen refers to Beaman v. A.R.T.S., [1949] 1 All England 465. In Beaman, the special relationship was that of a bailor and a bailee. The plaintiff does not in either her pleadings or her evidence claim any special relationship with the proposed defendants. In my view, this is a material fact. I do not allow the amendment sought for equitable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proceeding, broadly speaking, concerns the ownership and use of a 16-foot strip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alleged by counsel for the proposed defendants, the plaintiff does not specifically allege nuisance, but does so in the prayer for relief where the plaintiff states "The plaintiff claims damages for nuisance". The issue raised in paragraphs 36, 37, and 38 is whether certain activities of the proposed defendants have caused damage to the plaintiff's property as a result of watering and the spraying of Round-Up. These allegations are unrelated to the subject matter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Boyer v. Insurance Corporation of B.C., </w:t>
      </w:r>
      <w:hyperlink r:id="rId218" w:history="1">
        <w:r>
          <w:rPr>
            <w:rFonts w:ascii="arial" w:eastAsia="arial" w:hAnsi="arial" w:cs="arial"/>
            <w:i/>
            <w:color w:val="0077CC"/>
            <w:sz w:val="20"/>
            <w:u w:val="single"/>
            <w:shd w:val="clear" w:color="auto" w:fill="FFFFFF"/>
            <w:lang w:val="en-US" w:eastAsia="en-US" w:bidi="ar-SA"/>
          </w:rPr>
          <w:t>[1994] B.C.J. No. 187</w:t>
        </w:r>
      </w:hyperlink>
      <w:r>
        <w:rPr>
          <w:rFonts w:ascii="arial" w:eastAsia="arial" w:hAnsi="arial" w:cs="arial"/>
          <w:color w:val="000000"/>
          <w:sz w:val="20"/>
          <w:lang w:val="en-US" w:eastAsia="en-US" w:bidi="ar-SA"/>
        </w:rPr>
        <w:t>, the issue before the court was whether it was just and convenient to determine a claim of the plaintiff in the existing action against a proposed defendant. In that case, the plaintiff was injured in a motor vehicle accident, he brought an action against the defendant, Insurance Corporation of British Columbia, for Part 7 benefits. The plaintiff sought to bring a claim for damages for his personal injuries and to add the proposed defendant, who was the driver of the other vehicle that struck the plaintiff's vehicle. Mr. Justice Josephson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9 In deciding whether to add the proposed defendant, I must assess the degree of interrelationship between the claim against I.C.B.C. and the claim against the proposed defendant, while keeping in mind that the general considerations of justice and convenience govern.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10 The "degree of interrelationship" test has significantly affected the approach to R. 15(5)(a)(iii) in that it has intermingled the "relating to or connected with" issue with the "just and convenient" issue. Since there is no significant difference in meaning between "degree of interrelationship" and "relating to or connected with", and because "degree of interrelationship" is the primary test to determine what is "just and convenient", I will not attempt to consider the two issues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cause of action arises out of the alleged damages to the plaintiff's land when some of the proposed defendants watered and sprayed round up on the 16-foot strip of land. This cause of action advanced against the proposed defendants is separate and distinct from that advanced against the present defendants, and the proposed defendants could stand on its own subject limitation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do not permit these amendments which are contained in paragraphs 36, 37 and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in the first amended statement of claim dated September 15, 2004, plead s. 6(1) and 6(4) of the Limitation Act,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As stated in paragraphs 40 and 41 of the proposed amended statement of claim, the plaintiff seeks to "postpone the running of any applicable limitation period". In the alternative, the plaintiff pleads that she did not have the knowledge and advice to determine whether she would have a successful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proposed defendants argued that the plaintiff was actively seeking legal advice as early as September of 1997. Counsel for the plaintiff argues a later and different date. The court, in this application, cannot consider the chances of success as against the proposed defendants. The issue of the limitation period is still open as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to prejudice to the proposed defendants, Mr. Colonel swears in his affidavit that he offered to assist in the construction of this driveway and at one time offered to provide access for the duration of her life. These offers were rejected. Mr. Colonel for some time knew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ADDITIONAL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plaintiff's outline reference is made to several other causes of action or remedies which include proprietary estoppel, constructive trust and unjust enrichment. The proposed defendants' counsel says that these are not plead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the case of proprietary estoppel, it too, as part of its success as well as other factors is the knowledge of the proposed defendants, and whether s. 29 of the Land Title Act affords the proposed defendants protection. (Pilcher v. Shoemaker, </w:t>
      </w:r>
      <w:hyperlink r:id="rId219" w:history="1">
        <w:r>
          <w:rPr>
            <w:rFonts w:ascii="arial" w:eastAsia="arial" w:hAnsi="arial" w:cs="arial"/>
            <w:i/>
            <w:color w:val="0077CC"/>
            <w:sz w:val="20"/>
            <w:u w:val="single"/>
            <w:shd w:val="clear" w:color="auto" w:fill="FFFFFF"/>
            <w:lang w:val="en-US" w:eastAsia="en-US" w:bidi="ar-SA"/>
          </w:rPr>
          <w:t>[1997] B.C.J. No. 2038</w:t>
        </w:r>
      </w:hyperlink>
      <w:r>
        <w:rPr>
          <w:rFonts w:ascii="arial" w:eastAsia="arial" w:hAnsi="arial" w:cs="arial"/>
          <w:color w:val="000000"/>
          <w:sz w:val="20"/>
          <w:lang w:val="en-US" w:eastAsia="en-US" w:bidi="ar-SA"/>
        </w:rPr>
        <w:t xml:space="preserve"> and Stiles v. Tod Mountain Development Ltd., </w:t>
      </w:r>
      <w:hyperlink r:id="rId220" w:history="1">
        <w:r>
          <w:rPr>
            <w:rFonts w:ascii="arial" w:eastAsia="arial" w:hAnsi="arial" w:cs="arial"/>
            <w:i/>
            <w:color w:val="0077CC"/>
            <w:sz w:val="20"/>
            <w:u w:val="single"/>
            <w:shd w:val="clear" w:color="auto" w:fill="FFFFFF"/>
            <w:lang w:val="en-US" w:eastAsia="en-US" w:bidi="ar-SA"/>
          </w:rPr>
          <w:t>[1992] B.C.J. No. 440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Whether the plaintiff will be successful in what she claims her pleadings support is a matter for trial of this action. These causes of action or remedies are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summary, I allow:</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amendments sought against Lorne Mann;</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to the amended statement of claim deleting any references to R. Griffith Land Surveying Inc;</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adding of the defendants, Lawrence Colonel, Lilac Investments Ltd., and The Owners, Strata Plan NES2065;</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amendments to the statement of claim as attached to the notice of motion, save and except paragraphs 36, 37, and 38 and the words "and committed equitable fraud by cutting off the plaintiff's access to her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costs of this application shall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HYSLOP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Dragica Radic Trust (Trustee of) v. 1128 Enterprises Ltd., [2019] B.C.J. No. 132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S174995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R.P.R. (6th) 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C.P.C. (8th) 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172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Andrzej Urbanczyk, as trustee of the Dragica Radic Trust, Plaintiff, and 1128 Enterprises Ltd., Kitsilano Construction and Design Ltd., The Owners Strata Plan No. EPS4286,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5" w:name="Keywords_12"/>
      <w:bookmarkEnd w:id="85"/>
      <w:r>
        <w:rPr>
          <w:rFonts w:ascii="arial" w:eastAsia="arial" w:hAnsi="arial" w:cs="arial"/>
          <w:b/>
          <w:color w:val="000000"/>
          <w:sz w:val="20"/>
          <w:lang w:val="en-US" w:eastAsia="en-US" w:bidi="ar-SA"/>
        </w:rPr>
        <w:t>Real Property Law — Title — Boundaries — Encroachment — Remedies — Action in trespass and ejectment — Applications by defendants for summary determination of issues raised in plaintiff's action for damages for trespass and removal of encroachment allowed — Defendant 1128 purchased property adjacent to property owned by plaintiff and renovated property into duplex — Plaintiff claimed roof overhang encroached on his property and that defendant contractor trespassed on his property during construction — Roof overhang did have negative impact on either property — Appropriate remedy was to order encroachment removed — Contractor trespassed on plaintiff's property after consent was withdrawn — Plaintiff was awarded damages of $2,500 for trespass — Property Law Act, ss. 34, 36, 36(2) — Supreme Court Civil Rules, Rules 9-6, 9-7, 9-7(15)(a).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6" w:name="Case Summary_9"/>
            <w:bookmarkEnd w:id="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for summary determination of the issues raised in plaintiff's action for damages for trespass and for removal of an encroachment. The plaintiff, Andrzej Urbanczyk, was the trustee of a trust formed for the benefit of Radmilo Radic, who had severe physical and mental disabilities. Urbanczyk, as trustee, owned a property in which Radic lived. The defendant 1128 Enterprises Ltd. (1128) purchased the adjacent property for the purpose of renovating the existing structure and creating a stratified duplex. 1128 hired the defendant Kitsilano Construction and Design Ltd. (Kitsilano) to perform work on the duplex. The duplex was now owned by the defendant strata corporation. Urbanczyk alleged that, prior to the construction on the duplex, it learned that the duplex's eaves and gutters encroached onto his property (roof overhang), and that during construction, Kitsilano trespassed onto and damaged his property and made improvements that encroached on his property. Urbanczyk brought an action or damages for trespass and removal of the encroachment. The defendants admitted that the eaves and gutters encroached on Urbanczyk's property but said that had been the case for decades. They further said that the appropriate order was to grant an easement to the strata corporation as the current owner of the duplex property.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7" w:name="Holdings of Court_9"/>
            <w:bookmarkEnd w:id="87"/>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roof overhang was a lasting improvement that had been in place for a long time. During construction on both properties, the parties became aware of, but were not concerned about, the roof overhang's encroachment, as it was an integral part of the duplex and did not have a negative impact on the use or enjoyment of either property. Balancing the fact that the roof overhang was easily removable at modest expense, lack of reliable evidence to conclude Urbanczyk would suffer a loss if the roof overhang were to remain, and that the creation of an easement might require interaction between acrimonious parties, the appropriate remedy was to order the encroachment removed. The drainage installation was not an encroachment and the aggregate and plastic sheeting that Kitsilano used to fill the excavation did not amount to trespass as Urbanczyk consented to that work. However, after Urbanczyk withdrew his consent to Kitsilano's construction activity, it trespassed onto the property by walking and placing equipment on the property and damaging caution tape due to limited the space between the duplex and the property line Kitsilano was unable to work without trespassing, but its activities caused no harm to Urbanczyk or the property. Urbanczyk was awarded damages of $2,500 for trespass.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8" w:name="Legislation Cited_12"/>
      <w:bookmarkEnd w:id="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1"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Property Law Act, </w:t>
      </w:r>
      <w:hyperlink r:id="rId228" w:history="1">
        <w:r>
          <w:rPr>
            <w:rFonts w:ascii="arial" w:eastAsia="arial" w:hAnsi="arial" w:cs="arial"/>
            <w:i/>
            <w:color w:val="0077CC"/>
            <w:sz w:val="20"/>
            <w:u w:val="single"/>
            <w:shd w:val="clear" w:color="auto" w:fill="FFFFFF"/>
            <w:lang w:val="en-US" w:eastAsia="en-US" w:bidi="ar-SA"/>
          </w:rPr>
          <w:t>R.S.B.C. 1996, c. 377, s. 34</w:t>
        </w:r>
      </w:hyperlink>
      <w:r>
        <w:rPr>
          <w:rFonts w:ascii="arial" w:eastAsia="arial" w:hAnsi="arial" w:cs="arial"/>
          <w:color w:val="000000"/>
          <w:sz w:val="20"/>
          <w:lang w:val="en-US" w:eastAsia="en-US" w:bidi="ar-SA"/>
        </w:rPr>
        <w:t>, s. 36, s. 36(2)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9-6</w:t>
      </w:r>
      <w:r>
        <w:rPr>
          <w:rFonts w:ascii="arial" w:eastAsia="arial" w:hAnsi="arial" w:cs="arial"/>
          <w:color w:val="000000"/>
          <w:sz w:val="20"/>
          <w:lang w:val="en-US" w:eastAsia="en-US" w:bidi="ar-SA"/>
        </w:rPr>
        <w:t>, Rule 9-7, Rule 9-7(15)(a)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9" w:name="Counsel_12"/>
      <w:bookmarkEnd w:id="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and Defendant by Counterclaim, Urbanczyk and the Dragica Radic Trust: D.P. Davison.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1128 Enterprises Ltd. and the Owners Strata Plan No. EPS4286: M. Drouillard.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Kitsilano Construction and Design Ltd.: R. Wilson.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2"/>
      <w:bookmarkEnd w:id="90"/>
      <w:r>
        <w:pict>
          <v:line id="_x0000_s1093"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 case suitable for summary judgement?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an easement be granted for the encroachment of the Roof Overhang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 should the encroachment be removed?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Comprehension of the property lines</w:t>
      </w:r>
    </w:p>
    <w:p>
      <w:pPr>
        <w:numPr>
          <w:numId w:val="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How does the Roof Overhang affect the value and use of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properties</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 Drainage Installation an encroachment for which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be compensated? Is the aggregate used to backfill the drainage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excavation a trespass?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Kitsilano's employees trespass on the plaintiff's property after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November 13,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damages should be awarded for the trespasses?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 Strata Corporation or 1128 responsible for the trespasses?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G.B. BUTLER J."/>
            <w:bookmarkEnd w:id="91"/>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Andrzej Urbanczyk, as Trustee of the Dragica Radic Trust (the "plaintiff"), is the owner of property at 3311 West 7th Avenue in Vancouver (the "3311 Property"). The Trust was created for the benefit of Radmilo Radic who has severe physical and mental disabilities and lives in the house on the 3311 Property along with Mr. Urbanczyk and his partner. The plaintiff brings this action against three defendants. The defendant 1128 Enterprises Ltd. ("1128") purchased the property adjacent to the 3311 Property for the purpose of renovating the existing structure and creating a stratified duplex (the "Duplex"). 1128 entered into a contract with the defendant Kitsilano Construction and Design Ltd. ("Kitsilano") to perform work on the Duplex. The defendant, The Owners Strata Plan No. EPS4286 (the "Strata Corporation") is the current owner of the Duplex property. Collectively I will refer to 1128 and the Strata Corporation as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claims advanced by the plaintiff arise from a dispute over construction carried out by Kitsilano on the Duplex property. Prior to or during the construction, the plaintiff learned that the eaves and gutters on the western side of the Duplex encroached onto the plaintiff's property (the "Roof Overhang"). The plaintiff also says that Kitsilano's workers trespassed onto and damaged the 3311 Property during construction and made improvements that encroached on the 3311 Property. The plaintiff commenced this action advancing claims in trespass, nuisance, and unjust enrichment. It also seeks an order for removal of the encroachments.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admit that the eaves and gutters encroach on the plaintiff property but say that has been the case for decades. They say the appropriate order in the circumstances of this case is to grant an easement to the Strata Corporation as the current owner of the Duplex property. The defendants contest the other claims asserted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brought applications pursuant to Rules 9-6 and 9-7 for determination of the issues raised in the action. By way of a Notice of Application dated May 31, 2018, the Owners ask that the Strata Corporation be granted an easement to permit the continued encroachment of the Roof Overhang onto the 3311 Property. Kitsilano's Notice of Application filed on June 14, 2018, asks that the plaintiff's claims against it be dismissed. The plaintiff's Amended Notice of Civil Claim seeks an order for removal of the Roof Overhang and other encroachments and for damages for nuisance, trespass and unjust enrichment. The plaintiff's Responses to the Notices of Application ask for the same relief. At the hearing of the application, the parties agreed that the matter was suitable for determination by summary trial. The plaintiff's agreement to having the issues determined by summary trial is contingent on the court dealing with all issues raised in the action including its claims for damages for trespass and for the encroachments onto the 3311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set out below, I agree that this case is suitable for summary trial in spite of the need for the court to make findings of fact on matters that are disputed and critical to resolution of the issues. Where the evidence of the parties differs, I have made findings of fact and explained my rationale for preferring the evidence of one of the witnesses. For the most part, I have accepted the evidence of Mr. Boisvert in preference to that of Mr. Urbanczyk.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acquired the 3311 Property in 2015 and subsequently spent approximately $700,000 in renovations. The 3311 Property, like the Duplex property, had an older home on it that was built as a duplex. The city records indicate that it was constructed in 1912. The renovations were carried out on the 3311 Property between May 2015 and spring 2017. The renovations were carried out by Quality Home Improvements Inc., a general contracting construction company. Mr. Urbanczyk is the sole director of the company. While the 3311 Property is used to house the beneficiary of the trust, it is also used by the plaintiff to generate revenue for the trust. The 3311 Property has four units that are rented out through Airbnb.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Duplex property was purchased by 1128 in 2015 for the purpose of renovating the existing home and converting it to a stratified residential duplex. 1128 retained Kitsilano to prepare the design and perform the renovations. The work was started early in 2016 and was completed in May 2017. Kitsilano prepared a detailed set of design drawings and obtained a building permit for the renovations. Prior to commencing the work on the Duplex property, Kitsilano prepared a Letter of Support for Renovation dated January 14, 2016 in order to indicate to the municipality that it had support for the work from neighbours. The plaintiff signed the Letter of Support on January 15, 2016. The letter notes that the major changes to the exterior of the property include a deck on the back of the home, a new entry on 7th Avenue, new cladding and the relocation of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existing house on the Duplex property was also constructed in 1912. It was built very close to the western boundary of the lot. A survey prepared for the litigation by McElhanney Associates Land Surveying Ltd. shows that the exterior cladding on the Duplex after the renovation is slightly more than one foot from the boundary. The same survey indicates the Roof Overhang along the western boundary crosses the property line and encroaches onto the 3311 Property by approximately five inches at the northwest corner of the house and by 11 inches at the south west corner of the house. The renovation work on the Duplex did not include any changes to the roof line or gutters along the western boundary. The renovation did not alter the foundation or footprint of the existing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Simon Boisvert, the CEO of Kitsilano, met with Mr. Urbanczyk on January 15, 2016 to discuss the proposed work on the Duplex property. Mr. Boisvert says he showed Mr. Urbanczyk a copy of the design drawings during the meeting and that he reviewed the drawings. After the meeting, Mr. Urbanczyk signed the Letter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existing building had a cement stairwell and wooden stairs that encroached onto the 3311 Property. Mr. Boisvert says he told the plaintiff that those encroachments would be removed during construction and would not be replaced. Mr. Urbanczyk was pleased that those encroachments would be removed and agreed to allow work to be done on the 3311 Property. The design drawings have a notation for the west side of the Duplex stating, "Original Soffit to Remain". In other words, the design did not call for any change to the roof and gutters. Mr. Boisvert says there was no discussion about the roof and gutters and that Mr. Urbanczyk did not raise any issue about the Roof Overhang or suggest that it should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Urbanczyk disagrees with Mr. Boisvert's evidence about the January 15th meeting in two respects. He says that he was not shown the design drawings and that he understood from their discussions that Kitsilano was going to remove all of the encroachments including the Roof Overhang. I will explain why I do not accept Mr. Urbanczyk's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Urbanczyk says that he did not see Kitsilano's design drawings at the meeting in January and asserts that he did not see them until the litigation started. I find it is much more probable that he was shown the Kitsilano drawings in January 2016. It is very likely that he insisted on seeing the drawings before agreeing to sign the Letter of Support. It is evident from all of the evidence that Mr. Urbanczyk has been very concerned about the nature of the work being performed on the Duplex. Further, Quality Home Improvements Inc., the company he directs, actually carried out extensive renovations on the 3311 Property at the same time. Mr. Urbanczyk understands construction and is familiar with design drawings. He gave a copy of the design drawings prepared for the renovation work on the 3311 Property to Mr. Boisvert. I conclude that it is very likely he wanted to see the extent of the renovations Kitsilano was going to perform on the Duplex and that he saw Kitsilano's drawings on January 15, 2016 before signing the Letter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clear from the evidence of Mr. Boisvert and Mr. Urbanczyk that they did not discuss the Roof Overhang at the January 15 meeting. Neither suggests they had a discussion about that topic. I accept Mr. Boisvert's evidence that he indicated Kitsilano would remove the wooden staircase and concrete stairs, both of which encroached about one meter onto the 3311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Urbanczyk's suggestion that Mr. Boisvert said he would remove "all existing encroachments" and that he understood this to include the Roof Overhang is not credible in light of the ensuing circumstances. As discussed further below, the parties worked amicably on their side by side renovations until late in 2016. In early November 2016, they had a dispute about a protected tree that was cut by the plaintiff to facilitate the installation of a temporary hydro pole (the "Hydro Pole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Following the Hydro Pole Incident, the relationship was extremely acrimonious. Mr. Urbanczyk advised Kitsilano that its workers would be trespassing if they crossed the property line and went on the 3311 Property. He insisted that Kitsilano remove a Pump Jack scaffolding system that Kitsilano was using to work on the side of the Duplex because the footing was on the 3311 Property. Mr. Urbanczyk frequently complained to Kitsilano about alleged trespasses after the Hydro Pole Incident. He reported alleged trespasses and damage arising therefrom to the Vancouver Police. He also complained to WorkSafe BC about Kitsilano's scaffolding. WorkSafe BC attended at the site to inspect the Pump Jack scaffolding and apparently found it to be in compliance with regulations as no order was made. However, WorkSafe BC inspected a scaffolding structure the plaintiff had in place between the two homes and issued a Stop Work Order to the plaintiff because its scaffolding was unsafe. On November 24, 2016, Mr. Urbanczyk told Mr. Boisvert that he believed Kitsilano had installed drain tile that encroached onto the 3311 Property and that the plaintiff would claim $200,000 from Kitsilano for that encroachment. The plaintiff made additional complaints to Kitsilano about trespasses in the ensuing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Before the Hydro Pole Incident, the two encroachments discussed at the January meeting had been removed. At no time during the dispute or in the final six months of Kitsilano's renovations did the plaintiff say anything about the Roof Overhang. At no time did Mr. Urbanczyk assert to Kitsilano or any of the defendants that the Roof Overhang should be removed or that they had previously agreed to do so. Given the level of acrimony and the nature of the dispute that took place in late 2016 and early 2017, I cannot accept Mr. Urbanczyk's evidence about the January 2016 meeting or his alleged understanding that Kitsilano agreed to remove the Roof Overhang. If Mr. Boisvert had indicated, as alleged, that existing encroachments including the Roof Overhang were going to be removed during construction, Mr. Urbanczyk would have raised that with the defendants after the Hydro Pole Incident. He did not do so until the work on the Duplex was completed and this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From the commencement of Kitsilano's renovation work until the Hydro Pole Incident, the parties had a good working relationship. Both homes were being extensively renovated at the same time. The side yard between the two homes was used by workers employed by both parties to access the outside areas of the respective homes. As indicated by Alfred Biesok, the plaintiff's foreman, "... the relationship between Mr. Urbanczyk's contractors, including Quality Homes, and Kitsilano was normal - all of the workers and subcontractors were friendly with each other and carried on their work between the properties as needed. Any issues that came up between the workers were solved without issue. The workers on the two properties even shared a portable washroom set up on the street in front of the Duplex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Given the close proximity of the homes, there is no doubt that Kitsilano's workers would have frequently walked on both properties. The workers employed by the plaintiff would likely have walked on the Duplex property to access the portable washroom. In addition, in April 2016 the plaintiff hired Kitsilano as a sub-contractor to do some of the renovation work on the 3311 Property. The work was performed between May and August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summary, prior to the Hydro Pole Incident, the plaintiff permitted Kitsilano's workers to perform their work using the 3311 Property to access the Duplex. The plaintiff never suggested that Kitsilano's workers were trespassing onto the 3311 Property. Kitsilano's workers were able to work without any restrictions being imposed on them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October 2016, Kitsilano excavated along the west side of the Duplex in order to install PVC drain pipe. The pipe was installed and the excavation was refilled with aggregate by the end of October 2016. The plaintiff alleges that the piping encroaches on the 3311 Property, however, there is no evidence to support that assertion. Mr. Boisvert and Landon Martin, Kitsilano's project manager, say the pipe was installed entirely on the Duplex property. This was confirmed by the McElhanney survey. The plaintiff did not object to the excavation and installation of drainage pipe until after the Hydro Pole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early November the plaintiff took preliminary steps to install a temporary hydro pole under the canopy of a tree that Kitsilano was protecting during construction in accordance with City of Vancouver bylaws. In order to facilitate the hydro connection to the temporary pole, the plaintiff arranged for an arborist to cut some branches on the tree. This took place on or about November 9, 2016. Four affidavits provide some evidence about the dispute and what transpired. Mr. Urbanczyk and Mr. Biesok say that Mr. Boisvert became very angry and acted in a frightening and irrational manner in response to the cutting of the tree. They say that Mr. Boisvert threatened a $10,000 fine if the tree was further damaged. Mr. Boisvert agrees that he was upset that the plaintiff subcontractors were cutting the protected tree. However, he and Mr. Martin say they simply informed the plaintiff and its crews that they were not permitted to further cut or damage the tree as Kitsilano was required to protect it under City of Vancouver, By-law No. 9958, </w:t>
      </w:r>
      <w:r>
        <w:rPr>
          <w:rFonts w:ascii="arial" w:eastAsia="arial" w:hAnsi="arial" w:cs="arial"/>
          <w:i/>
          <w:color w:val="000000"/>
          <w:sz w:val="20"/>
          <w:lang w:val="en-US" w:eastAsia="en-US" w:bidi="ar-SA"/>
        </w:rPr>
        <w:t>Protection of Trees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I prefer the evidence of Kitsilano about the circumstances of the dispute, I need not resolve the difference in the parties' evidence about their actions during the Hydro Pole Incident because nothing turns on the different versions of the dispute. However, I note that Mr. Urbanczyk's first affidavit about the incident is clearly incorrect in one important respect. He says that Mr. Boisvert prevented the arborist from cutting the tree and yelled at the plaintiff. In doing so Mr. Urbanczyk says that Mr. Boisvert said, "I was not allowed to touch the tree or it would be a $10,000 fine even though the tree belonged to Tamara (Mr. Urbanczyk's partner) and I (sic)." It is evident from the photographs and the other affidavits that the tree is situated on the Duplex Property. Mr. Urbanczyk's statement about ownership of the tree is not correct. The tree did not belong to the plaintiff. It is clearly on the Duplex property and that the canopy of the tree overhangs the 3311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the email sent by Mr. Martin to Mr. Urbanczyk on November 10, 2016 supports Kitsilano's version of events. The email is polite and clear. He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just want to point out that this is a protected tree. We have had our tree protection up since the very start of the project, and long before the electrical pole on your side of the property was put in. When the electrical pole went in, a 4 inch branch was cut off of our tree (on our side of the property line) without ... consultation and was not authorized by the arborist.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understanding, however, that only a couple of small branches were cut today and that it was done by the arborist (Monkey Tree Services). This is appreciated. Hopefully no more branches need to be cut. We kindly ask that if, for any reason, any more work needs to be done on this tree, that we be consulted with first.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put a significant amount of time and effort in to protecting this tree and modifying our typical construction processes in order to protect it - hopefully you can understand our concern with protecting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parties made no submissions on By-law No. 9958. However, Kitsilano's communications to the plaintiff after the Hydro Pole Incident suggest that a substantial fine could be imposed for breach of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relevance of the Hydro Pole Incident is that immediately after the dispute, the plaintiff changed its position about Kitsilano's use of the 3311 Property to access the western side of the Duplex. I conclude the plaintiff's refusal to permit access to its property after the Hydro Pole Incident was motivated by Mr. Urbanczyk's anger at Kitsilano for the position it took on the protected tree. On November 10, 2016, Mr. Urbanczyk asked Kitsilano to remove the Pump Jack scaffold system. On November 12, 2016 he emailed Mr. Boisvert and reiterated his demand for removal of the scaffold. Mr. Urbanczyk also informed Kitsilano of the terms it would have to meet before the plaintiff would permit continued trespasses onto the 3311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Please refrain from trespassing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on the property 3311 West 7th. Ave,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you agree on the following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Fees for the use of 4 ft. along the east side of the property line of 3311 West 7th.Ave. is $2,000 per day. Damage deposit in the amount of $20,000 is required. ... [emphasis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Kitsilano did not agree to pay for the right to use the 3311 Property. Instead, Mr. Boisvert held a "tool box meeting" on November 13, 2016 with his eight employees and three subcontractors working on the Duplex. He told them not to enter the 3311 Property at any time. He says they followed his instructions and that he never saw one of his employees or subcontractors trespassing after that time. Mr. Martin also swears that he did not enter onto the 3311 Property after that meeting and that he did not see any Kitsilano employees or subcontractors trespassing.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says the Kitsilano workers repeatedly trespassed onto the 3311 Property after the Hydro Pole Incident. Mr. Urbanczyk says the Kitsilano workers frequently entered and left equipment on the 3311 Property in the days after November 13. He put up caution tape along the boundary in order to clearly delineate the property line. He says this was damaged. Accordingly, he put up a temporary fence which he says was also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December 8, 2016, the plaintiff also installed scaffolding down the side of the home on the 3311 Property. The side of the scaffolding furthest away from the 3311 building was placed very close to the property line. This was the scaffolding that WorkSafe BC found to be unsafe. I accept Mr. Boisvert's description of the scaffolding as it is consistent with the photographs: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erected two metal scaffolding towers directly on the Property Line and hung a tarp between the two scaffolds so that it hung down along the Property Line. The scaffolds were located too far from the Plaintiff Structure for the Plaintiff or the Labourers to perform any work on the Plaintiff Structure. Further, contrary to the Plaintiff's earlier claims that he was attempting to build a fence and perform landscaping work... the scaffolds were installed in a location that impeded the Plaintiff's own ability to perform landscaping work or the building of a fence in the area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large plastic tarp installed by the plaintiff was on the outside of its scaffolding. Given the proximity of the scaffolding to the property line and the presence of the temporary fence along the property line, there was very limited space on the western side of the Duplex for the Kitsilano workers to carry out any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Urbanczyk and Mr. Biesok also say they believe the Kitsilano workers performed work on the Duplex at night using the plaintiff's scaffolding to do the work. They say they noticed damage to the tarp and believe it coincided with work being done on the Duplex. Mr. Biesok says that on December 13, 2016, he noticed new siding installed on the Duplex that had not been there the day before. He says the tarp on the plaintiff's scaffolding had been cut that night. Mr. Biesok replaced the tarp. He also had to repair the temporary fence that the plaintiff installed on the property line as it was damaged by Kitsilano's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I will set out in more detail below, I conclude that the workers for Kitsilano trespassed on the 3311 Property after November 13, 2016 contrary to Mr. Boisvert's instructions. The limited space on the western side of the Duplex between the house and the property line made that inevitable. It is evident from the photographs that the work on the outside of the Duplex was not completed by mid November. Siding had not been installed and other work remained. After Mr. Urbanczyk put up the caution tape, it is very likely that the Kitsilano workers stepped beyond the property line and damaged the tape. They likely placed tools and equipment on the 3311 Property as the property line is only one foot away from the Duplex. When Mr. Urbanczyk installed the temporary fencing and tarp to create a barrier along the property line, it is also probable that the Kitsilano workers trespassed into the airspace above the 3311 Property, and perhaps onto the property itself in order to accomplish tasks on the west side of the Duplex. I also conclude that it is likely the Kitsilano workers damaged the temporary fence and the tarp while trying to carry out work on the Duplex. This was not done surreptitiously at night as suggested by the plaintiff. Rather, the damage was done because the temporary fence and tarp along the property line did not allow the Kitsilano workers enough room to perform their construction tasks. They persisted with their work and this caused damage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Finally, I conclude that Mr. Urbanczyk installed the temporary fence and the scaffolding and tarp in order to hamper Kitsilano's ability to perform the renovations on the Duplex. There was no other reason for the installation of the fence, the building of the scaffold so close to the property line or the installation of the tarp. The renovation work carried on by Kitsilano's crews did not pose any risk of harm or injury to the workers employed by Mr. Urbanczyk's company, nor did it pose any risk of damage to the 3311 Property, given its condition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final incident giving rise to a claim of trespass by the plaintiff is the alleged wrongful removal by Kitsilano of a fence that was in the front yard between the two properties. From the photographs, the fence appears to be an old fence consisting of a single panel of cedar boards about five or six feet in height. The old fence was removed on May 1, 2017. On April 20, 2017 Mr. Boisvert emailed Mr. Urbanczyk indicating his intention to remove the old fence in part because it did not conform to Vancouver city bylaws which limit the height of a fence in a front yard to four feet. Mr. Urbanczyk objected to the removal stating, "[e]xisting fence is build (sic) on my property and will not be removed." Mr. Boisvert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Could we meet on site tomorrow? The existing fence is definitely not on your property and we can pull a string line to show you. Your landscaper pulled the marker pin that marked the property line but we can figure it out with the survey we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Urbanczyk responded the next day saying he was unable to meet Mr. Boisvert but would let him know when he would be available. There was no evidence to suggest that he proposed an alternate time to meet. Ten days later, Kitsilano removed the old fence panel. Mr. Urbanczyk accused Kitsilano of stealing the fence. He demanded that it be returned. Kitsilano complied with that request; Mr. Martin, with the help of another worker, placed the fence panel on the 3311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the plaintiff has failed to prove the old fence in question was situated on the 3311 Property prior to removal. Both parties assert the fence was on their property. I cannot accept the plaintiff's version. There is no independent evidence to confirm Mr. Urbanczyk's statement. While the same is true of Mr. Boisvert's assertion, he told Mr. Urbanczyk that he could establish the fence was on the Duplex property and explained how he would do that. Mr. Urbanczyk failed to take advantage of the opportunity to see which property the old fence was situated on by reference to the survey information. In any event, the photographs also indicate that Kitsilano constructed a new fence on the Duplex Property that is a significant improvement over the old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Owners' application seeks a resolution of the Roof Overhang encroachment issue; either by way of the grant of an easement or an order for removal of the encroachment. Kitsilano's application and the plaintiff's response requires consideration as to the extent of the trespasses committed by Kitsilano and the quantum of damages to be awarded for those trespasses. Those trespasses include the use of the 3311 Property by Kitsilano, and the damage to the temporary fence and tarp. The plaintiff's position on Kitsilano's installation of drainage pipe (the "Drainage Installation") also requires consideration of whether the pipe and aggregate used to refill the excavation amount to an encroachment, a nuisance or a trespass on the 3311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case suitable for summary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While the Owners brought their application pursuant to Rule 9-6 and ss. 34 and 36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both applications proceeded as summary trial applications. This is because of the necessity for the court to make findings regarding the disputed allegations of fact for the Owners' application, Kitsilano's application and the plaintiff's responses to those applications. As I have indicated, all parties agree the claims are suitable for adjudication by way of summary trial. They also agree the court should determine all of the matters in issue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the agreement of the parties is an important factor when determining suitability for a summary trial, the court must still determine whether it is able to find the facts necessary to decide the issues and whether it would be unjust to do so. Rule 9-7(15)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at paras. 30-31, Tysoe J.A. summarized the proper approach to determining suitability: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 court confirmed that the court under this rule "tries the issues raised by the pleadings on affidavits", that "a triable issue or arguable defence will not always defeat a summary trial application", and that "cases will be decided summarily if the court is able to find the facts necessary for that purpose, even though there may be disputed issues of fact and law" provided that the judge does not find "it is unjust to do so" (p. 211). In determining the latter issue (whether it would be unjust to proceed summarily), the Chief Justice identified a number of relevant factors to consider (at p. 215):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To this list has been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231"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Applying the relevant factors to these applications, I have no hesitation concluding both that it is possible to find the facts necessary to determine the issues and that it would not be unjust to do so. While there are a considerable number of disputed facts, the parties presented detailed affidavit evidence supported by photographs, relevant documents, surveys and an expert report. The submissions of counsel took two full days of court time. As a result, I am able to evaluate the detailed evidence and resolve disputed factual issues with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addition, the matters in dispute are not complex and the amounts involved are modest. Given the time and effort the parties expended to present the case by way of affidavit evidence, and the cost they would incur if this had to proceed to a full trial, it would be unjust not to resolve the issues on these applications.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an easement be granted for the encroachment of the Roof Overhang or should the encroachment be removed?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Owners acknowledge the encroachment of the Roof Overhang but say the court should exercise its discretion under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to permit the encroachment to remain. Section 36 provides an equitable basis for resolving property disputes over encroachments by assessing the balance of convenience. The Owners say the circumstances of this case are such that it would be equitable to resolve the dispute by granting an easement. The encroachment does not impair the use of the 3311 Property in any way. The defendants did not create the Roof Overhang or alter it. The encroachment was built by a previous owner of the Duplex and had been in existence for many years. Further, they argue that if the easement is granted, the compensation to be awarded to the plaintiff need not be based on expropriation valuation principles. Rather, the court has a discretion to award an amount, even a nominal sum, taking into account all of the circumstances and the nature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Owners say the expert opinion of Larry Dybvig as to the value of the proposed easement (and loss in value of the 3311 Property to the plaintiff) should be disregarded. It is based on assumptions that are inaccurate and not established by the evidence. Further, the highest and best use of the 3311 Property is as improved. This is because the newly renovated house on the 3311 Property is overbuilt; it currently exceeds maximum density and minimum setback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Owners say the amount of compensation ordered should be $10,000 or less. In the alternative, the Owners say that, if the compensation ordered to the plaintiff for the grant of the easement is greater than $10,000, the appropriate order to make is that the encroachment be removed. The Owners note they have been willing and able to resolve the dispute by either of these orders for some time. They brought a previous application to do so but the plaintiff opposed it for technical reasons. In any event, they say they are not prepared to pay an amount greater than $10,000 as that is the approximate cost of removal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says the court should order removal of the Roof Overhang. He says that 1128 renovated the Duplex to its advantage and in doing so failed to remove the Roof Overhang. Further, he argues that the existence of the Roof Overhang has caused the plaintiff to lose some of the Trust's right to use the 3311 Property. He says the right to fully utilize property is fundamental to ownership and the easement would significantly impair that right. When considering the balance of convenience, the plaintiff notes that it is easy to remove the Roof Overhang and says that 1128 should have done so when it started the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If the court orders the encroachment to be removed, the plaintiff says it should be compensated in damages for the existence of the encroachment during the construction period (from July 2016 to May 2017) in the amount of $50,700. In addition, the Owners should pay damages for the existence of the encroachment from May 2017 (approximate completion of the Duplex construction) until the Roof Overhang is removed at the rate of $3,900 per month. The plaintiff should also be awarded $42.46/day to compensate the Trust for the construction easement during the removal of the Roof Overhang. Further, given the proximity of the Duplex to the property line, the Owners should be required to pay $76,752 for a maintenance easement to allow them to maintain the Duplex until the Roof Overhang is removed. The plaintiff relies on Mr. Dybvig's report to establish these damage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If an easement is granted, the plaintiff argues that the Trust should receive compensation based on unjust enrichment principles. This is because the Owners have been advantaged by the renovation of the Duplex, and the plaintiff has suffered a corresponding deprivation. Further, there is no juristic reason for the enrichment. The plaintiff relies on Mr. Dybvig's report to value the loss to the plaintiff if the easement is granted. Mr. Dybvig opines that the value of the loss to the 3311 Property if the easement is granted is $139,375. That amount should be awarded in addition to the amounts noted above (except for the daily construction easement amount for removal of the Roof Overhang).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Section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the basis for the plaintiff's claim seeking removal of the Roof Overhang and of the Owners' claim for the grant of an easement. Section 36 provides: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 "owner" includes a person with an interest in, or right to possession of land.</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on the survey of land, it is found that a building on it encroaches on adjoining land, or a fence has been improperly located so as to enclose adjoining land, the Supreme Court may on application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that the owner of the land has for the period the court determines and on making the compensation to the owner of the adjoining land that the court determines, an easement on the land encroached on or enclosed,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vest title to the land encroached on or enclosed in the owner of the land encroaching or enclosing, on making the compensation that the court determines, or</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owner to remove the encroachment or the fence so that it no longer encroaches on or encloses any part of the adjoining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 number of decisions in this province have considered these provisions. In </w:t>
      </w:r>
      <w:r>
        <w:rPr>
          <w:rFonts w:ascii="arial" w:eastAsia="arial" w:hAnsi="arial" w:cs="arial"/>
          <w:i/>
          <w:color w:val="000000"/>
          <w:sz w:val="20"/>
          <w:lang w:val="en-US" w:eastAsia="en-US" w:bidi="ar-SA"/>
        </w:rPr>
        <w:t>Gainer v. Widsten</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2006 BCCA 580</w:t>
        </w:r>
      </w:hyperlink>
      <w:r>
        <w:rPr>
          <w:rFonts w:ascii="arial" w:eastAsia="arial" w:hAnsi="arial" w:cs="arial"/>
          <w:color w:val="000000"/>
          <w:sz w:val="20"/>
          <w:lang w:val="en-US" w:eastAsia="en-US" w:bidi="ar-SA"/>
        </w:rPr>
        <w:t>, at para. 8, Lowry J.A., writing for the court, set out the general approach on applications for relief under s. 36(2):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Hawkes Estate v. Silver Campsites Ltd</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(1994), 91 B.C.L.R. (2d) 126</w:t>
        </w:r>
      </w:hyperlink>
      <w:r>
        <w:rPr>
          <w:rFonts w:ascii="arial" w:eastAsia="arial" w:hAnsi="arial" w:cs="arial"/>
          <w:color w:val="000000"/>
          <w:sz w:val="20"/>
          <w:lang w:val="en-US" w:eastAsia="en-US" w:bidi="ar-SA"/>
        </w:rPr>
        <w:t xml:space="preserve"> para. 22, this Court stated the first condition for granting relief under the [Property Law] Act in favour of one who encroaches on the property of another is that it be equitable and in accordance with the balance of convenience to do so. Most recently, in </w:t>
      </w:r>
      <w:r>
        <w:rPr>
          <w:rFonts w:ascii="arial" w:eastAsia="arial" w:hAnsi="arial" w:cs="arial"/>
          <w:i/>
          <w:color w:val="000000"/>
          <w:sz w:val="20"/>
          <w:lang w:val="en-US" w:eastAsia="en-US" w:bidi="ar-SA"/>
        </w:rPr>
        <w:t>Taylor v. Hoskin</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265 D.L.R. (4th) 132</w:t>
        </w:r>
      </w:hyperlink>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2006 BCCA 39</w:t>
        </w:r>
      </w:hyperlink>
      <w:r>
        <w:rPr>
          <w:rFonts w:ascii="arial" w:eastAsia="arial" w:hAnsi="arial" w:cs="arial"/>
          <w:color w:val="000000"/>
          <w:sz w:val="20"/>
          <w:lang w:val="en-US" w:eastAsia="en-US" w:bidi="ar-SA"/>
        </w:rPr>
        <w:t xml:space="preserve"> para. 51, this Court made it clear that it is the facts and the equities of each individual case that are important to determining how the court is to exercise its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Justice Lowry went on to indicate that an erroneous and negligent assumption about the position of a lot line is not, by itself, a reason to deny relief. Rather, it is one circumstance to consider in assessing the equities.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Vanziffle v. Coulter</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2003 BCCA 350</w:t>
        </w:r>
      </w:hyperlink>
      <w:r>
        <w:rPr>
          <w:rFonts w:ascii="arial" w:eastAsia="arial" w:hAnsi="arial" w:cs="arial"/>
          <w:color w:val="000000"/>
          <w:sz w:val="20"/>
          <w:lang w:val="en-US" w:eastAsia="en-US" w:bidi="ar-SA"/>
        </w:rPr>
        <w:t>, at para. 3, Newbury J.A. summarized the usual considerations for assessing the equities and balance of convenience:</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summary trial judge observed, the law governing applications under s. 36 is reasonably clear and well set out in the authorities, including </w:t>
      </w:r>
      <w:r>
        <w:rPr>
          <w:rFonts w:ascii="arial" w:eastAsia="arial" w:hAnsi="arial" w:cs="arial"/>
          <w:i/>
          <w:color w:val="000000"/>
          <w:sz w:val="20"/>
          <w:lang w:val="en-US" w:eastAsia="en-US" w:bidi="ar-SA"/>
        </w:rPr>
        <w:t>Gay v. Wierzbicki</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[1967] 2 O.R. 211</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Barrow v. Landry</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[1998] B.C.J. No. 1601</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Vineberg v. Rerick</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[1995] B.C.J. No. 2506</w:t>
        </w:r>
      </w:hyperlink>
      <w:r>
        <w:rPr>
          <w:rFonts w:ascii="arial" w:eastAsia="arial" w:hAnsi="arial" w:cs="arial"/>
          <w:color w:val="000000"/>
          <w:sz w:val="20"/>
          <w:lang w:val="en-US" w:eastAsia="en-US" w:bidi="ar-SA"/>
        </w:rPr>
        <w:t xml:space="preserve"> (B.C.S.C.). In the latter case, Leggatt J. noted three "predominant considerations" used by courts in assessing the "balance of convenience" analysis mandated by s. 36, namely: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comprehension of the property lines. Were the parties cognizant of the correct boundary line before the encroachment became an issue? There are three degrees of knowledge: honest belief,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The party seeking the easement should have an honest belief to be awarded this remedy.</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encroachment: Was the encroachment a lasting improvement? What is the effort and cost involved in moving the improvement? Was [sic] is its effect on the properties in question? The more fixed the improvement, and the more costly and cumbersome it would be to move it, the more these considerations will be weighed in favour of the petitioner.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size of the encroachment: How does the encroachment effect the properties, in terms of both their present and future value and use? These questions serve to balance the potential losses and gains of the creation of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Application of these predominant considerations to the circumstances of this case is difficult, as the balance of convenience is near the mid-point. In other words, there are good reasons to order the Roof Overhang removed and good reasons to grant an easement in favour of the Owners. I will set out my assessment of the considerations and explain why I have determined to order removal of the Roof Overhang.</w:t>
      </w:r>
      <w:r>
        <w:rPr>
          <w:rFonts w:ascii="arial" w:eastAsia="arial" w:hAnsi="arial" w:cs="arial"/>
          <w:sz w:val="20"/>
          <w:lang w:val="en-US" w:eastAsia="en-US" w:bidi="ar-SA"/>
        </w:rPr>
        <w:cr/>
      </w:r>
    </w:p>
    <w:p>
      <w:pPr>
        <w:numPr>
          <w:numId w:val="1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Comprehension of the property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and 1128 each purchased their properties in 2015 with a view to renovating existing homes. The structures were very old by Vancouver standards. Mr. Colin Yu, director and representative of 1128, was unaware of the encroachment of the Roof Overhang until the Notice of Civil Claim was served on 1128. While I accept that he did not know of the encroachment, it is likely that Kitsilano became aware of the Roof Overhang early in the construction process. A survey was ordered before the work began and a comparison between the proximity of the Duplex to the property line would have indicated to Kitsilano and the Owners that the Roof Overhang along the western boundary of the Duplex Property likely encroached onto the 3311 Property. Similarly, it is likely that Mr. Urbanczyk in his role as Trustee and in his construction role with Quality Home Improvements Inc. would have been aware of the proximity of both homes to the property line. He likely became aware of the Roof Overhang's encroachment onto the 3311 Property as he was planning the renovations for that property. I also conclude the parties were not concerned about the location of the Roof Overhang as it was an integral part of the Duplex and did not have a negative impact on the use or enjoyment of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argues that the Roof Overhang was put in place by Kitsilano and the Owners. It was not. The fact that they adopted and used the existing roof line is very different from a situation where a party, such as the homeowner in </w:t>
      </w:r>
      <w:r>
        <w:rPr>
          <w:rFonts w:ascii="arial" w:eastAsia="arial" w:hAnsi="arial" w:cs="arial"/>
          <w:i/>
          <w:color w:val="000000"/>
          <w:sz w:val="20"/>
          <w:lang w:val="en-US" w:eastAsia="en-US" w:bidi="ar-SA"/>
        </w:rPr>
        <w:t>Gainer</w:t>
      </w:r>
      <w:r>
        <w:rPr>
          <w:rFonts w:ascii="arial" w:eastAsia="arial" w:hAnsi="arial" w:cs="arial"/>
          <w:color w:val="000000"/>
          <w:sz w:val="20"/>
          <w:lang w:val="en-US" w:eastAsia="en-US" w:bidi="ar-SA"/>
        </w:rPr>
        <w:t xml:space="preserve">, builds a structure on a neighbouring property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about the location of the property line. Here, the encroachment had been in place for a very long time, perhaps 100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1128 acquired the Duplex Property with the intent to renovate it and create strata units, it did so with a reasonable belief that it could use the existing roof line. Indeed, after the purchase, Mr. Urbanczyk signed the Letter of Support when he had sufficient information to allow him to raise an issue about the Roof Overhang should he have wanted to do so. At the time, the plaintiff was not concerned about potential trespasses during construction or encroachments, other than the stairs and stairwell, which Mr. Urbanczyk knew would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these circumstances, this consideration is neutral. The fact that Kitsilano learned about the Roof Overhang early in the renovation process did not obligate it or the Owners to remove it. Further, that does not prevent the Owners from seeking an easement under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Rather, it is part of the circumstances to be considered when exercising the discretion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Nature of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This consideration looks at the function of the encroachment as well as its impact on the properties. The Roof Overhang is a lasting improvement that has been in place for a long time. Roof tiles, soffits and eaves are commonly found on roofing. There is no doubt that the Roof Overhang performs an important function for the Duplex Property. By contrast, and contrary to the plaintiff's arguments, I find that the Roof Overhang had no impact on the plaintiff's use or enjoyment of the 3311 Property. If the function of the structure and its impact on the properties was the only consideration, this would favour the grant of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a very important consideration is whether it is possible to remove an encroachment and, if so, at what cost. Here, the defendants' evidence establishes that the Roof Overhang could be removed relatively easily and at modest expense in a way that would allow the roof tiles, eaves and soffits to carry out their necessary functions. Accordingly, these factors weigh in favour of ordering the removal of the encroachment.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How does the Roof Overhang affect the value and use of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Vineberg</w:t>
      </w:r>
      <w:r>
        <w:rPr>
          <w:rFonts w:ascii="arial" w:eastAsia="arial" w:hAnsi="arial" w:cs="arial"/>
          <w:color w:val="000000"/>
          <w:sz w:val="20"/>
          <w:lang w:val="en-US" w:eastAsia="en-US" w:bidi="ar-SA"/>
        </w:rPr>
        <w:t>, these questions serve to balance the potential losses and gains resulting from the creation of an easement. From the Owners' perspective, the creation of the easement would preserve the existing roof line while its removal would give the roof tile, eaves and soffit an unusual appearance at the edge of the roof. However, there would be no other impact to the value or use of the Duplex by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Similarly, there would be no loss to the plaintiff if a time limited easement (as sought by the Owners) is granted. Contrary to the plaintiff's submissions, I conclude the grant of an easement would not result in a loss of use of the 3311 Property or any loss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submissions on the value of an easement were based in large part on Mr. Dybvig's expert opinion. Mr. Dybvig's opinion is based on assumptions he made about the easement that would be required as described at page 10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would be the value of an easement over [the 3311 Property] that would make the encroachment legal? I have not been provided measurements for this easement, nor of the terms and conditions of the easement. My opinion assumes the easement provides for maintenance and encroachment on typical terms, and that it is 1.5 meters (about five feet) wide (typical of the maintenance and encroachment easements of this nature that I have seen) and extends from West 7th Avenue to 1.5 meters past the building line of the improvements... I calculate the area of land involved as 22.875 square meters, more or less, about 245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reject Mr. Dybvig's opinion generally for the reasons set out in the Owners' Notice of Application. I see no basis for a maintenance easement in addition to an easement that covers the extent of the encroachment. If such an easement was granted, it would cover a very small area of the 3311 Property. The existence of the encroachment would not create any need for regular ongoing maintenance. While there may be a requirement for maintenance of the eaves from time to time, the terms of the easement could specify that such maintenance be permitted only from the Duplex Property. There was no evidence before the court on which I could conclude there is a need for a 1.5 meter maintenance easement. The fact that Mr. Dybvig believes such an easement would be "typical" to others he has "seen" is not a sufficient basis on which to order such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suggestion that the encroachment would impair development of a laneway house on the 3311 Property is without any evidentiary support. Mr. Dybvig notes that a city official doubted that a laneway house could be constructed on the plaintiff's lot given its insufficient depth. More importantly, Mr. Dybvig concludes that the highest and best use of the 3311 Property is as improved. This is because the house exceeds maximum density and minimum setback requirements. Further, the plaintiff just spent $700,000 to renovate the existing structure. In other words, it is extremely unlikely the plaintiff would apply to redevelop the property in the foreseeable future. In any event, an easement could be time limited so that it would cease to exist on redevelopment of either of the two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short, there is no reliable evidence on which to conclude the plaintiff would suffer any loss if the Roof Overhang was allowed to remain. The plaintiff would be able to continue to use the 3311 Property without any restriction or loss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There is one additional consideration that is relevant to balancing the convenience in this case. As set out in </w:t>
      </w:r>
      <w:r>
        <w:rPr>
          <w:rFonts w:ascii="arial" w:eastAsia="arial" w:hAnsi="arial" w:cs="arial"/>
          <w:i/>
          <w:color w:val="000000"/>
          <w:sz w:val="20"/>
          <w:lang w:val="en-US" w:eastAsia="en-US" w:bidi="ar-SA"/>
        </w:rPr>
        <w:t>Svenson v. Hokhold</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(1993), 26 B.C.A.C. 26</w:t>
        </w:r>
      </w:hyperlink>
      <w:r>
        <w:rPr>
          <w:rFonts w:ascii="arial" w:eastAsia="arial" w:hAnsi="arial" w:cs="arial"/>
          <w:color w:val="000000"/>
          <w:sz w:val="20"/>
          <w:lang w:val="en-US" w:eastAsia="en-US" w:bidi="ar-SA"/>
        </w:rPr>
        <w:t xml:space="preserve"> (C.A.), a court may consider the nature of the existing relationship between the parties when exercising its discretion as to the appropriate order to make under s. 36. In </w:t>
      </w:r>
      <w:r>
        <w:rPr>
          <w:rFonts w:ascii="arial" w:eastAsia="arial" w:hAnsi="arial" w:cs="arial"/>
          <w:i/>
          <w:color w:val="000000"/>
          <w:sz w:val="20"/>
          <w:lang w:val="en-US" w:eastAsia="en-US" w:bidi="ar-SA"/>
        </w:rPr>
        <w:t>Svenson</w:t>
      </w:r>
      <w:r>
        <w:rPr>
          <w:rFonts w:ascii="arial" w:eastAsia="arial" w:hAnsi="arial" w:cs="arial"/>
          <w:color w:val="000000"/>
          <w:sz w:val="20"/>
          <w:lang w:val="en-US" w:eastAsia="en-US" w:bidi="ar-SA"/>
        </w:rPr>
        <w:t xml:space="preserve"> the court upheld the trial judge's exercise of discretion including his reliance on his finding that an easement was inappropriate "in view of the poor relations existing between the parties."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Here, there is considerable animosity between Mr. Urbanczyk on the one hand, and the defendants (with the possible exception of the Strata Corporation) on the other. Mr. Urbanczyk has taken unreasonable positions throughout the dispute which has led to deterioration of the relationship. It might be argued that someone in the plaintiff's position should not be able to rely on a situation created by their own unreasonable behavior. However, regardless as to which party bears responsibility for the animosity, the creation of an easement might require the parties to deal with one another from time to time. The past circumstances suggest this could be problematic. Accordingly, this is a relevant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When I balance all of these considerations, I conclude the appropriate remedy to resolve this dispute arising from the century old encroachment is that it should be removed and I so order the encroachment be removed. I arrive at this conclusion primarily because of the modest cost to remove the encroachment and the degree of animosity between Mr. Urbanczyk and the defendants. The fact that the easement would not impact the value or plaintiff's use of the 3311 Property, and that previous owners were able to use and enjoy their respective properties for over 100 years without conflict is not sufficient to tip the balance in favour of the grant of an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terms of the removal will generally be as set out by the Owners in their revised submissions. There is no requirement for the Owners to pay the plaintiff any amount for lost Airbnb rentals. Such losses are speculative on the evidence before the court. If the parties are unable to agree on the precise terms, they may appear before me to resolve those terms. However, the terms to facilitate the removal of the Roof Overhang will include the following:</w:t>
      </w:r>
      <w:r>
        <w:rPr>
          <w:rFonts w:ascii="arial" w:eastAsia="arial" w:hAnsi="arial" w:cs="arial"/>
          <w:sz w:val="20"/>
          <w:lang w:val="en-US" w:eastAsia="en-US" w:bidi="ar-SA"/>
        </w:rPr>
        <w:cr/>
      </w:r>
    </w:p>
    <w:p>
      <w:pPr>
        <w:numPr>
          <w:numId w:val="15"/>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may use a contractor of their choice, including Kitsilano, if they so choose.</w:t>
      </w:r>
    </w:p>
    <w:p>
      <w:pPr>
        <w:numPr>
          <w:numId w:val="1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shall be done on consecutive work days until it is completed.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hours of work shall be between 9:00 a.m. and 2:00 p.m.</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shall pay $42.46/day to compensate the plaintiff for the construction easement during the removal of the Roof Overhang.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I have found that the existence of the Roof Overhang does not impact the plaintiff's use of the 3311 Property, there is no reason to award damages on the basis argued for by the plaintiff. To be clear, I dismiss the plaintiff's claims for damages (as set out in para. 46 above) for the Roof Overhang's existence during construction and for damages for the existence of the Roof Overhang from May 2017 until it is removed. I have dealt with the plaintiff's claims for trespass below and have included a nominal damage award of $1 for the existence of the Roof Overhang encroachment in the general damages awarded for trespass.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Drainage Installation an encroachment for which the plaintiff should be compensated? Is the aggregate used to backfill the drainage excavation a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will consider the alleged trespasses involving the Drainage Installation separately from the other claimed trespasses in part because the plaintiff placed great emphasis on this allegation. Further, I have concluded the Drainage Installation is not an encroachment and that the aggregate and plastic sheeting Kitsilano used to fill the excavation does not amount to a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Pursuant to s. 36(2)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before relief can be ordered in relation to an encroachment one of the parties to the dispute must present a "survey of land" showing "that a building ... encroaches on adjoining land". In order to consider this issue, I accept that a drainage pipe attached to a residence is a part of a building for the purpose of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Accordingly, if a drainage pipe was installed on adjoining land, that could amount to an encroachment. However, gravel or aggregate that is used in construction for the purpose of backfilling an excavation cannot be considered "a building". I have concluded that the drainage pipe installed by Kitsilano for the Duplex is located entirely on the Duplex Property. I have arrived at that conclusion based on the only survey before the court that shows the location of the drainage pipe. Accordingly, the claim that the drainage pipe or the aggregate is an encroachment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also says the aggregate and plastic sheeting used to backfill the excavation remains on the 3311 Property. As it was placed by Kitsilano, the plaintiff claims that this amounts to a continuing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tort of trespass to land is established if someone enters upon land, remains on land or places objects on the land or interferes with the land owner's potential or actual use and enjoyment of the land without lawful justification: </w:t>
      </w:r>
      <w:r>
        <w:rPr>
          <w:rFonts w:ascii="arial" w:eastAsia="arial" w:hAnsi="arial" w:cs="arial"/>
          <w:i/>
          <w:color w:val="000000"/>
          <w:sz w:val="20"/>
          <w:lang w:val="en-US" w:eastAsia="en-US" w:bidi="ar-SA"/>
        </w:rPr>
        <w:t>Graham v. Golden Gate Developments Inc.</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2013 BCSC 1890</w:t>
        </w:r>
      </w:hyperlink>
      <w:r>
        <w:rPr>
          <w:rFonts w:ascii="arial" w:eastAsia="arial" w:hAnsi="arial" w:cs="arial"/>
          <w:color w:val="000000"/>
          <w:sz w:val="20"/>
          <w:lang w:val="en-US" w:eastAsia="en-US" w:bidi="ar-SA"/>
        </w:rPr>
        <w:t xml:space="preserve">; R.FV. Heuston and R.A. Buckley, </w:t>
      </w:r>
      <w:r>
        <w:rPr>
          <w:rFonts w:ascii="arial" w:eastAsia="arial" w:hAnsi="arial" w:cs="arial"/>
          <w:i/>
          <w:color w:val="000000"/>
          <w:sz w:val="20"/>
          <w:lang w:val="en-US" w:eastAsia="en-US" w:bidi="ar-SA"/>
        </w:rPr>
        <w:t>Salmond and Heuston on the Law of Torts</w:t>
      </w:r>
      <w:r>
        <w:rPr>
          <w:rFonts w:ascii="arial" w:eastAsia="arial" w:hAnsi="arial" w:cs="arial"/>
          <w:color w:val="000000"/>
          <w:sz w:val="20"/>
          <w:lang w:val="en-US" w:eastAsia="en-US" w:bidi="ar-SA"/>
        </w:rPr>
        <w:t>, 20ed. (London: Sweet &amp; Maxwell, 1992) at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Kitsilano says that it had the plaintiff's consent to perform the renovation work on the 3311 Property which included removal of the existing stairs and stairwell as well as the work for the Drainage Installation. The defence of consent or "leave and license" is explained in </w:t>
      </w:r>
      <w:r>
        <w:rPr>
          <w:rFonts w:ascii="arial" w:eastAsia="arial" w:hAnsi="arial" w:cs="arial"/>
          <w:i/>
          <w:color w:val="000000"/>
          <w:sz w:val="20"/>
          <w:lang w:val="en-US" w:eastAsia="en-US" w:bidi="ar-SA"/>
        </w:rPr>
        <w:t>Montreal Trust Co. v. Williston Wildcatters Corp.</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2004 SKCA 116</w:t>
        </w:r>
      </w:hyperlink>
      <w:r>
        <w:rPr>
          <w:rFonts w:ascii="arial" w:eastAsia="arial" w:hAnsi="arial" w:cs="arial"/>
          <w:color w:val="000000"/>
          <w:sz w:val="20"/>
          <w:lang w:val="en-US" w:eastAsia="en-US" w:bidi="ar-SA"/>
        </w:rPr>
        <w:t xml:space="preserve"> at paras. 23 and 24 [endnotes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defence of consent, also termed "leave and licence," is described by G.H.L. Fridman in his text, The Law of Torts in Canada,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trespass will be committed if the defendant has the express or tacit consent of the plaintiff to the defendant's entry on the plaintiff's land, the burden of proving which being on the person who asserts it. In such circumstances the defendant is said to come on such land by the leave and licence of the plaintiff.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licence or permission to enter land may be given expressly or tacitly after the initial wrongful entry. If a defendant enters in circumstances which amount to a trespass, the subsequent conduct of the plaintiff may reveal that he has acquiesced in such entry, to the extent that, as a consequence, his permission to enter can be said to have been given ex post facto. Where this is the case, the defendant will not be a trespasser as a result of such acquiescence, or as a consequence of estoppel. However, the mere silence of the plaintiff, i.e., his failure to do or say anything by way of objection to the entry of the defendant, will not necessarily be construed as consent and acquiescence leading to an estoppel. [Cites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under the heading "Consent," the following is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A person is not a trespasser where he is on land with the permission of the possessor. The plaintiff's consent to the defendant's entry may be express or implied. Consent may be implied from the plaintiff's acquiescence or may be inferred from the circumstances. ... In order for consent to be implied from acquiescence, it is essential that the party alleged to have acquiesced, had full knowledge of its legal rights. [Cites omitted,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further: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 If the entry [to the land] goes beyond the permission given, there is no leave and licence, at least to the extent of the excess entry... Institution of an action in trespass does not of itself constitute revocation of a licence.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leave and licence can be proven: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an express agreement that amounts to leave and licence; or, 2) it can be implied (a) through conduct; (b) through acquiescence; or, 3) a combination of all three. All relevant circumstances must [sic] examined to determine whether the conduct of the plaintiff amounts to leave and licence on the facts of the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 The plaintiff's tacit consent for the defendant to be on the land may, depending on the circumstances of each case, amount to leave and licence that will negate liability for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onus of proving leave and licence is on the party asserting the defence of consent. Kitsilano bears that onus and I conclude that it has proved that it had the plaintiff's consent to excavate for the drainage pipe, install that pipe and backfill the excavation with aggregate and plastic sheeting. I do not regard the Letter of Support to be an express agreement to permit Kitsilano to do the work. However, the Letter of Support is some evidence of the plaintiff's lack of opposition to the renovation work proposed for the Duplex. Further, as I have found, Mr. Urbanczyk had adequate knowledge about the nature of that work from the start of the renovation of the Duplex.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circumstances I have found as set out above, leave and licence can be inferred through the plaintiff's acquiescence and conduct. Given Mr. Urbanczyk's knowledge of construction, he was likely fully aware of the work being undertaken by Kitsilano including the Drainage Installation. Indeed, the plaintiff was carrying out the same kind of work through Quality Home Improvements Inc., on the 3311 Property at the same time. Mr. Urbanczyk was fully aware that the plaintiff, like the Owners, would benefit from having proper drainage works installed on the Duplex Property. No one on behalf of the plaintiff ever complained about the Drainage Installation while it was being undertaken. The Drainage Installation was fully completed by the end of October 2016. It was only after the Hydro Pole Incident that Mr. Urbanczyk changed his mind about consenting to Kitsilano's construction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these circumstances, I conclude the plaintiff consented to the Drainage Installation including the backfilling of the excavation with aggregate and the placement of plastic sheeting. Kitsilano has met the burden of establishing that it was granted leave and license by the plaintiff to carry out the work for the Drainage Installation.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Kitsilano's employees trespass on the plaintiff's property after November 13,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alleges numerous acts of Kitsilano, other than those associated with the Drainage Installation, that it says amount to trespass. All of these acts occurred after the plaintiff withdrew its consent to Kitsilano's construction activity following the Hydro Pole Incident. Based on the findings of fact noted above, I conclude that Kitsilano (and its employees) trespassed on the 3311 Property. My conclusions regarding each allegation are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period immediately after November 13, 2016, Kitsilano's employees trespassed on the 3311 Property from time to time by walking and placing equipment on that property. They also stepped on and damaged the caution tape. This occurred because of the limited space between the Duplex and the property line; the workers attempted to work without trespassing, but were unable to do so. The activities of Kitsilano's employees did not cause any harm to the 3311 Property or prevent the plaintiff from using the property, including to carry out its own renovations.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installed the temporary fence and later, the scaffolding with the large plastic tarp, Kitsilano's workers trespassed into the airspace above the property line from time to time. In doing so, on occasion, they damaged the tarp and temporary fence.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Pump Jack scaffolding used by Kitsilano trespassed onto the 3311 Property. This occurred because the platform of the scaffold projected out from the Duplex building across the property line and into the airspace over the 3311 Property.</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trespass was committed by Kitsilano when it removed the old fence from the front yard. The plaintiff has not established the old fence was situated on its property. Of course, no trespass was committed by Mr. Martin and the other Kitsilano employee when they placed the fence panel on the 3311 Property as requested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damages should be awarded for the trespasses?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Trespass is actionable without proof of damages: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at para. 49. A plaintiff is entitled to be compensated by damages sufficient to place him or her in the same position as if the wrong had not occurred. Damages will include compensation for loss of use of land and for loss of amenities. In addition, a plaintiff is entitled to damages for remedial work, provided however that damages must be fair and reasonable: </w:t>
      </w:r>
      <w:r>
        <w:rPr>
          <w:rFonts w:ascii="arial" w:eastAsia="arial" w:hAnsi="arial" w:cs="arial"/>
          <w:i/>
          <w:color w:val="000000"/>
          <w:sz w:val="20"/>
          <w:lang w:val="en-US" w:eastAsia="en-US" w:bidi="ar-SA"/>
        </w:rPr>
        <w:t>Kates v. Hall</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(1991), 53 B.C.L.R. (2d) 322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says Kitsilano intentionally committed multiple and continuing acts of trespass knowing that it did not have permission to use the plaintiff's property. The plaintiff says it is entitled to more than nominal damages. The damages should take into account the value of a construction easement, as set out in the Dybvig report, for the months during which the trespasses were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addition, the plaintiff says it took reasonable steps to ameliorate its loss, including the placement of the temporary fence, the scaffolding and the tarp. It had to repair the damage to those items and says it is entitled to recover those amounts. These total $1,436.40 ($753.90 to replace the tarp and $682.50 for the fence). In addition, the plaintiff claims the cost of night security during December and January 2016 in the amount of $3,864. The plaintiff says it needed to hire the night security given its concern that night time work was being performed by Kitsilano.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also claims punitive damages as well as damages for stress and inconvenience.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defendants say the plaintiff has not suffered any damage or loss as a result of the trespasses. They acknowledge that if trespass is established, a plaintiff is entitled to nominal damages without any proof of loss. They say that the plaintiff has either failed to prove it suffered damages for ameliorating its loss or that the steps it took were unreasonable. Accordingly, the defendants say only a nominal amount should be awarded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Taking into account all of the circumstances and my conclusions about the parties' actions, I award a sum of $2,501 as general damages for trespass. As I have indicated above, this includes the sum of $1 for the trespass of the Roof Overhang on the 3311 Property. The balance of the damage award is intended to compensate the plaintiff for the trespasses onto its property after November 13,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Contrary to the plaintiff's submissions, I conclude the impact of the trespass on the 3311 Property and its use of that property was trivial. While I have taken into account the amounts spent by the plaintiff for the tarp and the fence, I conclude that those were unreasonable expenditures and so the damage award does not specifically include compensation for those amounts. As I noted in the findings of fact, the plaintiff installed those items in an effort to frustrate Kitsilano's work rather than to protect its property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reasonable basis for an award for the night time security expense. The plaintiff has failed to present any evidence that would support an award of punitive damages. As I have found, the animosity between the parties arose because of the unreasonable positions taken by Mr. Urbanczyk following the Hydro Pole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awarded $2,500 for the trespasses primarily because the actions of Kitsilano were taken when it knew the plaintiff was refusing to admit even minor trespasses onto the 3311 Property. Accordingly, it was in a position where it could have, and perhaps should have, applied for some form of construction easement. I conclude that $2,500 is a fair amount to compensate the plaintiff for the trespasses, taking into account a fair amount for such an easement. The amount of the award is fair and reasonable taking into account the nature and extent of the trespasses and the impact of those trespasses on the plaintiff and the 3311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Strata Corporation or 1128 responsible for the trespasses?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1128 is liable for the trespasses committed by its contractor and agent, Kitsilano. The Strata Corporation is not liable for those trespasses.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Roof Overhang is an encroachment on the 3311 Property. I order the Owners to remove the Roof Overhang. If the parties are unable to finalize terms as to how that is to be accomplished, they may appear before me to resolve those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Kitsilano trespassed on the 3311 Property during the course of the Duplex renovations. The plaintiff is awarded $2,501 in damages for the trespasses. This sum includes the nominal sum of $1 for the Roof Overhang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If the parties are unable to agree on costs, they may provide written submissions to my attention through trial scheduling. The plaintiff's submission must be provided within 14 days of release of these reasons for judgment. Written submissions of the defendants must be provided within 14 days of delivery of the plaintiff's submissions. The plaintiff will have 7 days to provide any reply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Fazeli v. British Columbia, [2009] B.C.J. No. 902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A.W. Donaldson</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28,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4,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S051690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902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607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177 A.C.W.S. (3d) 341</w:t>
      </w:r>
    </w:p>
    <w:p>
      <w:pPr>
        <w:spacing w:before="120" w:line="260" w:lineRule="atLeast"/>
        <w:rPr>
          <w:lang w:val="en-US" w:eastAsia="en-US" w:bidi="ar-SA"/>
        </w:rPr>
      </w:pPr>
      <w:r>
        <w:rPr>
          <w:rFonts w:ascii="arial" w:eastAsia="arial" w:hAnsi="arial" w:cs="arial"/>
          <w:color w:val="000000"/>
          <w:sz w:val="20"/>
          <w:lang w:val="en-US" w:eastAsia="en-US" w:bidi="ar-SA"/>
        </w:rPr>
        <w:t>Between Hootan Fazeli, Plaintiff, and Her Majesty the Queen in Right of the Province of British Columbia, Joye Morris Health Services Inc., Brendan Russell, Garth McIver, Nadir Sharifi, Robert Schlagintweit, Terrance Crick, Saleshni Narayen, Pamela Readings also known as Pamela McLaren, Michelle Gallant, Magda Kowalczedski, Fiona Smith, Kerene Scarlett, Chris Delciotto and Rona Mota,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5" style="position:absolute;z-index:2516725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2" w:name="Keywords_13"/>
      <w:bookmarkEnd w:id="92"/>
      <w:r>
        <w:rPr>
          <w:rFonts w:ascii="arial" w:eastAsia="arial" w:hAnsi="arial" w:cs="arial"/>
          <w:b/>
          <w:color w:val="000000"/>
          <w:sz w:val="20"/>
          <w:lang w:val="en-US" w:eastAsia="en-US" w:bidi="ar-SA"/>
        </w:rPr>
        <w:t>Civil Litigation — Civil procedure — Parties — Adding or substituting — After expiry of limitation period — Application by plaintiff to add defendant and make consequential amendments to amended statement of claim dismissed — Not just and convenient to add defendant considering time elapsed, tenuous connection between plaintiff and the proposed defendant, prejudice to proposed defendant and that representative of proposed defendant had no independent memory of alleged events — No adequate explanation for failing to add proposed defendant as defendant within limitation period — Likelihood of application to add proposed defendant as third party not appropriate or necessary consideration in determining whether proposed defendant should be added as defendant.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3" w:name="Case Summary_10"/>
            <w:bookmarkEnd w:id="9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to add a defendant and make consequential amendments to amended statement of claim. The action arose from treatment the plaintiff received while incarcerated in the Vancouver city jail and the pre-trial detention centre in May 2004. The plaintiff was paraplegic and alleged his paraplegia was caused by the negligent care, diagnosis, treatment and advice of three doctors and seven nurses. During discoveries, one of the doctors discovered stated that he had filled out a requisition for blood work, although there was no record of blood work having been undertaken or results of blood work being provided. The proposed defendant, B.C. Biomedical Laboratories Ltd. had a contract with the pre-trial centre to provide testing services. In April 2008, the plaintiff brought his motion to add B.C. Biomedical Laboratories Ltd. as a defendant. The plaintiff sought to add B.C. Biomedical Laboratories Ltd. as a defendant on the basis that a duty of care could be found from its contractual undertaking to the Crown, that it failed to meet its contractual obligations to provide caregivers at the pre-trial centre with the plaintiffs blood test results and that it was reasonably foreseeable that such failure could cause the plaintiff's caregivers to misdiagnose and/or mistreat the plaintiff. The limitation period had expired as the incident in which it was alleged that the proposed defendant was involved took place in May 2004. A representative of the proposed defendant was examined and she stated that she had no independent recollection of the alleged events and that the original requisitions for blood work for the day in question had been destroyed in June 2007 in the usual course of business. </w:t>
            </w:r>
            <w:r>
              <w:rPr>
                <w:lang w:val="en-US" w:eastAsia="en-US" w:bidi="ar-SA"/>
              </w:rPr>
              <w:cr/>
            </w:r>
          </w:p>
          <w:p>
            <w:pPr>
              <w:spacing w:before="120" w:line="260" w:lineRule="atLeast"/>
              <w:ind w:left="240"/>
              <w:jc w:val="both"/>
              <w:rPr>
                <w:lang w:val="en-US" w:eastAsia="en-US" w:bidi="ar-SA"/>
              </w:rPr>
            </w:pPr>
            <w:bookmarkStart w:id="94" w:name="Holdings of Court_10"/>
            <w:bookmarkEnd w:id="94"/>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It was not just and that the issue as intended to be pleaded in the amended statement of claim be determined in the proceedings considering the time that had elapsed, the tenuous connection between the plaintiff and the proposed defendant, the prejudice to the proposed defendant as a result of the destruction of documents and that the representative of the proposed defendant had no independent memory of the alleged events. Furthermore, there was no adequate explanation for failing to add the proposed defendant as a defendant within the limitation period. The likelihood of an application being brought to add the proposed defendant as a third party by one or more of the named defendants was not an appropriate or necessary consideration in determining whether proposed defendant should be added as a defendant. </w:t>
            </w:r>
            <w:r>
              <w:rPr>
                <w:lang w:val="en-US" w:eastAsia="en-US" w:bidi="ar-SA"/>
              </w:rPr>
              <w:cr/>
            </w:r>
          </w:p>
          <w:p>
            <w:pPr>
              <w:rPr>
                <w:lang w:val="en-US" w:eastAsia="en-US" w:bidi="ar-SA"/>
              </w:rPr>
            </w:pPr>
          </w:p>
        </w:tc>
      </w:tr>
    </w:tbl>
    <w:p>
      <w:pPr>
        <w:jc w:val="both"/>
        <w:rPr>
          <w:lang w:val="en-US" w:eastAsia="en-US" w:bidi="ar-SA"/>
        </w:rPr>
      </w:pPr>
      <w:bookmarkStart w:id="95" w:name="Legislation Cited_13"/>
      <w:bookmarkEnd w:id="9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6" style="position:absolute;z-index:2517237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Limitation Act, RSBC 1996, CHAPTER 266, s. 4(1), s. 4(4)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Supreme Court Rules, Rule 15(5)(c)(iii), Rule 28</w:t>
      </w:r>
      <w:r>
        <w:rPr>
          <w:lang w:val="en-US" w:eastAsia="en-US" w:bidi="ar-SA"/>
        </w:rPr>
        <w:cr/>
      </w:r>
    </w:p>
    <w:p>
      <w:pPr>
        <w:keepNext/>
        <w:spacing w:before="240" w:line="340" w:lineRule="atLeast"/>
        <w:rPr>
          <w:lang w:val="en-US" w:eastAsia="en-US" w:bidi="ar-SA"/>
        </w:rPr>
      </w:pPr>
      <w:bookmarkStart w:id="96" w:name="Counsel_13"/>
      <w:bookmarkEnd w:id="9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7" style="position:absolute;z-index:2517749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I. Giroday, U. Ghani.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B. Russell, G. McIver, N. Sharifi: M. Thomas.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Intended Defendants, BC Biomedical Laboratories Ltd.: S. Kanji and S. Wallace.</w:t>
      </w:r>
      <w:r>
        <w:rPr>
          <w:lang w:val="en-US" w:eastAsia="en-US" w:bidi="ar-SA"/>
        </w:rPr>
        <w:cr/>
      </w:r>
    </w:p>
    <w:p>
      <w:pPr>
        <w:spacing w:after="240"/>
        <w:rPr>
          <w:lang w:val="en-US" w:eastAsia="en-US" w:bidi="ar-SA"/>
        </w:rPr>
      </w:pPr>
      <w:bookmarkStart w:id="97" w:name="Judgment_13"/>
      <w:bookmarkEnd w:id="97"/>
      <w:r>
        <w:pict>
          <v:line id="_x0000_s1098" style="position:absolute;z-index:25182617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8" w:name="MASTER A.W. DONALDSON"/>
            <w:bookmarkEnd w:id="98"/>
            <w:r>
              <w:rPr>
                <w:rFonts w:ascii="arial" w:eastAsia="arial" w:hAnsi="arial" w:cs="arial"/>
                <w:b/>
                <w:color w:val="000000"/>
                <w:sz w:val="30"/>
                <w:lang w:val="en-US" w:eastAsia="en-US" w:bidi="ar-SA"/>
              </w:rPr>
              <w:t>MASTER A.W. DONALDSON</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application heard the 28th of April 2009 was the continuation from the 15th October 2008 of a notice of motion dated 17 July 2008 seeking, among other things, to add B.C. Biomedical Laboratories Ltd. (BC Bio) as a defendant and to make consequential amendments to the amended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arises from treatment which the plaintiff received while incarcerated in the City Jail in Vancouver and the North Fraser Pre-trial Centre from the 6th through 13th of May 2004. Claim is made against three doctors and seven nurses alleging negligent care, diagnosis, treatment and advice. As a result of this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is now a paraplegic.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writ was issued 24th March 2005 and the statement of claim 27th March 2006. An amended statement of claim was filed 1st May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Sharifi made notes on 10th May 2004 when Dr. Sharifi saw the plaintiff and a transcription of those notes was "provided" 19th June 2007 by counsel for one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Discoveries of four doctors and eight nurses were undertaken in the months of September and October 2007 and in those discoveries Dr. Sharifi stated that he had filled out a requisition for blood work. It is common ground that during the time the plaintiff was treated at the NFPT BC Bio had a contract to provide testing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motion to add BC Bio was served on them during April of 2008 and the hearing on 15th October 2008 was adjourned to give an opportunity for counsel for the plaintiff to examine an appropriate person of BC Bio pursuant to Rule 28.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Goy, mobile lab technician, was examined 9th January 2009. At her examination she stated that generally her hours were 1:30 to 3:00 each Monday and Thursday. Apparently however she was using her computer at BC Bio's office at 2:53 p.m. on 10th May. It is contended it would have taken approximately 20 minutes travel time for her to reach the BC Bio offices from the NFPT thus it is alleged she left "early", that is to say before 3:00 p.m. on the 10th of May,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Section 15(5)(c)(iii) provides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Rule 15 (5) (a) (iii) ("Rule 15") provides that </w:t>
      </w:r>
      <w:r>
        <w:rPr>
          <w:rFonts w:ascii="arial" w:eastAsia="arial" w:hAnsi="arial" w:cs="arial"/>
          <w:i/>
          <w:color w:val="000000"/>
          <w:sz w:val="20"/>
          <w:lang w:val="en-US" w:eastAsia="en-US" w:bidi="ar-SA"/>
        </w:rPr>
        <w:t>the Court may, at any stage of a proceeding, add a person as a party "where there may exist, between the person and any party to the proceeding, a question or issue relation to or connected (A) with any relief claimed in the proceeding, or (B) with the subject matter of the proceeding, which in the opinion of the Court it would be just and convenient to determine as between the person and that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Additionally this matter involves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provisions, including Section 4(1) and (4):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S. 4. (1) of the </w:t>
      </w:r>
      <w:r>
        <w:rPr>
          <w:rFonts w:ascii="arial" w:eastAsia="arial" w:hAnsi="arial" w:cs="arial"/>
          <w:color w:val="000000"/>
          <w:sz w:val="20"/>
          <w:u w:val="single"/>
          <w:lang w:val="en-US" w:eastAsia="en-US" w:bidi="ar-SA"/>
        </w:rPr>
        <w:t>Limitation Act</w:t>
      </w:r>
      <w:r>
        <w:rPr>
          <w:rFonts w:ascii="arial" w:eastAsia="arial" w:hAnsi="arial" w:cs="arial"/>
          <w:color w:val="000000"/>
          <w:sz w:val="20"/>
          <w:lang w:val="en-US" w:eastAsia="en-US" w:bidi="ar-SA"/>
        </w:rPr>
        <w:t xml:space="preserve"> provides that </w:t>
      </w:r>
      <w:r>
        <w:rPr>
          <w:rFonts w:ascii="arial" w:eastAsia="arial" w:hAnsi="arial" w:cs="arial"/>
          <w:i/>
          <w:color w:val="000000"/>
          <w:sz w:val="20"/>
          <w:lang w:val="en-US" w:eastAsia="en-US" w:bidi="ar-SA"/>
        </w:rPr>
        <w:t>the lapse of time limited for bringing an action is no bar to adding a new party as defendant, under any applicable law, with respect to any claims relation to or connected with the subject matter of the original action.</w:t>
      </w:r>
    </w:p>
    <w:p>
      <w:pPr>
        <w:spacing w:before="120" w:line="260" w:lineRule="atLeast"/>
        <w:ind w:left="720"/>
        <w:rPr>
          <w:lang w:val="en-US" w:eastAsia="en-US" w:bidi="ar-SA"/>
        </w:rPr>
      </w:pPr>
      <w:r>
        <w:rPr>
          <w:rFonts w:ascii="arial" w:eastAsia="arial" w:hAnsi="arial" w:cs="arial"/>
          <w:color w:val="000000"/>
          <w:sz w:val="20"/>
          <w:lang w:val="en-US" w:eastAsia="en-US" w:bidi="ar-SA"/>
        </w:rPr>
        <w:t>S. 4. (4) permits a fresh cause of action to be plead by way of amendment even if the amendment would have become barred by the lapse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seeks that BC Bio be added as a defendant as it is contended a duty of care can be found from the contractual undertaking by BC Bio to a third party, namely, the Crown, where the proposed defendant intends a service be performed for the benefit of a third party (in this instance the plaintiff). As it was reasonably foreseeable to BC Bio that a failure to meet its contractual obligations to provide caregivers at NFPTC with the plaintiff's blood test results that the plaintiff alleges that failure could cause the caregivers to misdiagnose and/or mistreat the plaintiff. Counsel on behalf of the plaintiff contends that the test as set out in </w:t>
      </w:r>
      <w:r>
        <w:rPr>
          <w:rFonts w:ascii="arial" w:eastAsia="arial" w:hAnsi="arial" w:cs="arial"/>
          <w:b/>
          <w:i/>
          <w:color w:val="000000"/>
          <w:sz w:val="20"/>
          <w:lang w:val="en-US" w:eastAsia="en-US" w:bidi="ar-SA"/>
        </w:rPr>
        <w:t>London Drugs Ltd. v. Kehne &amp; Nagle International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[2006] S.C.J. No. 18</w:t>
        </w:r>
      </w:hyperlink>
      <w:r>
        <w:rPr>
          <w:rFonts w:ascii="arial" w:eastAsia="arial" w:hAnsi="arial" w:cs="arial"/>
          <w:color w:val="000000"/>
          <w:sz w:val="20"/>
          <w:lang w:val="en-US" w:eastAsia="en-US" w:bidi="ar-SA"/>
        </w:rPr>
        <w:t xml:space="preserve"> is applicable to the situation at bar. It is contended on behalf of the plaintiff the determination duty or standard of care should be left to the trial judge and unless it is plain and obvious there is no cause of action the proposed defendant, BC Bio, should be added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is clear that the times as set out in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have expired. The incident in which it is contended that BC Bio is involved took place on 10th May 2004. Had the writ been issued on the last applicable day and served on the last applicable day this would have meant that BC Bio may well not have known of the matter until early May of 2007. It is emphasized that the notice of the application to add was provided to BC Bio in April of 2008. Thus only one year passed since the date BC Bio could have been at the latest informed with compliance with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decision of the Court of Appeal in </w:t>
      </w:r>
      <w:r>
        <w:rPr>
          <w:rFonts w:ascii="arial" w:eastAsia="arial" w:hAnsi="arial" w:cs="arial"/>
          <w:b/>
          <w:i/>
          <w:color w:val="000000"/>
          <w:sz w:val="20"/>
          <w:lang w:val="en-US" w:eastAsia="en-US" w:bidi="ar-SA"/>
        </w:rPr>
        <w:t>Teal Cedar Products (1997) Ltd. v. Dale Intermediaries Ltd.</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and in particular the following passage is oft cited in relation to the adding of a defendant to a cause of action after a limitation period has expired.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 This case is a good example. The plaintiff sought legal advice and accepted a lawyer's opinion to the effect that it did not have a claim against insurers under the policy. The lawyer was subsequently persuaded that his initial opinion was unduly pessimistic and that there was at least some prospect of success in advancing such a claim. Unfortunately, the limitation period had passed.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has several explanations for not applying to add BC Bio within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time limits. The plaintiff says this case is one of factual complexity and required obtaining medical advice and assessment of the treatment given to the plaintiff by the defendant caregivers. This took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Additionally it is complained clinical notes were all but illegible and that there was a delay in determining the names of those persons who should appropriately be named as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examination of Dr. Sharifi on 2nd October 2007 he gave evidence that he filled out a lab requisition for blood work. It is common ground that there is now no record of blood work having been undertaken, nor results of blood work being provided by BC Bio.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Linda Goy was the lab assistant on 10th May 2004, however, at her examination she stated that she had no specific recollection of that day or one assumes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apparently stated that if a doctor was on the premises and seeing patients she would wait during the allotted time, i.e.; 1:30 p.m. to 3:00 p.m., however if a doctor was not on site and there were no more inmates on her list for whom services were to be provided she would leave. She stated the usual procedure was that nursing staff at the NFPC would give her a list with the names of inmates requiring lab work and the requisitions for that work. Apparently that list was also given to a corrections officer who would be responsible for bringing the individual inmates to the health office so necessary blood or other samples could be 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representative of BC Bio has stated there is no record relating to any blood work done for the plaintiff in and around 10th May 2004. Apparently no one has been able to confirm that BC Bio was given a requisition to perform blood work. As mentioned previously, Dr. Sharifi stated he completed the requisition but no one has been able to confirm that a requisition indeed was delivered to the BC Bio representative.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contended that it will be prejudicial to BC Bio if they are added as defendants both being presumed as the limitation period has expired. (In this regard see </w:t>
      </w:r>
      <w:r>
        <w:rPr>
          <w:rFonts w:ascii="arial" w:eastAsia="arial" w:hAnsi="arial" w:cs="arial"/>
          <w:b/>
          <w:i/>
          <w:color w:val="000000"/>
          <w:sz w:val="20"/>
          <w:lang w:val="en-US" w:eastAsia="en-US" w:bidi="ar-SA"/>
        </w:rPr>
        <w:t>Med Finance Co. S.A. v. Bank of Montreal</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[1993] B.C.J. No. 1277</w:t>
        </w:r>
      </w:hyperlink>
      <w:r>
        <w:rPr>
          <w:rFonts w:ascii="arial" w:eastAsia="arial" w:hAnsi="arial" w:cs="arial"/>
          <w:color w:val="000000"/>
          <w:sz w:val="20"/>
          <w:lang w:val="en-US" w:eastAsia="en-US" w:bidi="ar-SA"/>
        </w:rPr>
        <w:t>, 1993 CarswellBC 128) and actual prejudice as there has been no evidence produced to date that BC Bio was instructed to complete blood work for the plaintiff. A 35 day trial is scheduled to commence 28th September 2009. To be prepared for such a lengthy trial it is contended on behalf of the defendant, would be very complex and expensive. Counsel for BC Bio raises the prospect the trial would have to be adjourned.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her examination Ms. Goy apparently stated she has no independent recollection of the events of 10th May 2004 and apparently the original requisitions which were dealt with on 10th May 2004 were destroyed in June of 2007 in the usual course of business by BC Bio. That is approximately one month after the expiration of the two year limitation plus one year to serve time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further contended that there is no issue as between BC Bio and the plaintiff. The sought after amendments makes this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BC Bio;</w:t>
      </w:r>
      <w:r>
        <w:rPr>
          <w:lang w:val="en-US" w:eastAsia="en-US" w:bidi="ar-SA"/>
        </w:rPr>
        <w:cr/>
      </w:r>
    </w:p>
    <w:p>
      <w:pPr>
        <w:spacing w:line="260" w:lineRule="atLeast"/>
        <w:ind w:left="720"/>
        <w:rPr>
          <w:lang w:val="en-US" w:eastAsia="en-US" w:bidi="ar-SA"/>
        </w:rPr>
      </w:pPr>
      <w:r>
        <w:rPr>
          <w:rFonts w:ascii="arial" w:eastAsia="arial" w:hAnsi="arial" w:cs="arial"/>
          <w:i/>
          <w:color w:val="000000"/>
          <w:sz w:val="20"/>
          <w:lang w:val="en-US" w:eastAsia="en-US" w:bidi="ar-SA"/>
        </w:rPr>
        <w:t xml:space="preserve">In the alternative, if Dr. Sharifi ordered the lab work for the Plaintiff on May 10, 2004 and communicated such order to one or more of the Nurses in a competent manner, and further, one or more of the Nurses ordered the taking of blood and lab work to be performed by B. C. Bio, </w:t>
      </w:r>
      <w:r>
        <w:rPr>
          <w:rFonts w:ascii="arial" w:eastAsia="arial" w:hAnsi="arial" w:cs="arial"/>
          <w:i/>
          <w:color w:val="000000"/>
          <w:sz w:val="20"/>
          <w:u w:val="single"/>
          <w:lang w:val="en-US" w:eastAsia="en-US" w:bidi="ar-SA"/>
        </w:rPr>
        <w:t>BC Bio owed the Plaintiff a duty of care and was negligent and failed to use reasonable care and skill in failing to take the Plaintiff's blood as ordered, perform the lab work or report back the results of the lab work, or complete one or more of such steps.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B. C. Bio points out that the existence of the service contract has not been plead and is a fact material to the cause of action the plaintiff has alleged. Counsel further contends that there is no duty of care owed to the plaintiff pursuant to that contract. The service contract is with the Province.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points out that there is no allegation in the proposed amended statement of claim that BC Bio actually took the plaintiff's blood and negligently failed to conduct the lab tests or failed to report back. The allegation is that they failed to take the blood. Counsel contends no such duty exists under the service contract. As the evidence appears to be that when a requisition was received a corrections officer brought the respective inmate to the health centre so that whatever blood or other samples were required to be taken could be taken by BC Bio's representative. It is contended that there is no evidence indicating that the plaintiff was brought to the health centre such that blood or other substances could be extracted from him for testing by BC Bio.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Considering the time that has elapsed from when the clinical records were available to the plaintiff, the time lapse from examination of Dr. Sharifi for discovery, the tenuous connection (if any), between the plaintiff and BC Bio, the real prejudice which exists as a result of the destruction of the requisitions for the 10th May 2004 (as destroyed in June of 2007) and that no independent memory is apparent on the part of Ms. Goy as of the date of her Rule 28 examination, I am satisfied that it is not just and convenient that the issue as intended to be plead be determined in the proceedings as presently constituted and/or intended to be pursuant to the proposed amendment. There are not adequate explanations for failing to add BC Bio as a defendant within the limitations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on behalf of the plaintiff during argument pointed out it is the intention of counsel for Joye Morris Health Services Inc., and/or HMTQ and/or the doctors to add BC Bio as a third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not satisfied that the likelihood of an application being made to add BC Bio as a third party by one or other of the presently named defendants is an appropriate or necessary consideration in determining whether or not BC Bio should be added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proposed defendant BC Bio is entitled to its costs of the application both as heard the 15th October 2008 and the 28th April 2009.</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A.W. DONALDSON</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Forliti (Guardian ad litem of) v. Woolley, [2003] B.C.J. No. 710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C995496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710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353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637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Blue Mattino Forliti, an infant plaintiff by his Guardian ad litem, Dawn Irene Forliti, plaintiff, and Dr. Harold Ewart Woolley, Dr. Malcolm Kim Sing, Burnaby Hospital Society, Nurse P. Dowey, Nurse May Miguel, Nurse S. Low, Nurse M. Duncombe, Nurse Miachand, Nurse Ekuelker, Radiologist Doe, Technologist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4"/>
      <w:bookmarkEnd w:id="99"/>
      <w:r>
        <w:rPr>
          <w:rFonts w:ascii="arial" w:eastAsia="arial" w:hAnsi="arial" w:cs="arial"/>
          <w:b/>
          <w:color w:val="000000"/>
          <w:sz w:val="20"/>
          <w:lang w:val="en-US" w:eastAsia="en-US" w:bidi="ar-SA"/>
        </w:rPr>
        <w:t>Practice — Discovery — Examination, range of — Questions related to issues between the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1"/>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defendant Woolley for an order requiring the plaintiff Forliti to answer certain questions on her examination for discovery. The claim was by an infant through his mother, Forliti, for injury sustained at his birth allegedly as a result of Woolley performing a vaginal delivery. The questions at issue related to Forliti's knowledge as to the potential hazards of a vaginal delivery. Woolley argued that Forliti's state of knowledge was relevant to whether she shared responsibility for the decision-making as to the method of delivery. Forliti argued that the questions were not relevant as there was no specific plea in the statement of defence suggesting that she bore responsibility for decisions made in respect of her medical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1"/>
            <w:bookmarkEnd w:id="10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questions would only be relevant if Woolley had asserted that Forliti was contributorily negligent. Forliti's state of knowledge was not relevant to the issue of whether Woolley breached his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Counsel_14"/>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1"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G.V. Lauk, Q.C., for the plaintiff. C.E. Hinkson, Q.C., for the defendants, Dr. Harold Ewart Woolley and Dr. Malcolm Kim Sing.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4"/>
      <w:bookmarkEnd w:id="103"/>
      <w:r>
        <w:pict>
          <v:line id="_x0000_s1102" style="position:absolute;z-index:2517760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GARSON J."/>
            <w:bookmarkEnd w:id="104"/>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application now before the court concerns the examination for discovery of the plaintiff, Dawn Irene Forliti. In earlier Reasons for Judgment, </w:t>
      </w:r>
      <w:hyperlink r:id="rId259" w:history="1">
        <w:r>
          <w:rPr>
            <w:rFonts w:ascii="arial" w:eastAsia="arial" w:hAnsi="arial" w:cs="arial"/>
            <w:i/>
            <w:color w:val="0077CC"/>
            <w:sz w:val="20"/>
            <w:u w:val="single"/>
            <w:shd w:val="clear" w:color="auto" w:fill="FFFFFF"/>
            <w:lang w:val="en-US" w:eastAsia="en-US" w:bidi="ar-SA"/>
          </w:rPr>
          <w:t>[2002] B.C.J. No. 1327</w:t>
        </w:r>
      </w:hyperlink>
      <w:r>
        <w:rPr>
          <w:rFonts w:ascii="arial" w:eastAsia="arial" w:hAnsi="arial" w:cs="arial"/>
          <w:color w:val="000000"/>
          <w:sz w:val="20"/>
          <w:lang w:val="en-US" w:eastAsia="en-US" w:bidi="ar-SA"/>
        </w:rPr>
        <w:t>, I dealt with the applications to compel defendants to answer questions put by plaintiff's counsel at the examinations for discovery of Dr. Woolley and Dr. Kim Sing. The background facts which underlie this application are set out in my earlier Reasons and I will not repeat those facts here, other than to say that this is a claim by an infant through his guardian ad litem, his mother, Ms. Forliti, for injury sustained at his birth allegedly as a result of Dr. Woolley performing a vaginal breach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heard oral submissions from counsel on March 4, 2003, concerning objections taken to questions put to Ms. Forliti by counsel for Dr. Woolley. I made orders at the hearing with respect to the application, except for questions asked at Questions 276, 748, 771-774.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to those questions, I reserved my judgment. At Question 276 the plaintiff was asked to provide a list of pre-natal reference books consulted by her during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Question 748 the plaintiff was asked what steps she took to locate another obstetrician/gynaecologist prior to consulting Dr. Woolley, and if she located another obstetrician/gynaecologist before Dr. Woolley, who that was and what advice she received from that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Questions 771-775 the plaintiff was asked about the importance to her of having a vaginal delivery as opposed to a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Hinkson, for Dr. Woolley, says that these questions are relevant to Ms. Forliti's knowledge as to the potential hazards of a vaginal breach delivery. Mr. Hinkson argues that had the plaintiff received advice regarding the hazards of such a delivery, then she should, in some respects, share responsibility for the decision-making as to the method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relevant portions of the statement of claim are as follows: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and fiduciary duty of Dr. Woolley, Dr. Sing, Nurse Dowey, Nurse Miguel, Nurse Low, Nurse Duncombe, Nurse Miachand, Nurse Ekuelker, Radiologist Doe, and Technologist Doe are as follows: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use reasonable skill in the provision of the medical care, treatment and professional services;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take or keep a proper medical history;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consider whether in all the circumstances, vaginal delivery was safe for the baby;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in all the circumstances to perform a caesarean section;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monitor for signs of fetal compromise or failing to respond adequately or at all to such signs as were present;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monitor the fetal heart rate of Blue in utero;</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intervene in a timely manner or at all to prevent injury to the baby;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follow appropriate protocols;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or ensure any or any adequate post-operative care, medication, treatment or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specific plea contained in the statement of defence suggesting that the plaintiff bears responsibility for decisions made in respect to her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Paragraph (7) of the statement of defence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and in further answer to the whole of the statement of claim, if any of these defendants was negligent or in breach of any duty as alleged in the statement of claim or at all, which is not admitted but is specifically denied, then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did not cause or contribute to any of the injury, loss, damage or expense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do not interpret this paragraph as sustaining a plea that the plaintiff was negligent or responsible for decisions made in respect to her own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Lauk, for the plaintiff, argues that the examination for discovery questions as to the state of mind of the plaintiff and her knowledge of the hazards of a vaginal breach delivery are not relevant. He also argues that the mother is a plaintiff, but only as a guardian ad litem and therefore issues as to her state of mind cannot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Dealing with this latter plea first, the case of Cherry v. Borsman </w:t>
      </w:r>
      <w:hyperlink r:id="rId260" w:history="1">
        <w:r>
          <w:rPr>
            <w:rFonts w:ascii="arial" w:eastAsia="arial" w:hAnsi="arial" w:cs="arial"/>
            <w:i/>
            <w:color w:val="0077CC"/>
            <w:sz w:val="20"/>
            <w:u w:val="single"/>
            <w:shd w:val="clear" w:color="auto" w:fill="FFFFFF"/>
            <w:lang w:val="en-US" w:eastAsia="en-US" w:bidi="ar-SA"/>
          </w:rPr>
          <w:t>(1992), 94 D.L.R. (4th) 487</w:t>
        </w:r>
      </w:hyperlink>
      <w:r>
        <w:rPr>
          <w:rFonts w:ascii="arial" w:eastAsia="arial" w:hAnsi="arial" w:cs="arial"/>
          <w:color w:val="000000"/>
          <w:sz w:val="20"/>
          <w:lang w:val="en-US" w:eastAsia="en-US" w:bidi="ar-SA"/>
        </w:rPr>
        <w:t xml:space="preserve"> (B.C.C.A.) is authority for the proposition that a foetus has no cause of action until it is born. The infant's rights vest in the infant as soon as it is born but while it is in utero the duty of care is owed to the mother. Consequently, I conclude that the mother may be examined in respect to events which occurred while the foetus was in utero.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Lauk argues that the proposition that the mother could be responsible for decisions regarding her own medical care because of her own level of knowledge is a novel one, without authority, and is not supported by anything contained in the pleadings. Dr. Woolley has neither specifically pled responsibility of the mother, nor on this application is there any affidavit evidence filed suggesting that there were unique or special circumstances in this case, such as the mother's strongly voiced preference or insistence on, a vaginal delivery. If those are the facts of this case they have not been put before me. The questions asked at 276, 771-4 are, as yet, only relevant to issues in this law suit if Dr. Woolley asserts that the mother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the pleadings, Ms. Forliti placed herself under the care of Dr. Woolley, an obstetrician/gynaecologist. Whether she had a preference for a vaginal delivery, or had conducted research on her own as to the safety of a vaginal breach delivery, cannot in my view be relevant to the issue of whether Dr. Woolley breached his standard of care by deciding it was safe to proceed with a vaginal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basis of the pleadings as they now stand the plaintiff is not required to answer Questions 276, 771 and 774. Question 748 should be answered. Question 748 is relevant to the issues raise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3"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Franks v. Ruddiman, [2004] B.C.J. No. 1009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 9-11, and November 21,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Penticton Registry No. 22312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1009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632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131 A.C.W.S. (3d) 974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Franks, plaintiff, and Dr. Alan Ruddiman and Dr. Alexander McIntyre,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4"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5"/>
      <w:bookmarkEnd w:id="105"/>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Professional responsibility — Professions — Health care — Doctors — Psychologists and psychiatrists — Tort law — Abuse of legal procedure — False arrest or imprisonment — Defences — Lawful authority.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2"/>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Franks for summary judgment under Rule 18A against the defendant doctor, Ruddiman. Franks sought damages arising from his apprehension and detention under the Mental Health Act after Ruddiman completed a medical certificate requiring Franks' detention for examination and treatment. Ruddiman had attended to Franks after the latter sustained injuries in a road accident. Some 15 months after the accident, the parties were involved in a dispute in which Franks allegedly threatened Ruddiman and his family. Ruddiman reported the incident to the police. Prior to completing the certificate, Ruddiman also contacted McIntyre, his co-defendant in the matter and a local psychiatrist, regarding concerns he held about Franks' mental health and the potential risk Franks posed to himself and others. Franks' detention extended beyond the initial two-day examination period when psychiatric examinations determined that Franks required treatment, care and supervision, and could not be admitted as a voluntary patient. Ultimately, Franks was detained for just under one month. While his condition gradually improved, six successive opinions variously supported the initial prognosis and detention. Franks alleged that Ruddiman had him committed to avoid assisting Franks in a civil trial against the party responsible for the road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2"/>
            <w:bookmarkEnd w:id="10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detention was justified under the Mental Health Act. Ruddiman had become concerned with Franks' mental health. The dispute that precipitated Franks' detention occurred during an appointment arranged by Ruddiman to discuss arranging psychiatric treatment for Franks. When Franks refused to discuss such treatment, Ruddiman considered whether involuntary treatment was appropriate. It was reasonable for him to consult the psychiatrist in this regard. It was also reasonable for him to believe that Franks posed a threat to himself and others. Ruddiman believed that Franks suffered from a mental disorder which required treatment, and that it was unlikely that Franks would submit to treatment voluntarily. The defendants complied with s. 22 of the Mental Health Act, and the involuntary detention was justified. Franks had failed to prove an absence of good faith on the part of either Ruddiman or McIntyre.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14"/>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5"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Mental Health Act, </w:t>
      </w:r>
      <w:hyperlink r:id="rId268" w:history="1">
        <w:r>
          <w:rPr>
            <w:rFonts w:ascii="arial" w:eastAsia="arial" w:hAnsi="arial" w:cs="arial"/>
            <w:i/>
            <w:color w:val="0077CC"/>
            <w:sz w:val="20"/>
            <w:u w:val="single"/>
            <w:shd w:val="clear" w:color="auto" w:fill="FFFFFF"/>
            <w:lang w:val="en-US" w:eastAsia="en-US" w:bidi="ar-SA"/>
          </w:rPr>
          <w:t>R.S.B.C. 1996, c. 288, ss. 16</w:t>
        </w:r>
      </w:hyperlink>
      <w:r>
        <w:rPr>
          <w:rFonts w:ascii="arial" w:eastAsia="arial" w:hAnsi="arial" w:cs="arial"/>
          <w:color w:val="000000"/>
          <w:sz w:val="20"/>
          <w:lang w:val="en-US" w:eastAsia="en-US" w:bidi="ar-SA"/>
        </w:rPr>
        <w:t>, 20, 22(3) 28.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5"/>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J. Franks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 Ion Counsel for the Defendants, Dr. Ruddiman and Dr. McIntyre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5"/>
      <w:bookmarkEnd w:id="110"/>
      <w:r>
        <w:pict>
          <v:line id="_x0000_s1107"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BROOKE J."/>
            <w:bookmarkEnd w:id="111"/>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31, 1998, James Franks, a retired carpenter, sustained injuries as a result of being struck or forced off the road by a passing motor vehicle while riding his bicycle. The driver of the motor vehicle continued on his way and his identity is unknown. Mr. Franks was taken to the South Okanagan General Hospital where he was attended by the defendant Dr. Ruddiman who practiced in the Town of Oliver. Dr. Ruddiman embarked upon a course of treatment for the injuries, which primarily consisted of a hip injury, and significant bruising and contusions. The course of Mr. Franks recovery was uneven, and Dr. Ruddiman referred Mr. Franks to physiotherapists and to several specialists in physical medicine and rehabilitation, who he thought would be able to help Mr. Franks in his recovery. However, Mr. Franks was not satisfied with the progress he was making nor was he pleased with the interval he was obliged to wait between an appointment being made with a specialist and the time he was seen by that specialist. Clearly, there was an element of frustration expressed by Mr. Franks as a result of his prolonged convalescence. Physical fitness had historically been very important to Mr. Franks, and he was anxious to be restored to his pre-injury status and willing to do whatever he reasonably needed to do to achieve that result. However, Mr. Franks had very strong opinions on the role of doctors and the efficacy of orthodox medicine, and he insisted on exercising informed consent and managing his own recovery in a meaningful way. For example, while he attended for physiotherapy, he refused to permit the therapist to touch him and insisted on a modified form of consent that reflected that. Here, it should be pointed out that Mr. Franks, at the time of the injury, was 55 years old and made use of his bicycle as his primary means of conveyance, easily riding 100 kilometres or more in a day. Such exercise, as well as yoga, was an important component of Mr. Franks sense of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foregoing provides an important part of the context within which this action arises. On March 5, 2000, Mr. Franks saw Dr. Ruddiman in connection with his ongoing convalescence and treatment concerning the injuries he sustained in the accident 14 months before and Dr. Ruddimans growing concern about Mr. Franks mental health. During the course of this consultation, Mr. Franks says that he told Dr. Ruddiman that he was looking for his assistance in advancing a claim for compensation against the unidentified driver of the car who caused his injuries. Mr. Franks says that Dr. Ruddiman told him to the effect that this was a breach of trust and that he was loathe to become involved in the compensation process. Mr. Franks says that he replied that Dr. Ruddiman would have no choice but to give evidence if he were subpoenaed to do so and Dr. Ruddiman, in turn, said that he could not be subpoenaed if he was not Mr. Franks doctor and intimated that he could bring an end to that professional relationship. On the other hand and to the contrary, Dr. Ruddiman said that he expressed his willingness to assist Mr. Franks in his compensation claim and the issue that arose between them originated in his (Dr. Ruddimans) growing concern that Mr. Franks was suffering from a mental disorder which led him to suggest a referral to a psychiatrist. Mr. Franks refused, saying that psychiatrists are not real doctors. Dr. Ruddiman described Mr. Franks as becoming angry and saying, If you refer me to one [a psychiatrist] you and your family will never hear the end of this. He says the consultation ended with Mr. Franks swearing at him and leaving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dispute that these words (or words very much like them) were used. There is a dispute, however, in the context in which they were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Ruddiman treated this as a threat, not only to himself but to his family. He reported this event to the police on March 7, 2000, and brought to the attention of the police concerns that had been expressed to him by a female dentist who had seen Mr. Franks in her professional capacity and who received from him, from time to time at regular intervals, unwelcome letters and other expressions of regard. Dr. Ruddiman also spoke with a psychiatrist practicing nearby in Penticton, Dr. McIntyre, regarding his concern for his safety and the safety of others arising out of Mr. Franks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report by Dr. Ruddiman to the police was documented in a Form 125 that was received in evidence. It refers to Dr. Ruddimans complaint and to his request that the police take Mr. Franks into custody for the purposes of obtaining a psychiatric assessment. The police report goes on to refer to the threat to Dr. Ruddiman and his family and to the concerns of the female dentist.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Dr. McIntyre gave evidence that he had pointed out to Dr. Ruddiman the provisions of ss. 20 and 22 of the Mental Health Act,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with respect to voluntary and involuntary admissions and suggested that Dr. Ruddiman could provide a certificate which would enable Mr. Franks to be admitted to a designated facility and detained for up to 48 hours for examination and treatment. In order for him to do so, he would have to comply with s. 22(3), which requires a statement by the physician that: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physician is of the opinion that the person to be admitted...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requires treatment in or through a designated facility,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requires care, supervision and control in or through a designated facility to prevent the...patient's substantial mental or physical deterioration or for the protection of the person or patient or the protection of others,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cannot suitably be admitted as a voluntary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Ruddiman provided such a certificate and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Mr. Franks was apprehended and admitted to a designated facility at Penticton on March 13, 2000, where he was seen Dr. McIntyre. Dr. McIntyre completed a second medical certificate and provided that to the director of the designated facility with the result that Mr. Franks was involuntarily detained for, in all, for a little less than a month at a designated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this action, Mr. Franks seeks damages from Dr. Ruddiman and Dr. McIntyre arising out of his apprehension and detention. Drs. Ruddiman and McIntyre say in defence that each of them acted in accordance with the provisions of the Mental Health Act, and particularly s. 22 of that Act, and that they acted in good faith and with reasonable care. Section 16 of the Mental Health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A person is not liable in damages as the result of doing any of the following in good faith and with reasonable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requesting that a person be admitted to, or admitted to and detained in, a designated facility;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signing a medical certificate or making a report if the person is a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that must be decided, therefore, are these: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medical certificate and statement made by Dr. Ruddiman comply with the requirements of s. 22 of the Act?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Ruddiman provide the certificate in good faith and with reasonable care?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medical certificate and statement made by Dr. McIntyre comply with the requirements of s. 22 of the Act?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McIntyre provide the certificate in good faith and with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Franks applies for summary trial and judgment pursuant to Rule 18A. Extensive cross-examination was permitted of the parties and expert witnesses, and I am satisfied that I can find the facts necessary to decide the issues and that it would not be unjust for me to do so. While Mr. Franks represented himself throughout, he did so in an effective way and I am satisfied that the fairness of the trial was not impaired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certificate of Dr. Ruddiman dated March 13th is in Form 4 under the Act and sets out that he examined Mr. Franks on March 6, 2000, and is of the opinion that Mr. Franks is a person with a mental disorder that requires treatment and impairs his ability to react appropriately to his environment or associate with others and requires treatment through a designated facility to prevent physical or mental deterioration or for his protection or the protection of others. Dr. Ruddiman sets out the reasons for that opinion in a summary way and says this: 56 year old male with apparent schizo-affective disorder. No documented/confirmed psychiatrist (sic) assessment. Threatening demeanor at recent referral to para-medical facility (physiotherapy). Refuses voluntary referral to psychiatrist. Uttered direct threat to family physician/family at most recent exam (6/3/2000) if you refer me to a psychiatrist you and your family will never hear the end of this. Copies of documents submitted by patient to this office/physiotherapy office enclosed. ? past stalking of Penticton dentist Dr. J... The documents attached consisted of a letter from the physiotherapist of January 27, 2000, declining to provide future treatment because of false accusations and a letter from Mr. Franks to the physiotherapist dated January 27, 2000, describing the physiotherapists apoplectic incoherent rage and expressing the opinion that anger is a death wish towards the person at whom it is directed. Dr. Ruddiman also sets out his opinion that Mr. Franks cannot suitably be admitted as a voluntary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March 13, 2000, Mr. Franks was apprehended by the police and advised of his rights, including his right to a hearing before a review panel and his right to apply for a writ of habeas corpus. He was then taken to the Penticton Regional Hospital, where he was seen by Dr. McIntyre. In his evidence, Dr. McIntyre said that originally Dr. Ruddiman had contacted him by telephone on March 9th concerning committal procedures under the Mental Health Act. During that discussion, Dr. McIntyre said that Dr. Ruddiman told him he had formed the opinion that Mr. Franks suffered a schizo-affective disorder and had reported him to the office attendance of March 6, 2000, and of Mr. Franks threat to Dr. Ruddiman and his family. In his evidence, Dr. McIntyre said that he first saw Mr. Franks at the Penticton Regional Hospital on March 13th and that he saw him again on March 14th, following which he signed the second committal certificate under the Mental Health Act. His consultation report of March 14, 2000, is extensive and detailed. He noted that Mr. Franks was oriented, that his memory and recall were good, and that his affect was within the normal range. He also noted that, while Mr. Franks appeared to be guarded, he displayed no obsessive-compulsive behaviour during the examinations. He did, however, find that Mr. Franks displayed a degree of paranoia, coupled with indications of magical thinking, telepathy and pseudo-philosophical thinking, and his personality exhibited an obsessive-compulsive, schizo-typal flavour. In the medical certificate that Dr. McIntyre signed, he noted the threatening behaviour towards the female dentist and towards Dr. Ruddiman and his family, and he expressed the opinion that Mr. Franks suffered from a mental disorder and stated that he required treatment, care and supervision in a designated facility and could not suitably be admitted as a voluntary patient. He also set out that the female dentist and Dr. Ruddiman needed protection from Mr. Franks and that Mr. Franks needed protection from himself in the context of his expression of suicidal thoughts and his attempted suicide when he was a younger person. Employing the diagnostic and statistical manual (DSM IV), Dr. McIntyre set out his diagnosis in his consultation report of March 14,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 Paranoid schizophrenia.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II Principal diagnosis a mixed personality disorder, obsessive-compulsive.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III ? back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IV [several legal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V General assessment of function on admission 45, currently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Mr. Franks affidavit, he sets out the substance of discussion in the form of a transcript, although he acknowledges that the discussions were not recorded and the transcripts are not a verbatim record of the discussions. Setting them out as he does in this form, they have the appearance of a dialogue. Nevertheless, the form that Mr. Franks adopts clearly sets out the flavour of the interview as it is recalled by Mr. Franks. For Example, Mr. Franks deposes (plaintiff's Affidavit No. 7 at paras. 71 and 72, and plaintiff's Affidavit No. 18, Exhibit C, at para. 23) that Dr. McIntyre indicated he wanted him to begin a course of medication with Risperidal to which Mr. Franks replied, Youre killing me: no exercise, forced medication. You have a death wish towards me. Later in that same interview, Mr. Franks deposes that Dr. McIntyre told him that he recommended a CT scan but that he could refuse such a test if he wanted. Mr. Franks then said, Then I refuse the brain scan. I refuse everything I can: I want nothing to do with psychiatry (plaintiff's Affidavit No. 7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What Dr. McIntyre referred to as pseudophilosophical discussions may be seen in the Dr. McIntyres Affidavit No. 1, Exhibit B, at p. 58, where he deposes to telling Dr. McIntyre: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anger as an expression of the death wish, the death instinct which if uncorrected by right thinking results in suicidal/homicidal thoughts. In W.R. Bions New Freudian Modeling work activity is in continual tension with basic assumption activity. Basic assumption activity is unconscious psychotic process. What saves us from psychotic-suicidal chaos is work activity. Given my theoretical orientation, my references to psychosis and suicide seem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theme was referred to later in the plaintiff's Affidavit No. 7, where he deposed that Dr. McIntyre said, You're obsessed with [the female dentist] and your obsession is the result of a thought disorder. To which Mr. Franks deposes he responded, I work therefore my thoughts are ordered. During his involuntary detention in the Penticton Regional Hospital, Mr. Franks described his resistance to the anti-psychotic medication prescribed for him. He referred to his belief that accepting such medication would destroy him and that he believed psycho-active drugs break autonomy, will, self-esteem and produce a schizophrenic-like volition and disorganization (plaintiff's Affidavit No. 7 at para. 79). Mr. Franks expressed his willingness to the doctors and nurses to accept oral medication (as an alternative to injections) but, in each case, he did not swallow the pill and, when the opportunity arose, disposed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14th, Mr. Franks told Dr. McIntyre that he wished to be examined by a second psychiatrist, and to that end he was seen by Dr. Bill Thom. Dr. Thom, after a two-hour interview on March 20, 2000, noted similar traits to those identified by Dr. McIntyre and concluded that certification for the purposes of a thorough diagnostic assessment and risk assessment was appropriate in the circumstances and that, in his opinion, Mr. Franks suffered a schizophreniform spectrum disorder that was most consistent with a schizo-typal personality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McIntyre referred Mr. Franks to a psychologist to administer and interpret psychology tests. He was seen Dr. Barry Morrison, who administered the MMPI (revised) and interpreted the test results as consistent with an Axis I diagnosis of schizophrenia paranoid type and an Axis II diagnosis of schizo-typal personality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Franks also requested a review of his detention by a medical review panel in accordance with the rights that were related to him upon his admission and s. 28 of the Mental Health Act. That was initially scheduled for March 27th, and Dr. McIntyre prepared a progress report on March 20th for the medical review panel. In the progress report, Dr. McIntyre set out his opinion that Mr. Franks suffered from a mixed personality disorder: an obsessive/compulsive schizo-typal personality disorder with an underlying schizophrenic illness process that impaired Mr. Franks ability to act appropriately to his environment. Dr. McIntyre referred to Mr. Franks inappropriate and threatening behaviour towards the female dentist and towards Dr. Ruddiman and his family. Dr. McIntyre confirmed that, in his opinion, Mr. Franks required care, supervision and control through a designated facility in order to prevent his substantial mental or physical deterioration and for the protection of others. He also expressed the opinion that Mr. Franks was not suitable as a voluntary patient, as he had no insight into his condition nor did he believe that he suffered from a serious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During Mr. Franks detention in Penticton Regional Hospital, Dr. McIntyre took a holiday until April 1, 2000, and Mr. Franks was seen by Dr. Breddencamp in his absence. Dr. Breddencamp noted, as a result of his interview with Mr. Franks on March 22nd, that he seemed preoccupied with pseudo-philosophical research to the exclusion of a more adaptive lifestyle but that he was unable to find any clear evidence of any active psychosis. He did, however, express the opinion that he continued to suffer from schizolea, which he defined as a chronic state of low-grade dysfunction as a result of the impairment of thought process. He also expressed the opinion that Mr. Franks was at risk of developing a more serious psychiatric disorder. Dr. Breddencamp deposed that, in his opinion, Mr. Franks met the criteria for committal under the Mental Health Act because his behaviour within the community was suggestive of psychiatric illness, and both he and the community required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Franks was also seen by another psychiatrist, Dr. Cooper, on March 28 and 31, 2000, during Dr. McIntyre's holiday. Dr. Cooper reviewed the hospital charts and noted the detailed basis for a diagnosis of schizophrenia and satisfied himself that the medication prescribed for the treatment of Mr. Franks was appropriate. He deposed to forming the opinion that the recorded diagnosis and treatment were consistent with a reasonable standard of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McIntyre returned from holiday in early April and on April 3rd, he reviewed the charts concerning Mr. Franks and interviewed him as well. Dr. McIntyre said that he was satisfied that Mr. Franks had made progress, that he was more settled and co-operative following the increased dosage of medication, and that it was appropriate that he be decertified and released by way of transfer to a voluntary facility called Braemore Lodge. He was aware, upon decertifying Mr. Franks on April 6th, that Mr. Franks did not have a place of residence to which he could return and that, as a voluntary patient at Braemore Lodge, that could be addressed. In part, Dr. McIntyre relied upon an undertaking given in writing by Mr. Franks on April 5th that he would not have any further contact with the female dentist, nor attend at her place of work or in the vicinity of her residence. In the result, Mr. Franks was discharged from involuntary detention on April 6th and entered into voluntary care at Braemore Lodge where he remained until April 22, 2000. During this time, he was seen by Dr. McIntyre; however following his discharge, he had not seen a doctor for any health concerns, including mental health concerns, other than an independent medical examination conducted by a psychiatrist, Dr. Vallance, and a further examination conducted by a former psychiatrist, Dr. Anderson, at the request of Mr. Franks. Dr. Vallance expressed the opinion that Mr. Franks has a schizo-typal personality disorder which extends beyond Mr. Franks being simply socially withdrawn and private, and he concurs that certification for the purpose of thorough diagnostic observation, assessment and treatment was appropriate. Dr. Vallance also expressed the opinion that the standard of care given by Dr. McIntyre was entirely appropriate to the underlying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Dr. Ruddiman, provided evidence of the standard of care from Dr. Donaldson, who expressed the opinion that it was medically justifiable for Dr. Ruddiman to give the certificate under the Mental Health Act for the involuntary detention of Mr. Franks, on the basis of the concerns with respect to the female dentist and the threat to Dr. Ruddiman and to his family, and that it was also entirely appropriate for him to obtain the opinion of Dr. McIntyre.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constitutional validity of the involuntary detention provisions of the Mental Health Act was considered by this court in McCorkell v. Riverview Hospital (Director) </w:t>
      </w:r>
      <w:hyperlink r:id="rId269" w:history="1">
        <w:r>
          <w:rPr>
            <w:rFonts w:ascii="arial" w:eastAsia="arial" w:hAnsi="arial" w:cs="arial"/>
            <w:i/>
            <w:color w:val="0077CC"/>
            <w:sz w:val="20"/>
            <w:u w:val="single"/>
            <w:shd w:val="clear" w:color="auto" w:fill="FFFFFF"/>
            <w:lang w:val="en-US" w:eastAsia="en-US" w:bidi="ar-SA"/>
          </w:rPr>
          <w:t>(1993), 81 B.C.L.R. (2d) 273</w:t>
        </w:r>
      </w:hyperlink>
      <w:r>
        <w:rPr>
          <w:rFonts w:ascii="arial" w:eastAsia="arial" w:hAnsi="arial" w:cs="arial"/>
          <w:color w:val="000000"/>
          <w:sz w:val="20"/>
          <w:lang w:val="en-US" w:eastAsia="en-US" w:bidi="ar-SA"/>
        </w:rPr>
        <w:t>. There, it was held that these provisions were remedial in nature and punitive, and that the language employed by the legislature struck a reasonable balance between the rights of an individual to be free from restraint and societys obligation to help and protect the mentally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question but that Mr. Franks was detained against his will for a little less than one month and that, unless that detention can be justified under the Act, it constitutes the tort of false imprisonment. On all of the evidence, I am satisfied that Dr. Ruddiman was becoming increasingly concerned that Mr. Franks suffered from a mental disorder and would benefit from assessment and, if appropriate, treatment from a psychiatrist. I do not accept that the precipitating event leading to the certification under s. 22 of the Act was Mr. Franks insistence and Dr. Ruddimans refusal to assist him in his personal injury claim. Having regard to the nature of the injuries sustained by Mr. Franks, it would have been apparent to Dr. Ruddiman that such a claim was likely. Over the preceding 14 months, Dr. Ruddiman had demonstrated very significant efforts in assisting Mr. Franks in fully recovering from his injuries. While his clinical notes only refer to a mental disorder schizoaffective disorder - on one occasion on December 1, 1999, that provides some evidence of his growing concern. I am also satisfied that it was on the initiative of Dr. Ruddiman that Mr. Franks attended at his office on March 6, 2000, and that it was Dr. Ruddiman's purpose to discuss with Mr. Franks the involvement of a psychiatrist. I reach this conclusion because it was then known to Dr. Ruddiman that the female dentist was concerned about the unwelcome attention Mr. Franks was paying towards her; Dr. Ruddiman was also aware of the discomfort expressed by the physiotherapist of what was described as Mr. Franks inappropriate behaviour. I find, therefore, when Mr. Franks refused to accept a referral to a psychiatrist, that Dr. Ruddiman then considered whether it would be appropriate to involuntarily commit Mr. Franks for the purposes of assessment and whether, if he did so, he could continue to act as Mr. Franks physician. I find that Dr. Ruddiman consulted Dr. McIntyre in respect of these issues before providing the certificate and that it was reasonable for him to do so. In the result, I find that Dr. Ruddiman believed, and it was reasonable to believe, that Mr. Franks suffered from a mental disorder which required treatment in a designated facility and that voluntary admission was not likely. I also find that Dr. Ruddiman believed, and on the facts known to him, that it was reasonable to believe, that others were in need of protection from Mr. Franks and that Mr. Franks was, himself, in need of protection having regard to the perceived risk by Dr. Ruddiman of his suicide. Similarly, with respect to Dr. McIntyre, I find that he believed, and it was reasonable for him to believe, that Mr. Franks suffered from a mental disorder that required treatment in a designated facility and that he was not a candidate for voluntary admission. I also find that Dr. McIntyre believed, and it was reasonable for him to believe, that Mr. Franks was in need of protection and that others were in need of protection from Mr. Franks.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important for me to say that I found Mr. Franks to be courteous, forthright and entirely appropriate throughout these protracted proceedings. I have no doubt that he did not consider his conduct on March 6, 2000, as threatening, nor did he consider his feeling of friendship for the female dentist as inappropriate. He does think of himself as a thinking person who, in a society and culture often constrained by convention and orthodoxy, is comfortable marching to the tune of a different drummer. Similarly, his interest in psychology is an intellectual one, as is his interest in debating his own opinions based upon his investigations with others. Much of the material filed in this summary trial was directed to the questions of what a mental disorder was and whether or not Mr. Franks, in fact, suffered from a mental disorder, when the core issue to be decided was whether the certificates and committal were justified in law by the reasonable and honest medical opinion of the doctors and that those fell within the criteria prescribed by s. 22 of the Mental Health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While I have found that the defendants complied with s. 22 of the Act and accordingly that the involuntary detention of Mr. Franks was justified, in the event that I am wrong in this opinion, then I am satisfied that each of Drs. Ruddiman and McIntyre acted with reasonable care and in good faith towards Mr. Franks and thus are entitled to the defence afforded by s. 16 of the Act. Here, I rely upon the opinions of Dr. Vallance and Dr. Donaldson on the standard of care in British Columbia for a psychiatrist and a general practitioner in considering certification of a patient for involuntary admission to a designated facility under s. 22 of the Act. While I agree with the opinion expressed by Dr. Anderson that eccentricity is not synonymous with mental disorder, I do not agree that it was unreasonable for Dr. McIntyre to make a provisional diagnosis of paranoid schizophrenia and a mixed personality disorder with schizo-typal and obsessive-compulsive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for Mr. Franks to prove an absence of good faith; and upon all of the evidence, I find that he has not done so. Had I been convinced that Dr. Ruddimans purpose in giving the certificate under s. 22 was to avoid being drawn into Mr. Franks personal injury litigation, then I would have found such a collateral and unauthorized purpose to be an absence of good faith. For the reasons given, I can make no such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result the plaintiff's claim against the defendants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8"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Griffith v. British Columbia (Crown Counsel), [2000] B.C.J. No. 2783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S054406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2783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177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Spencer Griffith, plaintiff, and Crown Counsel, Andrew Baldwin and Samantha Hume McArthur,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9"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6"/>
      <w:bookmarkEnd w:id="112"/>
      <w:r>
        <w:rPr>
          <w:rFonts w:ascii="arial" w:eastAsia="arial" w:hAnsi="arial" w:cs="arial"/>
          <w:b/>
          <w:color w:val="000000"/>
          <w:sz w:val="20"/>
          <w:lang w:val="en-US" w:eastAsia="en-US" w:bidi="ar-SA"/>
        </w:rPr>
        <w:t xml:space="preserve">Practice — Judgments and orders — Summary judgments — To dismiss action — Crown — Torts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Negligent prosecution.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3"/>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Baldwin and MacArthur, for summary judgment dismissing the action by Griffith. Griffith brought an action against the defendants, Crown counsel, for compensation for harassment and negligent prosecution. Griffith attempted to run Letnick down and tried to hit her vehicle. The RCMP prepared a report to Crown counsel recommending that Griffith be charged with dangerous driving. Baldwin approved the charges. After meeting with Griffith, Baldwin approved charges against Letnick as well. The charges were tried and both Griffith and Letnick were placed on peace bonds for a year. Crown counsel stayed the dangerous driving charge. The RCMP advised Baldwin that Griffith had been videotaped raking debris onto Letnick's lawn. Baldwin approved a charge of breach of recognizance. Griffith was convicted. That conviction was subsequently overturned on appeal. Griffith complained about Letnick having breached the terms of her recognizance. The police investigated but did not recommend that charges be laid. Further charges were laid against Griffith in the following two years. He was convicted of some of them and some of the convictions were overturned on appeal. Griffith alleged that Baldwin and MacArthur initiated charges against him solely on the basis of non-credible witnesses. He argued that they breached their duty of care to him by failing to investigate further and by treating him differently than Letnick.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3"/>
            <w:bookmarkEnd w:id="114"/>
            <w:r>
              <w:rPr>
                <w:rFonts w:ascii="arial" w:eastAsia="arial" w:hAnsi="arial" w:cs="arial"/>
                <w:color w:val="000000"/>
                <w:sz w:val="20"/>
                <w:lang w:val="en-US" w:eastAsia="en-US" w:bidi="ar-SA"/>
              </w:rPr>
              <w:t>HELD: Action dismissed against all of the defendants.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chance that Griffith could succeed in his action. A summary resolution of the matter at this stage was the appropriate and just resolution.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Legislation Cited_15"/>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0"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Crown Counsel Act, </w:t>
      </w:r>
      <w:hyperlink r:id="rId277" w:history="1">
        <w:r>
          <w:rPr>
            <w:rFonts w:ascii="arial" w:eastAsia="arial" w:hAnsi="arial" w:cs="arial"/>
            <w:i/>
            <w:color w:val="0077CC"/>
            <w:sz w:val="20"/>
            <w:u w:val="single"/>
            <w:shd w:val="clear" w:color="auto" w:fill="FFFFFF"/>
            <w:lang w:val="en-US" w:eastAsia="en-US" w:bidi="ar-SA"/>
          </w:rPr>
          <w:t>R.S.B.C. 1996, c. 87, s.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Proceedings Act, </w:t>
      </w:r>
      <w:hyperlink r:id="rId278" w:history="1">
        <w:r>
          <w:rPr>
            <w:rFonts w:ascii="arial" w:eastAsia="arial" w:hAnsi="arial" w:cs="arial"/>
            <w:i/>
            <w:color w:val="0077CC"/>
            <w:sz w:val="20"/>
            <w:u w:val="single"/>
            <w:shd w:val="clear" w:color="auto" w:fill="FFFFFF"/>
            <w:lang w:val="en-US" w:eastAsia="en-US" w:bidi="ar-SA"/>
          </w:rPr>
          <w:t>R.S.B.C. 1996, c. 89, ss. 2</w:t>
        </w:r>
      </w:hyperlink>
      <w:r>
        <w:rPr>
          <w:rFonts w:ascii="arial" w:eastAsia="arial" w:hAnsi="arial" w:cs="arial"/>
          <w:color w:val="000000"/>
          <w:sz w:val="20"/>
          <w:lang w:val="en-US" w:eastAsia="en-US" w:bidi="ar-SA"/>
        </w:rPr>
        <w:t>,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6" w:name="Counsel_16"/>
      <w:bookmarkEnd w:id="1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1"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person. Leonard T. Doust, Q.C.,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16"/>
      <w:bookmarkEnd w:id="117"/>
      <w:r>
        <w:pict>
          <v:line id="_x0000_s1112" style="position:absolute;z-index:2518292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ALLAN J."/>
            <w:bookmarkEnd w:id="118"/>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Since July 1995, the plaintiff, Spencer Griffith ("Griffith") and his neighbour Marie Claire Letnick ("Letnick"), have made dozens of complaints against one another to the R.C.M.P. Those complaints include allegations of noise, vandalism of property, dangerous driving, threats, flooding of property, etc. As a result of those complaints, members of the R.C.M.P. have, from time to time, prepared a number of reports to Crown counsel recommending that certain criminal charges be laid. A number of Crown counsel in Maple Ridge, including the defendants Andrew Baldwin ("Baldwin") and Samantha MacArthur ("MacArthur"), have approved charges against Griffith.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June 1999, Griffith commenced a lawsuit against Baldwin, MacArthur, and "Crown Counsel" seeking compensation for harassment and their negligent or malicious prosecution of him rather than Letnick. On this application, the defendants seek to have the action against them dismissed pursuant to Rules 18, 18A or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March 1996, the R.C.M.P. prepared a report to Crown counsel recommending that Griffith be charged with dangerous driving (relating to Letnick's complaints that he tried to run her down and attempted to hit her vehicle) and that he be placed on a peace bond under s. 810 of the Criminal Code (the "Code"). Baldwin approved those charges. In April, Griffith met with Baldwin and, after considering Griffith's allegations, Baldwin approved charges against Letnick as well, under s. 810 of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8, 1996, the charges were tried in Provincial Court before Judge Antifaev who placed both Griffith and Letnick on peace bonds for a year. Crown counsel stayed the dangerous driving charge. Neither Baldwin, nor MacArthur appeared as the Crown counsel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October 1996, the R.C.M.P. advised Baldwin that Griffith had been videotaped raking debris onto Letnick's lawn in violation of his peace bond. Baldwin approved a charge of breach of recognizance contrary to s. 811 of the Code. Following a trial in March and April 1997, Judge Antifaev convicted Griffith. At the sentencing proceedings on April 29, 1997, MacArthur appeared as Crown counsel. That conviction was subsequently overturned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May 1997, Baldwin received a report from the R.C.M.P. relating to Griffith's complaints that Letnick was breaching the terms of her recognizance. The police, who apparently believed that many of the incidents were instigated by Griffith, did not recommend that charges be laid against Letnick. No charges were laid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July 1997, MacArthur approved charges of uttering threats, mischief, and breach of probation against Griffith. Those charges were based on an R.C.M.P. report that Griffith, in the course of making a complaint that Letnick was throwing sticks at his children, threatened to kill Letnick. Upon his arrest, Griffith damaged the speakers in the police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report from the R.C.M.P. to Crown counsel recommended that Griffith be remanded for a psychiatric assessment. MacArthur, who appeared at Griffith's bail hearing, sought an order that he be remanded in custody for five days for a psychiatric assessment. That order was granted, and subsequently extended for a further week at MacArthur's request. A psychiatric report concluded that Griffith was fit to stand trial and that he was not suffering from a mental disorder that would preclude conviction. Griffith was released on conditions, including that he not attend within a block of Letnick's home. The effect of that condition was to prevent him from returning home to his family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police had also investigated Griffith's allegations that Letnick was throwing sticks at his children but no charges were laid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Griffith's trial in November 1997, Judge Diebolt convicted him of the mischief charge but acquitted him of the three counts of uttering threats. The Crown stayed the breach of probation charge. Neither Baldwin nor MacArthur acted as Crown counsel in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Griffith's appeal from his conviction for mischief was dismissed and a further application for leave to appeal was denied. The Court of Appeal allowed his appeal from sentence to the extent of setting aside the term of his probation order which forbade him from being within a block of Letnick's house (and, in effect, his own home). The Court of Appeal replaced that term with a condition that Griffith seek counseling for anger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4, 1997, the day after he was convicted of mischief, Griffith was arrested as a result of allegations that he had harassed and threatened an R.C.M.P. officer, driven dangerously, and failed to stop for police. On the basis of the information in the R.C.M.P. report to Crown counsel, Baldwin approved the charges and MacArthur sought and obtained an order for his detention until the conclusion of his trial. That trial concluded on December 16, 1997. At that time, Judge Clare convicted Griffith of the threatening charge but acquitted him of the remaining counts. Griffith's appeal from his conviction for threatening was dismissed and a further application for leave to appeal denied. Neither Baldwin nor MacArthur was involved in the trial or appeal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he was sentenced, Griffith was released but he allegedly failed to report to his probation officer as directed; as a result, Crown counsel approved a charge of breach of probation. He was arrested in June 1998 and held in custody over the weekend before his release. The Crown ultimately stayed that charge in January 1999, because the investigating officer failed to attend the trial. Neither Baldwin nor MacArthur were involved in approving or prosecuting that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May 1999, Griffith was charged with five further counts of mischief arising from Letnick's allegations that he let his garden hose run and flooded her property. Griffith was acquitted of those charges by Warren P.C.J. in the summer of 2000. Neither Baldwin nor MacArthur were involved in approving or prosecuting those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Griffith laid two private informations against Letnick in 1996 and 1997. Baldwin quashed both of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essence, Griffith alleges malicious prosecution by Baldwin and MacArthur who, he says, initiated the charges against him solely on the basis of non-credible witnesses. He says that 18 out of 20 of the charges terminated in his favour either at trial or on appeal. He maintains that there was no reasonable cause or chance of success on any of the charges because they were based on a lack of investigation and evidence and on the testimony of biased witnesses. He also alleges an improper purpose on the part of the Crown. In his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primary purpose for Crown to lay these charges was not for the purpose of carrying the law into effect but as a personal agenda by the people in that office in cooroboration [sic] with the R.C.M.P. to cause me great inconvenience and personal, professional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Finally, Griffith alleges that the defendants were negligent in that they breached their duty of care to him by failing to make further investigations and by treating him differently than Letnick: they proceeded on her allegations against him but not on his allegations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names "Crown Counsel" as a separate defendant. Griffith explained that he considered other members of the Crown counsel office in Maple Ridge to be biased and tainted as a result of the actions and omissions of Baldwin and MacArthur.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asserts that the defendants are liable under s. 2 of the Crown Proceedings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is subject to all the liabilities to which it would be liable if it were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3 of that Act protects employees of the government:</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section 2 does any of the following: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authorizes proceedings against the government for anything done or omitted to be done by a person acting in good faith while discharging or purporting to discharge responsibilities</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of a judicial nature vested in the person, or</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person has in connection with the execution of judicial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Since Nelles v. Ontario </w:t>
      </w:r>
      <w:hyperlink r:id="rId279" w:history="1">
        <w:r>
          <w:rPr>
            <w:rFonts w:ascii="arial" w:eastAsia="arial" w:hAnsi="arial" w:cs="arial"/>
            <w:i/>
            <w:color w:val="0077CC"/>
            <w:sz w:val="20"/>
            <w:u w:val="single"/>
            <w:shd w:val="clear" w:color="auto" w:fill="FFFFFF"/>
            <w:lang w:val="en-US" w:eastAsia="en-US" w:bidi="ar-SA"/>
          </w:rPr>
          <w:t>(1989), 60 D.L.R. (4th) 609</w:t>
        </w:r>
      </w:hyperlink>
      <w:r>
        <w:rPr>
          <w:rFonts w:ascii="arial" w:eastAsia="arial" w:hAnsi="arial" w:cs="arial"/>
          <w:color w:val="000000"/>
          <w:sz w:val="20"/>
          <w:lang w:val="en-US" w:eastAsia="en-US" w:bidi="ar-SA"/>
        </w:rPr>
        <w:t xml:space="preserve"> (S.C.C.), it is settled law that absolute immunity for Crown counsel is not justified in the interests of public policy. A private citizen may seek a remedy if a prosecutor acts maliciously in fraud of his or her duties with the result that he or she causes damage to the victim. However, it is also essential that Crown counsel not be hindered in the proper execution of their important public duties. Accordingly, it is inherently difficult to prove a case of malicious prosecution and claims that are clearly without merit should be disposed of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Lamer J. for the majority of the Court stated, at p. 639, that a Crown counsel may only be found liable for the tort of malicious prosecution when four elements are established: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been initiated by the defendant;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terminated in favour of the plaintiff;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reasonable and probable cause;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Lamer J. noted, at p. 639, that reasonable and probable cause was defined in Hicks v. Faulkner (1881), 8 Q.B.D. 167 at p. 171: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honest belief in the guilt of the accused based upon a full conviction, founded on reasonable grounds, of the existence of a state of circumstances, which, assuming them to be true, would reasonably lead any ordinarily prudent and cautious man, placed in the position of the accuser, to the conclusion that the person charged was probably guilty of the crime imputed.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required element of malice is the equivalent of "improper purpose" (Nelles at p. 639).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most, but not all, of the criminal charges against Griffith were initiated by one of the defendants and Griffith was acquitted of most, but not all, of the charges, either at trial or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must satisfy all four elements of the test for malicious prosecution. With respect to the criminal charges that were laid by Baldwin or MacArthur and terminated in Griffith's favour, Griffith must still prove both the absence of reasonable and probable grounds in prosecuting the charges and malice in that the defendants improperly used their office as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case, the police reports from the R.C.M.P. and the recommendations therein provided the defendants with sufficient "reasonable and probable cause" to lay charges against Griffith.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there is absolutely no evidence of malice "or a primary purpose other than carrying the law into effect"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onus on a plaintiff to establish malicious prosecution (or a malicious failure not to prosecute) is extremely high. As Lamer J. stated in Nelles, the plaintiff must show that a Crown counsel "perpetrated a fraud on the process of criminal justice and in doing so has perverted or abused his office and process of criminal justice." He added, at p. 642: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burden on the plaintiff is onerous and strict. The fact that the absence of reasonable cause is a matter of law to be decided by a judge means that an action for malicious prosecution can be struck before trial as a matter of substantive inadequacy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4 of the Crown Counsel Act, </w:t>
      </w:r>
      <w:r>
        <w:rPr>
          <w:rFonts w:ascii="arial" w:eastAsia="arial" w:hAnsi="arial" w:cs="arial"/>
          <w:i/>
          <w:color w:val="000000"/>
          <w:sz w:val="20"/>
          <w:lang w:val="en-US" w:eastAsia="en-US" w:bidi="ar-SA"/>
        </w:rPr>
        <w:t>R.S.B.C. 1996, c. 87</w:t>
      </w:r>
      <w:r>
        <w:rPr>
          <w:rFonts w:ascii="arial" w:eastAsia="arial" w:hAnsi="arial" w:cs="arial"/>
          <w:color w:val="000000"/>
          <w:sz w:val="20"/>
          <w:lang w:val="en-US" w:eastAsia="en-US" w:bidi="ar-SA"/>
        </w:rPr>
        <w:t>, grants a broad discretion to Crown counsel with respect to the laying of charges: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directions of the [Assistant Deputy Attorney General, Criminal Justice Branch] ... each Crown counsel is authorized to</w:t>
      </w:r>
    </w:p>
    <w:p>
      <w:pPr>
        <w:numPr>
          <w:numId w:val="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examine all relevant information and documents and, following the examination, to approve for prosecution any offence or offences that he or she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fact, the charge approval standard procedure is stricter than s. 4 suggests. There must be a substantial likelihood of conviction and the prosecution of the charges must be in the public interest and for no other reason. Both Baldwin and MacArthur have deposed that they met that standard on each occasion and there is not a scintilla of evidence to the contrary. They have also deposed that the statements they made in their submissions in Court proceedings were true. In the absence of proof of improper motive, the Courts will grant deference to Crown counsel's exercise of prosecutorial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Griffith also complains that the defendants negligently or maliciously failed to prosecute Letnick, despite his repeated complaints to the R.C.M.P. Again, the law is clear. The decision of a Crown counsel not to prosecute is not reviewable "in the absence of clear and unmistakable evidence of an abuse of the powers and privileges of that office" amounting to "flagrant impropriety": R. v. Reed, </w:t>
      </w:r>
      <w:hyperlink r:id="rId280" w:history="1">
        <w:r>
          <w:rPr>
            <w:rFonts w:ascii="arial" w:eastAsia="arial" w:hAnsi="arial" w:cs="arial"/>
            <w:i/>
            <w:color w:val="0077CC"/>
            <w:sz w:val="20"/>
            <w:u w:val="single"/>
            <w:shd w:val="clear" w:color="auto" w:fill="FFFFFF"/>
            <w:lang w:val="en-US" w:eastAsia="en-US" w:bidi="ar-SA"/>
          </w:rPr>
          <w:t>[1995] B.C.J. No. 2042</w:t>
        </w:r>
      </w:hyperlink>
      <w:r>
        <w:rPr>
          <w:rFonts w:ascii="arial" w:eastAsia="arial" w:hAnsi="arial" w:cs="arial"/>
          <w:color w:val="000000"/>
          <w:sz w:val="20"/>
          <w:lang w:val="en-US" w:eastAsia="en-US" w:bidi="ar-SA"/>
        </w:rPr>
        <w:t xml:space="preserve"> (C.A.) leave to appeal to S.C.C. dismissed </w:t>
      </w:r>
      <w:hyperlink r:id="rId281" w:history="1">
        <w:r>
          <w:rPr>
            <w:rFonts w:ascii="arial" w:eastAsia="arial" w:hAnsi="arial" w:cs="arial"/>
            <w:i/>
            <w:color w:val="0077CC"/>
            <w:sz w:val="20"/>
            <w:u w:val="single"/>
            <w:shd w:val="clear" w:color="auto" w:fill="FFFFFF"/>
            <w:lang w:val="en-US" w:eastAsia="en-US" w:bidi="ar-SA"/>
          </w:rPr>
          <w:t>[1995] S.C.C.A. No. 479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Baldwin and MacArthur invoke Rules 19(24), 18(6) and 18A. In my opinion, the application under Rule 18A is sufficient to dispose of the issues. The material sets out all of the facts necessary to decide the issues of fact and law. Griffith's assertion that there are credibility issues essentially reiterates his position that his accusations against Letnick have merit, unlike hers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basis of the relevant legal principles, there is no chance that Griffith's claims against Baldwin or MacArthur could succeed. There is no evidence to support the plaintiff's claims of malicious prosecution (and by extension, "negligent prosecution") or a failure to prosecute.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there is no evidence to support Griffith's claims against any person acting as Crown counsel even if the "Crown" had been properly named as a defendant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Griffith's claims against all of the defendants must fail. There is no chance that the plaintiff can succeed in his action and a summary resolution of the matter at this stage is the appropriate and just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3"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Halabus v. Taekema, [2007] B.C.J. No. 141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Macaulay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9,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26, 2007.</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03/4724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141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113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155 A.C.W.S. (3d) 799</w:t>
      </w:r>
    </w:p>
    <w:p>
      <w:pPr>
        <w:spacing w:before="120" w:line="260" w:lineRule="atLeast"/>
        <w:rPr>
          <w:lang w:val="en-US" w:eastAsia="en-US" w:bidi="ar-SA"/>
        </w:rPr>
      </w:pPr>
      <w:r>
        <w:rPr>
          <w:rFonts w:ascii="arial" w:eastAsia="arial" w:hAnsi="arial" w:cs="arial"/>
          <w:color w:val="000000"/>
          <w:sz w:val="20"/>
          <w:lang w:val="en-US" w:eastAsia="en-US" w:bidi="ar-SA"/>
        </w:rPr>
        <w:t>Between Robert Halabus, Plaintiff, and Jordan Richard Taekema,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4" style="position:absolute;z-index:2516766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9" w:name="Keywords_17"/>
      <w:bookmarkEnd w:id="119"/>
      <w:r>
        <w:rPr>
          <w:rFonts w:ascii="arial" w:eastAsia="arial" w:hAnsi="arial" w:cs="arial"/>
          <w:b/>
          <w:color w:val="000000"/>
          <w:sz w:val="20"/>
          <w:lang w:val="en-US" w:eastAsia="en-US" w:bidi="ar-SA"/>
        </w:rPr>
        <w:t>Civil procedure — Discovery — Examination for discovery — Failure to attend — Order to reattend — The plaintiff was directed to attend discovery in this claim for damages arising out of a motor vehicle accident, as the court was not persuaded that the mental health risks associated with compelling the plaintiff to participate in an examination for discovery required that the defendant's right to an examination for discovery give way.</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The plaintiff was directed to attend discovery in this claim for damages arising out of a motor vehicle accident, as the court was not persuaded that the mental health risks associated with compelling the plaintiff to participate in an examination for discovery required that the defendant's right to an examination for discovery give way.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0" w:name="Case Summary_14"/>
            <w:bookmarkEnd w:id="12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who claimed damages attributable to a motor vehicle accident, refused to attend examination for discovery on the grounds that the process would cause him psychological harm -- He was suffering from post-traumatic stress disorder, depression and cognitive difficulties -- The defendant applied to dismiss the action based on non-compliance with the Rules -- HELD: The plaintiff was directed to attend discovery -- The court was not persuaded that the mental health risks associated with compelling the plaintiff to participate in an examination for discovery required that the defendant's right to an examination for discovery give way -- Nor did the plaintiff have a lawful excuse for not attending on discovery when required to do so -- There was no evidence that the plaintiff was mentally incompetent -- The plaintiff had the necessary recall and ability to communicate. </w:t>
            </w:r>
            <w:r>
              <w:rPr>
                <w:lang w:val="en-US" w:eastAsia="en-US" w:bidi="ar-SA"/>
              </w:rPr>
              <w:cr/>
            </w:r>
          </w:p>
          <w:p>
            <w:pPr>
              <w:rPr>
                <w:lang w:val="en-US" w:eastAsia="en-US" w:bidi="ar-SA"/>
              </w:rPr>
            </w:pPr>
          </w:p>
        </w:tc>
      </w:tr>
    </w:tbl>
    <w:p>
      <w:pPr>
        <w:jc w:val="both"/>
        <w:rPr>
          <w:lang w:val="en-US" w:eastAsia="en-US" w:bidi="ar-SA"/>
        </w:rPr>
      </w:pPr>
      <w:bookmarkStart w:id="121" w:name="Legislation Cited_16"/>
      <w:bookmarkEnd w:id="12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15" style="position:absolute;z-index:2517278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Supreme Court Rules, Rule 2, Rule 27, Rule 68</w:t>
      </w:r>
      <w:r>
        <w:rPr>
          <w:lang w:val="en-US" w:eastAsia="en-US" w:bidi="ar-SA"/>
        </w:rPr>
        <w:cr/>
      </w:r>
    </w:p>
    <w:p>
      <w:pPr>
        <w:keepNext/>
        <w:spacing w:before="240" w:line="340" w:lineRule="atLeast"/>
        <w:rPr>
          <w:lang w:val="en-US" w:eastAsia="en-US" w:bidi="ar-SA"/>
        </w:rPr>
      </w:pPr>
      <w:bookmarkStart w:id="122" w:name="Counsel_17"/>
      <w:bookmarkEnd w:id="12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6" style="position:absolute;z-index:2517790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 Sweeney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K. Birney</w:t>
      </w:r>
      <w:r>
        <w:rPr>
          <w:lang w:val="en-US" w:eastAsia="en-US" w:bidi="ar-SA"/>
        </w:rPr>
        <w:cr/>
      </w:r>
    </w:p>
    <w:p>
      <w:pPr>
        <w:spacing w:after="240"/>
        <w:rPr>
          <w:lang w:val="en-US" w:eastAsia="en-US" w:bidi="ar-SA"/>
        </w:rPr>
      </w:pPr>
      <w:bookmarkStart w:id="123" w:name="Judgment_17"/>
      <w:bookmarkEnd w:id="123"/>
      <w:r>
        <w:pict>
          <v:line id="_x0000_s1117" style="position:absolute;z-index:2518302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4" w:name="MACAULAY J."/>
            <w:bookmarkEnd w:id="124"/>
            <w:r>
              <w:rPr>
                <w:rFonts w:ascii="arial" w:eastAsia="arial" w:hAnsi="arial" w:cs="arial"/>
                <w:b/>
                <w:color w:val="000000"/>
                <w:sz w:val="30"/>
                <w:lang w:val="en-US" w:eastAsia="en-US" w:bidi="ar-SA"/>
              </w:rPr>
              <w:t>MACAULAY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the conclusion of a Chambers hearing, I ruled on three defence applications with reasons to follow. These are my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damages attributable to a motor vehicle accident but has refused to attend for examination for discovery on the grounds that the process would cause him psychological harm. Under the Supreme Court Rule</w:t>
      </w:r>
      <w:r>
        <w:rPr>
          <w:rFonts w:ascii="arial" w:eastAsia="arial" w:hAnsi="arial" w:cs="arial"/>
          <w:i/>
          <w:color w:val="000000"/>
          <w:sz w:val="20"/>
          <w:lang w:val="en-US" w:eastAsia="en-US" w:bidi="ar-SA"/>
        </w:rPr>
        <w:t>s,</w:t>
      </w:r>
      <w:r>
        <w:rPr>
          <w:rFonts w:ascii="arial" w:eastAsia="arial" w:hAnsi="arial" w:cs="arial"/>
          <w:color w:val="000000"/>
          <w:sz w:val="20"/>
          <w:lang w:val="en-US" w:eastAsia="en-US" w:bidi="ar-SA"/>
        </w:rPr>
        <w:t xml:space="preserve"> the defendant is entitled to a discovery as of right and the party to be examined must attend unless there is a lawful excuse for not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Less than one week before the scheduled trial, the defendant applied for dismissal of the action based on the plaintiff's non-compliance with the Rules. Alternatively, the defendant sought an order that there be a trial of the issue whether the plaintiff is under a legal disability before all other trial issues are dealt with. Finally, the defendant applied for costs in any event of the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dismissed the first application and reserved the alternative application to the trial judge, as necessary. I struck the scheduled trial date and directed the plaintiff to attend for examination for discovery. I further directed that, unless otherwise agreed by counsel or ordered, the plaintiff cannot reset the matter for trial until completion of his examination for discovery. Finally, I reserved the question of costs to the trial judge because he or she will be in a better position to determine the appropriate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short, I am not persuaded on the evidence that the mental health risks associated with compelling the plaintiff to participate in an examination for discovery require that the defendant's right to an examination for discovery give way. Nor do I accept that the plaintiff had a lawful excuse for not attending on discovery when required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27 governs examinations for discovery. A party to an action, other than under Rule 68 which does not apply here, is entitled, as of right, to "examine for discovery any party adverse in interest". See Rule 27(3). So long as the examination is scheduled more than 14 days before the scheduled trial date, leave of the court is not ordinarily required. See Rule 27(1). Leave is required if the party to be examined is a mentally incompetent person. See Rule 27(11).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spite of the defendant's alternative application that there be a trial of the issue whether the plaintiff is competent, I am satisfied that there is no evidence that the plaintiff is mentally incompetent. I accept the statements of counsel for the plaintiff that there is no issue respecting his client's ability to retain and instruct counsel. It flows from this that the defendant is entitled to examine the plaintiff as of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did not attend for a scheduled examination for discovery of which he had proper notice. Counsel for the defendant did not expect him to because plaintiff's counsel had indicated for a lengthy period of time that the plaintiff would not attend. On the face of it, the plaintiff has not complied with his obligation under Rule 27. What are the consequences?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Rule 2 addresses the effect of non-compliance with the rules generally. Rule 2(2) permits the court to make a number of orders, including the order sought that I dismiss the proceeding. See Rule 2(2)(d). Sub-rule (e) permits the court to "make any other order it thinks just" and the directions that I made respecting the discovery and rescheduling the trial fall within that broad discretion.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orders made are, obviously, less onerous for the plaintiff than the order sought would have been if granted. The plaintiff still has every opportunity to continue with his claims so long as he complies with the rules which are designed to achieve fairness for both sides. There is some additional protection available to a plaintiff before any court would grant the unusual remedy of dismissing the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Rule 2(2) addresses the general consequences for non-compliance, Rule 2(5) qualifies the court's discretion to dismiss a proceeding when a plaintiff fails to attend an examination for discovery. The court must consider in such a case whether the plaintiff had a "lawful excuse" for the non-compliance. In practice, even where there is no lawful excuse, orders dismissing the proceeding are rarely granted. I observe, however, that, if the plaintiff does not comply with the directions that I have made, in the absence of a lawful excuse, he is at risk that his proceeding will be dismissed. See Rule 2(6).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Nothing in these reasons should be taken as an indication that I accept that the plaintiff had a lawful excuse for not attending on his examination for discovery to date. I do not consider it necessary to address that issue. I have simply assumed that he was following legal advice that he had a lawful excuse. Whether that advice was right or wrong is of little moment. Only in very rare cases will a dismissal be an appropriate remedy when the plaintiff has not first been specifically directed to comply.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neuro-psychological evidence indicates that the plaintiff is a highly intelligent man who has not suffered any traumatic brain injury. He appears, however, to suffer from post-traumatic stress disorder, depression and cognitive difficulties attributable to the accident. In addition, the plaintiff feels very guilty about the accident, in which other family members were injured, even though he was not at fault. He has undergone some cognitive therapy to date and needs more.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Understandably, these conditions have affected the plaintiff's ability to concentrate and to attend lengthy questioning. His psychologist opined, in a report dated September 12, 2006: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opinion, Rob Halabus is currently not always capable of making decisions pertaining to his litigation or to instruct his lawyers on the matter. His thinking can become very obsessive at times, which makes it difficult for him to regulate his emotions. He then becomes overwhelmed and unable to think. At other times, Rob can report events clearly with accuracy and his thinking including problem-solving abilities as well as ability to carry through actions. In these circumstances, he is also capable of voicing his emotions and experiencing them without his thinking being compromised. The pace at which information is provided to him appears to influence his ability to process it.</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In my opinion, Rob Halabus is not currently capable of attending an Examination for Discovery to answer questions by opposing counsel nor is he capable to attend a trial to give evidence. His ability to think clearly is marginal, especially when under stress. He is highly likely to become emotionally overwhelmed and cognitively confused. He displays mental confusion on a regular basis when in psychotherapy. He is also likely to become obsessed with details. Moreover, he would also likely experience a failure to respond to questions as a blow to his fragile sense of self, which would increases (sic) his depression.</w:t>
      </w:r>
    </w:p>
    <w:p>
      <w:pPr>
        <w:spacing w:before="120" w:line="260" w:lineRule="atLeast"/>
        <w:ind w:left="720"/>
        <w:rPr>
          <w:lang w:val="en-US" w:eastAsia="en-US" w:bidi="ar-SA"/>
        </w:rPr>
      </w:pPr>
      <w:r>
        <w:rPr>
          <w:rFonts w:ascii="arial" w:eastAsia="arial" w:hAnsi="arial" w:cs="arial"/>
          <w:color w:val="000000"/>
          <w:sz w:val="20"/>
          <w:lang w:val="en-US" w:eastAsia="en-US" w:bidi="ar-SA"/>
        </w:rPr>
        <w:t>Rob's ability to participate in the litigation process (Examination for Discovery and Trial) is not likely to improve in the foreseeable future. He and I have discussed this during our September 7, 2006 session and he agreed. He remembered how much his experience of undergoing psychological testing in December 2005 affected him for several months. To this day, he remains tearful when thinking about it.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a report dated October 31, 2006, the plaintiff's psychiatrist recommended against the plaintiff appearing at a discovery or giving evidence at his trial. He opined that the plaintiff is emotionally vulnerable and at risk of further deterioration. He also expressed the view that the plaintiff is fully competent and capable of taking part in the litigation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Neither the psychologist nor the psychiatrist delineated what it is about the discovery process that renders it potentially harmful to the plaintiff. Nor do they attempt to identify how the plaintiff might reasonably be supported in the process. It is not unusual for experienced examining counsel to take into account obvious tiredness or inability to concentrate if that occurs. It may even be reasonable for a health care provider to attend the discovery with the plaintiff to help support him. The health care providers can certainly assist him in preparing emotionally and mentally for the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satisfied that the plaintiff has the necessary recall and ability to communicate. It is apparent from reading the legal medical reports that the plaintiff remembers and has communicated salient details about the accident, his injuries and the recovery process to date to various professionals. It is not enough, in my view, to say that the plaintiff should be excused from describing such events as an essential part of the adversarial process when he is obviously capable of doing so in a heath care setting. If the process of describing the events brings on the difficulties described in the reports, then examining counsel will be in much the same position as the health care providers were when they took a history from the plaintiff. It is apparent that the plaintiff was able to do so in spite of the obstacles, undoubtedly with patience on the part of the examiner. I do not accept that he cannot do the same on an examination for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 plaintiff's reluctance to participate in an examination for discovery is understandable, it does not, in my view, constitute a lawful excuse for not complying with a direction to attend.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MACAULAY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Jenkins v. Bourcier, [2003] B.C.J. No. 564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3 - 7 and October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Powell River Registry No. S1201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564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388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Deborah Rose Jenkins, plaintiff, and Rebecca Bourcier,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9"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8"/>
      <w:bookmarkEnd w:id="12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Damage awards — Neck injuries — Soft tissue injuries — Body injuries — Shoulder — Back — Head injuries — Jaw — General damage awards — Pain and suffering, loss of amenities and other nonpecuniary damages — Loss of capital value of business — Loss of wages — Loss of profits —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5"/>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Jenkins against the defendant Bourcier for damages in a motor vehicle accident. On August 26, 1997 Jenkins drove a truck when it was struck on the left side by Bourcier's car as she exited a parking lot. Jenkins, who wore a seat belt, was jolted to the left. When the truck hit the curb at the side of the road she was jolted to the right. She sustained soft tissue injuries and experienced pain in her neck, left shoulder, upper and lower back and left hip. Approximately two years after the accident she developed temporomandibular joint disorder. This was not the first time that Jenkins suffered a soft tissue injury in a motor vehicle accident. As a result of the accident Jenkins remained disabled from employment that required repeated heavy lifting or a high level of physical exertion. Prior to the accident she maintained an active lifestyle. She was unable to engage in many of these activities after the accident. Jenkins was 47 years old in 2002. In 1992 she and a business partner opened a 40-seat restaurant that specialized in coffee, pizza and baked goods. She was employed as the owner-operator of this business at the time of the accident. After the accident she was unable to do the heavy work associated with her employment. She reduced her hours. She sold her interest to her partner in March 2000 for $35,000. She claimed to have suffered damages as a result of this sale.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7" w:name="Holdings of Court_14"/>
            <w:bookmarkEnd w:id="12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Jenkins was awarded damages of $85,000. Jenkins's soft tissue injuries were causally connected to the 1997 accident. Injuries from previous accidents were resolved by the time of this accident. Jenkins experienced increased pain and suffering due to the accident and was disabled to some extent. There was no connection between the joint disorder and the accident. Jenkins was not 70 per cent disabled. The medical evidence that supported this claim was based on Jenkins reporting. However, the injuries were the primary cause of the loss of her full-time employment when she sold her restaurant interest. Her inability to carry out certain tasks was corroborated by her family physician, the occupational therapist and her former partner. The award for non-pecuniary damages was $35,000. Jenkins did not prove that she sustained damages for the loss of capital value of her business interest. She did not prove that this interest was worth more than the price she sold it to her partner. Her award for past loss of income was $17,000. No award was made for the loss of various benefits that Jenkins claimed to have received when she owned the restaurant. There was no evidence to support the value of these benefits. Jenkins did not prove that the decline in restaurant revenue after 1997 was due to her reduced involvement. The court awarded $30,640 for loss of future earning capacity. Special damages of 2,715 were awarded for chiropractic treatments, a computer desk and chair.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8" w:name="Counsel_18"/>
      <w:bookmarkEnd w:id="1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Fleming, for the plaintiff. J.E. Whiteley,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8"/>
      <w:bookmarkEnd w:id="129"/>
      <w:r>
        <w:pict>
          <v:line id="_x0000_s1121" style="position:absolute;z-index:2517800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SLADE J."/>
            <w:bookmarkEnd w:id="130"/>
            <w:r>
              <w:rPr>
                <w:rFonts w:ascii="arial" w:eastAsia="arial" w:hAnsi="arial" w:cs="arial"/>
                <w:b/>
                <w:color w:val="000000"/>
                <w:sz w:val="30"/>
                <w:lang w:val="en-US" w:eastAsia="en-US" w:bidi="ar-SA"/>
              </w:rPr>
              <w:t>SLADE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26, 1997, Ms Jenkins was driving her husband's restored 1966 Chevrolet pick-up truck, when it was struck on the left side by a car exiting a parking lot. Ms Jenkins, who was wearing a seat belt, was jolted to the left, then, when the truck hit the curb at the side of the road, jolted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She sustained soft tissue injuries, and experienced pain in the neck, left shoulder, upper and lower back, and left hip. She also experienced headaches and reports some memory loss. Approximately two years after the accident she developed temporomandibular joint disorder (TMJ). Her pain symptoms have persisted, with some variation in degree,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was not the first time Ms Jenkins suffered a soft tissue injury in a motor vehicle accident. She also had a prior history of myalgic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including medical evidence, indicates that as a result of the accident Ms Jenkins was, and remains, disabled from employment requiring repeated heavy lifting or a high level of physical exertion.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Since the accident, she has been unable to engage in many activities she previously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Ms Jenkins was the co-owner of, and worked in, a pizza, coffee, and bakery style restaurant. She gave up this employment, and sold her interest to her business partner, two and a half years later.</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have Ms Jenkins' injuries affected her enjoyment of life?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if at all, have Ms Jenkins' injuries impaired her earning capacity?</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Ms Jenkins' injuries the probable cause of her departure from a restaurant business owned by her and a business partner?</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if at all, have Ms Jenkins' injuries affected her ability to participate in labour associated with home and family?</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special damages have resulted from the injuries caused by the accident?</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Jenkins is 47 years of age. She is married, and has three adult sons. Her roots, and long time residence, are in Powell River, B.C. She completed Grade 12, and, between 1987 and 1989, completed a college level course in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Jenkins maintained an active lifestyle. This included baseball, bowling, hiking, swimming, gardening and, occasionally, skiing. She entertained and cooked for guests. She has curtailed some of these activities since the accident and has ceased others altogether.</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Jenkins' has, apart from short periods, been steadily employed since 14 years of age. When her children were young, her work was based in her home. This included clothing alteration and Tupperware sales. Five years after the birth of her youngest child, she took full-time employment in a clothing store. She entered college in 1987. During summer vacation she managed a shoe store and, after completing her studies, was employed at the Powell River Chamber of Commerce full-time for three years. In 1992, she and a business partner opened the Rocky Mountain Pizza and Bakery, a 40 seat restaurant specializing in coffee, pizza, and baked goods. She was employed as an owner/operator of this business at the time of the 1997 accident.</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1973, at age 17, Ms Jenkins suffered a whiplash injury in a motor vehicle accident. Full recovery took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1987 she experienced a knee injury, which she attributed to excessive exercise. She was referred to a rheumatologist, Dr. O'Hanlon, who diagnosed rheumatoid arthritis and fibromyalgia. She recovered fully from her knee injury after receiving a steroid injection. Ms Jenkins testified that she disagreed with the diagnosis of fibromyalgia; she experienced no pain at the trigger points, and has had no related problem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Another motor vehicle accident occurred in 1995. A left turning vehicle struck the vehicle she was driving. She experienced pain at the base of her neck on the left side, at the collar bone. She was treated with massage therapy. She testified that her symptoms were resolved in approximately one year. However, she continued massage therapy until five months before August, 1997, as she found this an effective stress reliever.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Medical Service Plan records reveal Ms Jenkins' frequent massage therapy treatment (341 treatments) from March, 1992, to November, 1998. Her pattern of use reveals frequent attendances, followed by hiatus of three to five months, then resumption of attendances. There was a hiatus between April and August, 1997. Treatment resumed after the accident. From February, 1995, to April, 1997, she received an average of 7.7 treatments monthly. The average was 10.7 from August, 1997, to November, 1998.</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Medical reports prepared by Dr. Symonds (family physician), Dr. Hershler (specialist in physical medicine), Dr. Crossman (specialist in physical medicine and rehabilitation), Dr. Blasberg (oral medicine), Dr. Donaldson (oral medicine), and Dr. Vallance (psychiatry), were put in evidence. Drs. Symonds, Hershler and Crossman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Jenkins' chiropractor, Dr. Gabelhouse, provided reports, and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Written reports from Dr. Pirsel, Ph.D., registered psychologist, were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report from Mr. McMorran, registered massage therapist, was presented, and he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substantial concurrence among Drs. Symonds, Hershler, and Crossman, on the nature of the injuries. These are soft tissue injuries to the neck, shoulders (left more than right), upper and lower back. Drs. Symonds and Hershler were of the opinion that Ms Jenkins' injuries and related symptoms from previous accidents and medical conditions had been resolved prior to the August, 1997, accident. They attributed her present injuries to that accident. Dr. Crossman stated that "determination of causation is very difficult in this case". He pointed to the two previous motor vehicle accidents, the diagnoses of fibromyalgia and rheumatoid arthritis (which he did not agree with, but found they were indicative of pre-accident musculoskeletal symptoms), and her treatment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Jenkins had been taking massage therapy for a number of years prior to the 1997 accident for pain symptoms in the left shoulder and neck. These symptoms may have worsened as a result of the 1997 accident (Crossman report dated September 18, 2001). In his earlier report, dated February 1, 1999, Dr. Crossman noted, under the heading "Causation" that her symptoms in the cervical region are worse following the more recent (1997) accident. He also attributed her low back pain (left hip/buttock symptoms) to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Jenkins developed TMJ some two years after the accident. Her dental specialist, Dr. Donaldson, explained that the delay in her experience of pain symptoms could be due to the pain masking effects of the dosages of analgesics taken in the post-accident period. She experienced pain when the dosage was reduced. He also said that "patients" suffering acute and chronic pain tend to clench their teeth, which leads to symptoms as manifested in Ms Jenkins. He does not state that this, in his opinion, was the reason for Ms Jenkins' TMJ. He concludes, "with the lack of any other initiating factors, it would appear that Ms Jenkins' facial problems were due to the MVA".</w:t>
      </w:r>
      <w:r>
        <w:rPr>
          <w:rFonts w:ascii="arial" w:eastAsia="arial" w:hAnsi="arial" w:cs="arial"/>
          <w:sz w:val="20"/>
          <w:lang w:val="en-US" w:eastAsia="en-US" w:bidi="ar-SA"/>
        </w:rPr>
        <w:cr/>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more significant differences of opinion as between Dr. Symonds and Dr. Hershler on the one hand, and Dr. Crossman on the other, have to do with the severity of the injuries, and the extent of any related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differences in the medical doctor's conclusions on disability reflect the difficulty inherent in the diagnosis and assessment of the degree of soft tissue injuries. Each physician's diagnosis was based primarily on Ms Jenkins' self-reporting of the existence of pain, and its severity. The diagnostic techniques included palpation and range of motion testing. Palpation revealed variation from the norm in muscle tone in the affected areas, and elicited pain responses. In some aspects Ms Jenkins' range of motion was found to be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None of the reports refer to any objective findings of musculoskeletal or nerve injury. There is a subjective aspect to pain response and range of motion testing, as both rely on reporting by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Symonds' several reports were based on examinations between August 27, 1997 and September 25, 1998 (report dated November 2, 1998), and further examinations up to September, 1999 (report dated June 12,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report dated November 2, 1998, Dr. Symonds said that "... she is functioning at only about 40-50% of the level she was before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later report, Dr. Symonds noted little change in her symptoms,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prognosis is guarded. It is now almost three years since her injury and she still has significant soft tissue pain. There is still certainly a possibility that her symptoms will abate through another couple of years and become more manageable.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also [a] possibility that her symptoms will not improve much from where they are now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report dated September 28, 2000, Dr. Symonds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Failing some new type of treatment that might actually help her condition, I feel that we must consider that her condition has plateaued and that she is going to have to be considered permanently partially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Hershler examined Ms Jenkins on January 24, and September 18, 2000, and again on December 3, 2001. His opinion dated December 12, 2001, indicates little change in her condition over this time. He considered her to be partially disabled as at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Crossman's report sets out his opinion that Ms Jenkins can do most activities and employment consistent with her education and experience. He wrote this in his February 1, 1999,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&amp; Disability: It has now been approximately one year and five months since Deborah Jenkins was involved in an MVA on August 26, 1997. Since then, the patient feels that her symptoms in her left neck and shoulder, as well as in her left buttock, have actually worsened. In spite of this, though, she has continued to work almost full-time, although has had to modify her duties and decrease her hours somewhat. I cannot explain why this patient's symptoms have increased other than possibly there being an exacerbation from some of the exercises that she has done at physiotherapy, as she mentioned. Certainly, this patient's psychological state may be interfering with her recovery, especially the associated anxiety which, by its very nature, increases muscular 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his September 18, 2001, report, Dr. Crossman noted that at the time of his initial evaluation (February 1,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greatest symptoms were those of pain in the neck, head, left shoulder, and left hip and buttock. These have consistently been her symptoms throughout the file as well. She feels that all of these symptoms are of equal intensity, and are constant.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in his lengthy report he referred to Ms Jenkins' long history of left shoulder and neck pains: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explain the more widespread tenderness in the region and greater pain with active ranging today compared to my previous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his discussion of the status of her left hip or buttock symptoms,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explain why her presentation was worse today in this region though, with more diffuse tenderness, superficial tenderness, pain with ranging in all directions, and pain with squatting and duck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concluded that some of her persisting symptoms in this region are likely due to the 1997 accident, but that her additional symptoms are possibly due to a recent fall. Under the heading "Prognosis &amp; Disability", Dr. Crossman concluded his report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spite of the patient's persisting symptoms, it is my opinion she can do most activities and employment consistent with her education and experience. Her recent left subacromial impingement would probably be aggravated with repetitive overhead lifting but, as mentioned, this symptom may resolve with treatment and time. It is encouraging that the patient is still only on 2 Advil tablets per day. Although I appreciate that this patient would likely experience some increased discomfort on returning to the restaurant business, it is my opinion she would still be able to perform her previous duties without harm. Should she return to such work, she should be encouraged to do her stretches prior to her shifts, during any breaks, and at the conclusion of her shifts so as to limit the length of her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Jenkins' counsel tendered a work capacity evaluation of Ms Jenkins in evidence. This was prepared by Janet Hunt, an occupational therapist. The assessment date was February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occupational therapist commented on Ms Jenkins' ability to carry out duties associated with her pre-injury job as the co-owner of the restaurant. She characterized these duties as generally rated at "light (NOC definitions)", then stated: "Although according to Ms Jenkins' reports there were occasional medium to entry level heavy strength requirements when handling large volumes of supplies". She opined that Ms Jenkins "would have difficulty with prolonged standing/walking requirements and prolonged sitting requirements and would be unable to tolerate the extended work hours associated with operating her business. She would be unable to meet the strength requirements associated with this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assessment was carried out on February 21, 2001. The work capacity evaluation, like the process of diagnosis of soft tissue injuries, places considerable reliance on self-reporting. The occupational therapist reported that the highest pain ratings, as reported by Ms Jenkins, were out of proportion to her physical presentation, and that there were mild pain amplification findings. She was found to have "partaken in her testing day with good, but not entirely full physical effort". She also "underestimated her physical ability to a mild degree". In light of these findings, the occupational therapist placed more weight on what were termed "objective observations" of function than Ms Jenkins subjective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text under the heading "Musculoskeletal Review, Reaching, Handling, Fingering and/or Feeling, Fitness Testing, General Mobility/Body Dexterity, Lifting, Carrying, Pushing and Pulling Ability, Work Simulation Activity", and "Sitting, Standing and Overall Work Tolerance", reveal testing techniques which, though described as objective, have a significant subjective component. Each area of testing depends on the level of effort and reporting of the person evaluated.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concluding paragraph in this part of the report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her overall work tolerance, Ms Jenkins would be able to tolerate full time work meeting the restrictions outlined in this report. It is not reasonable to expect she would be able to tolerate extended work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evaluation includes a recommendation for short term psychological intervention to assist with her experience of frustration regarding changes in lifestyle and coping with her symptoms It is again noted that her perception of pain is somewhat high in relation to functional performance and that she underestimates her abilities to some extent. The therapist indicates concurrence, in this regard, with the contents of the report of the psychiatrist, Dr. Vallance, dated June 13, 2000.</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Jenkins was referred to Charles Pirsel Ph.D., registered psychologist, for psychological assessment. They met on March 26, 1999. In a letter to I.C.B.C. he advised that he had scheduled a home visit with Ms Jenkins in mid-May, and that he would, after that, send a completed assessment and recommendations for a treatment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Pirsel's reporting letter is dated March 27, 1999. The indicated year is in error, and should have read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this letter, Dr. Pirsel reported on his meeting with Ms Jenkins. He found her cooperative and overly friendly. At the time she was continuing her role in the restaurant, and reported that she found her job demanding and stressful, but quite rewarding. She reported that she had cut back on her participation in food preparation since the accident. She continued to garden and sew.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Jenkins reported a great deal of anger over the injury and the subsequent pain. She had become more irritable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Dr. Pirsel followed up by telephone on May 7th, as planned, he received "a very cold and hostile response from her ..." and she declined to see him. He attributed this sudden change in her manner to the possibility of deeper psychological issues in her personality functioning, indicative of low treatability. He did not, however, conclude that her physical and psychological conditioning would not benefit from professional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Jenkins saw Dr. Vallance, a psychiatrist, at I.C.B.C.'s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Vallance consulted with Ms Jenkins on June 12, 2000. His reporting letter dated June 13, 2000, indicates that he had reviewed Dr. Crossman's February 1, 1999, report, and Dr. Symonds reports dated October 9, 1997, and November 2nd and 20th, 1998. He noted Dr. Crossman's opinion that her symptoms "far outweigh any objective physical abnormalities", and that there might be "an anxiety component magnifying a number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Vallance concluded that Ms Jenkins had not been clinically depressed, and did not have any features of a post-traumatic stress disorder. 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rather her nature I believe has caused her to have more frustration over such residual problems as she does have than might have occurred otherwise and the associated tension likely increases her perception of pain.</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Jenkins testified that, despite her efforts, she can no longer play softball. She finds it too painful. She still takes walks, but her enjoyment of this activity is affected by the onset of pain. Her gardening activities are reduced to a little weeding of plant beds. She continues to sew, and, in particular, to make quilts. She testified that she would like to make quilts for others, but has problems holding her arms up, and with heavy lifting. She has set up a high table to facilitate sewing, but if she overdoes it she experiences what she described as severe shoulder, neck, and hip pain. She went on a ski trip, but, after a walk in the snow, experienced hip pain and did not attempt to 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Jenkins testified further that her ability to do housework is impaired by pain. She had frequent outside help for two years following the accident, but now has help only once a month, for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Jenkins testified that she encounters grooming problems, as it is painful to raise her left arm over her head to do her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is still involved in volunteer work with the local Rotary Club. However, she cannot contribute as formerly in "hands on" activities. She now co-ordinates speakers, and attends meetings.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Jenkins returned to work immediately following the accident. She left later in the day, and remained off work for one week. She testified that work aggravated the pain she experienced at the left shoulder and neck, and in the back, radiating into the groin. She took Tylenol 3 for pain for an unspecified period, then relied for pain relief on non-prescription drugs, primarily Ibuprofen.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Jenkins also received chiropractic treatment and massage therapy. She took some physiotherapy, and ICBC provided her with an electro tensile machine for her own use. This device administers a low intensity electrical shock. She found that this helped her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Following the accident, Ms Jenkins delegated to others the heavy work associated with her employment. She reduced her hours, and took more time off than previously, though continued to maintain a full-time level of participation. She continued as co-owner/operator of the restaurant until March, 2000, when she sold her interest to her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Jenkins attributed her decision to sell her interest in the restaurant to her injuries. By her account, the demands of her work, notwithstanding the delegation of physically demanding tasks, aggravated her pain symptoms to an intolerable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six months before her departure from the restaurant, Ms Jenkins had acquired a partnership interest in a quilt shop that was owned by an acquaintance. She had formed the intention to sell her interest in the restaurant, and pursued this new enterprise in order to secure an income from less physically demanding work. While her primary employment continued at the restaurant, her work time was divided between the two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Jenkins former partner testified that tension had developed in their business relationship, as Ms Jenkins had not, since her involvement in the quilt shop, maintained her previous work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volume of business in the quilt shop was not sufficient to support two owners, and she ultimately sold her interest to her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time of the trial, Ms Jenkins was considering taking a real estate course, and had applied for employment as a receptionist.</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Surveillance and Physical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introduced videos taken surreptitiously of Ms Jenkins between July 17, 2000 and May 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videos contain approximately nineteen segments which show certain of her activities at various times on eight separate days. These activities include attendances at the quilt shop, super market, and other places. She is shown exiting and entering her vehicle, loading boxes, suitcases, and other items into her vehicle, unloading the same, walking, running, and looking skyward with her neck arched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Some sequences show Ms Jenkins placing an advertising sign in front of the quilt shop, some show her carrying numerous objects in her hands and arms. Some of these items are bulky, one item, a large suitcase, appeared to be heavy. She used both hands to remove the latter item from the back of her sport utility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two exceptions, Ms Jenkins' movements appeared normal. She walked and ran in a normal gait. There was no apparent difficulty in her getting in and out of her vehicle. In the course of an animated conversation with an acquaintance, she made numerous forceful gestures with both arms and hands. While shopping at the supermarket, she stood and chatted at length with acquaintances she encountered while walking the aisles, and while at the check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exceptions include an occasion on which she was chatting with an acquaintance at the supermarket. She shifted her weight several times from one foot to another, and, while placing her weight on her right foot, extended her left foot out and flexed the knee. The other exception appears in a sequence taken in the quilt shop. She is seated at a table, talking to another woman. While doing so she was rubbing her forehead with her left hand, with the elbow on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Jenkins physical presentation when testifying at trial contrasted somewhat with her movements as revealed on the video. She appeared careful and guarded in her movements while in the court room. She used an oral appliance which was prescribed in October, 2000, by an oral surgeon, and apparently obtained in February, 2001. This affected her speech. It did not appear that she was using this device during the video sequences.</w:t>
      </w:r>
      <w:r>
        <w:rPr>
          <w:rFonts w:ascii="arial" w:eastAsia="arial" w:hAnsi="arial" w:cs="arial"/>
          <w:sz w:val="20"/>
          <w:lang w:val="en-US" w:eastAsia="en-US" w:bidi="ar-SA"/>
        </w:rPr>
        <w:cr/>
      </w:r>
    </w:p>
    <w:p>
      <w:pPr>
        <w:numPr>
          <w:numId w:val="14"/>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Operation and Eventual Sale of Restaurant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Jenkins and two others started the restaurant business in July, 1992. It was the first coffee house in Powell River. One of her partners was a chef, another an experienced businessman, and her skills were in marketing. They organized their roles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operation expanded in 1995, when they opened a bakery and coffee roasting facility in Courtenay. Gross sales for both operations reached $438,000 in 1995. Gross sales in 1996 were $523,000. One partner wished to move on, and they sold the Courtenay operation in 1996. Their long term plan was to franchise the operation, but after the departure of one of the partners her remaining partner, Mark Dowling, the chef, was not interested in pursuing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May 31, 1997 year end showed gross sales of $387,726. The accident occurred in August, 1997. The May 31, 1998 year end figures indicate gross sales of $356,306. The following year end showed total sales of $310,593.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Jenkins attributed the reduction in sales to the post-accident change in her role in the operation of the restaurant. Although she had continued full-time since the accident, she "was in the back more", and not as available as previously to supervise staff and deal with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report of the occupational therapist indicates that, by February, 1999, Ms Jenkins was working four days in the restaurant and one day at home on restaurant related duties. She had also modified her duties at the restaurant, and worked more conventional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April 15, 1999, Ms Jenkins advised Dr. Symonds that she could not look after the business, and intended to sell her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June, 1999, she purchased an interest in a quilt shop. She continued working at the restaurant and, in September, 1999, reduced her time in the restaurant to four days a week. She worked one day each week in the quilt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Differences arose between her and Mr. Dowling in the fall of 1999, and she sold her interest to Mr. Dowling in early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Jenkins former partner, Mark Dowling, testified that other factors reduced sales revenues from 1997 to 1999, and up to the time of the trial. He also offered a different version of events surrounding the deterioration of the business relationship with Ms Jenkins.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conflict arose between the evidence of Ms Jenkins and Mr. Dowling with respect to whether her post-accident symptoms were a continuation of pre-accident pain symptoms associated with fibromyalgia. It was Ms Jenkins evidence that, despite Dr. Hanlon's diagnosis of fibromyalgia, she did not suffer from this disorder. Mr. Dowling's evidence was to the effect that, between 1992 and 1997, she frequently complained about her fibromyalgia. I note, also, Dr. Symonds reference in his November, 1998, reports to her having suffered from fibromyalgia since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While Mr. Dowling acknowledged that Ms Jenkins' involvement in the operation of the restaurant changed, he testified that this change occurred around 18 months after the accident. He acknowledged that there were times when it appeared that pain and stress were factors in her reduced involvement. However, her reduced involvement did not become a problem until after she opened the quilt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did not attribute the reduction in gross sales at the restaurant to Ms Jenkins' reduced involvement, but rather to increased competition and the downturn in the local economy.</w:t>
      </w:r>
      <w:r>
        <w:rPr>
          <w:rFonts w:ascii="arial" w:eastAsia="arial" w:hAnsi="arial" w:cs="arial"/>
          <w:sz w:val="20"/>
          <w:lang w:val="en-US" w:eastAsia="en-US" w:bidi="ar-SA"/>
        </w:rPr>
        <w:cr/>
      </w:r>
    </w:p>
    <w:p>
      <w:pPr>
        <w:numPr>
          <w:numId w:val="15"/>
        </w:numPr>
        <w:tabs>
          <w:tab w:val="num" w:pos="760"/>
          <w:tab w:val="clear" w:pos="256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CONCLUSIONS</w:t>
      </w:r>
    </w:p>
    <w:p>
      <w:pPr>
        <w:numPr>
          <w:numId w:val="1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conclude that Ms Jenkins' soft tissue injuries to the shoulder, neck, and back are causally connected to the 1997 accident. To the extent that certain of these injuries were present before that accident, they had been substantially resolved, and were exacerbated in the most recent accident. Though she apparently suffered from fibromyalgia, this was not a disabling condition. She has experienced increased pain and suffering due to the accident, and has to some extent been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for the TMJ, I find that a relationship to the accident has not been established on the balance of probabilities. Ms Jenkins' evidence, given the delay in onset, could not establish a causal relationship. Dr. Donaldson's report is equivocal: it does not assert or otherwise establish that the TMJ was caused directly by the accident or indirectly due to injuries that were caused by the accident.</w:t>
      </w:r>
      <w:r>
        <w:rPr>
          <w:rFonts w:ascii="arial" w:eastAsia="arial" w:hAnsi="arial" w:cs="arial"/>
          <w:sz w:val="20"/>
          <w:lang w:val="en-US" w:eastAsia="en-US" w:bidi="ar-SA"/>
        </w:rPr>
        <w:cr/>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more difficult question in this matter is over the extent of Ms Jenkins' disability, and the impact on her enjoyment of life, her employment up to the date of trial, and her future earning capacity.</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Pre-accident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Jenkins' pre-accident condition did not disable her from maintaining an active family, social, and work life. At the time of the accident, she was engaged in a business, as an owner/operator, that required her to perform diverse tasks, some of which required significant physical exertion, and long hours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subject to comments that appear below under the heading "Special Damages", that Ms Jenkins' pre-accident physical condition is not a factor in the assessment of damages.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and post-accident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Jenkins claims that she has, since August, 1997, been unable to enjoy most of her previous leisure activities, has been unable to do housework, and is 70% disabled in relation to all categories of employment. She claims damages for the consequential loss of her interest in the restaurant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question is whether, based on credible evidence, it has been established on the balance of probabilities that Ms Jenkins is disabled to the extent claimed, and that her disability is, in probability, the cause of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generally, that Ms Jenkins is not disabled to the extent claimed. These are my reasons: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conclusions reached by Dr. Symonds and Dr. Hershler are based on testing which depends largely on reporting by the patient;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Jenkins' reporting is unreliable;</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Dr. Crossman and the occupational therapist reported an absence of a full effort on her part when they conducted their physical testing;</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Her testimony of the extent of her disability is to some extent belied by her actions while under surveillance;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disparity between her behaviours and actions on the surveillance video and her guarded physical presentation at trial suggests intentional exaggeration of symptoms.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Crossman reported an unexplained increase in the intensity of Ms Jenkins' symptoms over time. This is at odds with the normal progression of symptomology for soft tissue injuries. He concludes that she is not disabled. While I do not fully accept this conclusion, as it does not take into account limitations due to pain, I find his conclusions more consistent with the other evidence of Ms Jenkins' actions and abilities than that of Drs. Symonds and Hershler.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occupational therapist found Ms Jenkins disabled in relation to certain occupations, but not disabled from full-time employment in others.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Vallance's report and, to a more limited extent, Dr. Pirsel's, refer to psychological factors which cause Ms Jenkins to experience limits on her abilities in excess of those which are presented on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do, however, find that Ms Jenkins' injuries were the proximate and primary cause of her loss of full-time employment upon the sale her interest in the restaurant. Her evidence of the difficulty she encountered in carrying out employment tasks after the accident is supported by contemporaneous entries in the clinical reports of Dr. Symonds. Similar observations are contained in the report of the occupational therapist. Her former business partner observed that she was having some difficulty. I am satisfied that pain associated with her injuries precludes work that requires repeated heavy lifting and frequent physical exertion. She is also disabled from working periods extending beyond those required for regular full-time employment, and hence from the tasks and hours required in the operation of a restaurant.</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2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present case, the attribution of a monetary value to Ms Jenkins' pain, suffering, and loss of enjoyment of life, is complicated by factors of self-limitation and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Ms Jenkins' counsel asserts a range between $65,000 and $80,000 for pain and suffering and loss of enjoyment of life. Reliance is placed on: Shellak v. Barr, </w:t>
      </w:r>
      <w:hyperlink r:id="rId296" w:history="1">
        <w:r>
          <w:rPr>
            <w:rFonts w:ascii="arial" w:eastAsia="arial" w:hAnsi="arial" w:cs="arial"/>
            <w:i/>
            <w:color w:val="0077CC"/>
            <w:sz w:val="20"/>
            <w:u w:val="single"/>
            <w:shd w:val="clear" w:color="auto" w:fill="FFFFFF"/>
            <w:lang w:val="en-US" w:eastAsia="en-US" w:bidi="ar-SA"/>
          </w:rPr>
          <w:t>[2001] B.C.J. No. 1916</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2001 BCSC 1323</w:t>
        </w:r>
      </w:hyperlink>
      <w:r>
        <w:rPr>
          <w:rFonts w:ascii="arial" w:eastAsia="arial" w:hAnsi="arial" w:cs="arial"/>
          <w:color w:val="000000"/>
          <w:sz w:val="20"/>
          <w:lang w:val="en-US" w:eastAsia="en-US" w:bidi="ar-SA"/>
        </w:rPr>
        <w:t xml:space="preserve">; Heartt v. Royal, </w:t>
      </w:r>
      <w:hyperlink r:id="rId297" w:history="1">
        <w:r>
          <w:rPr>
            <w:rFonts w:ascii="arial" w:eastAsia="arial" w:hAnsi="arial" w:cs="arial"/>
            <w:i/>
            <w:color w:val="0077CC"/>
            <w:sz w:val="20"/>
            <w:u w:val="single"/>
            <w:shd w:val="clear" w:color="auto" w:fill="FFFFFF"/>
            <w:lang w:val="en-US" w:eastAsia="en-US" w:bidi="ar-SA"/>
          </w:rPr>
          <w:t>[2000] B.C.J. No. 1691</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2000 BCSC 1122</w:t>
        </w:r>
      </w:hyperlink>
      <w:r>
        <w:rPr>
          <w:rFonts w:ascii="arial" w:eastAsia="arial" w:hAnsi="arial" w:cs="arial"/>
          <w:color w:val="000000"/>
          <w:sz w:val="20"/>
          <w:lang w:val="en-US" w:eastAsia="en-US" w:bidi="ar-SA"/>
        </w:rPr>
        <w:t xml:space="preserve">; Bradley v. Dymond, </w:t>
      </w:r>
      <w:hyperlink r:id="rId298" w:history="1">
        <w:r>
          <w:rPr>
            <w:rFonts w:ascii="arial" w:eastAsia="arial" w:hAnsi="arial" w:cs="arial"/>
            <w:i/>
            <w:color w:val="0077CC"/>
            <w:sz w:val="20"/>
            <w:u w:val="single"/>
            <w:shd w:val="clear" w:color="auto" w:fill="FFFFFF"/>
            <w:lang w:val="en-US" w:eastAsia="en-US" w:bidi="ar-SA"/>
          </w:rPr>
          <w:t>[2000] B.C.J. No. 229</w:t>
        </w:r>
      </w:hyperlink>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2000 BCSC 83</w:t>
        </w:r>
      </w:hyperlink>
      <w:r>
        <w:rPr>
          <w:rFonts w:ascii="arial" w:eastAsia="arial" w:hAnsi="arial" w:cs="arial"/>
          <w:color w:val="000000"/>
          <w:sz w:val="20"/>
          <w:lang w:val="en-US" w:eastAsia="en-US" w:bidi="ar-SA"/>
        </w:rPr>
        <w:t xml:space="preserve">; and Brown v. Brown, </w:t>
      </w:r>
      <w:hyperlink r:id="rId299" w:history="1">
        <w:r>
          <w:rPr>
            <w:rFonts w:ascii="arial" w:eastAsia="arial" w:hAnsi="arial" w:cs="arial"/>
            <w:i/>
            <w:color w:val="0077CC"/>
            <w:sz w:val="20"/>
            <w:u w:val="single"/>
            <w:shd w:val="clear" w:color="auto" w:fill="FFFFFF"/>
            <w:lang w:val="en-US" w:eastAsia="en-US" w:bidi="ar-SA"/>
          </w:rPr>
          <w:t>[2000] B.C.J. No. 897</w:t>
        </w:r>
      </w:hyperlink>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2000 BCSC 680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Comparables are, at most, a rough guide in the assessment of damage awards (per Thackray J.A. in Laycock v. Longo et al, </w:t>
      </w:r>
      <w:hyperlink r:id="rId300" w:history="1">
        <w:r>
          <w:rPr>
            <w:rFonts w:ascii="arial" w:eastAsia="arial" w:hAnsi="arial" w:cs="arial"/>
            <w:i/>
            <w:color w:val="0077CC"/>
            <w:sz w:val="20"/>
            <w:u w:val="single"/>
            <w:shd w:val="clear" w:color="auto" w:fill="FFFFFF"/>
            <w:lang w:val="en-US" w:eastAsia="en-US" w:bidi="ar-SA"/>
          </w:rPr>
          <w:t>[2002] B.C.J. No. 633</w:t>
        </w:r>
      </w:hyperlink>
      <w:r>
        <w:rPr>
          <w:rFonts w:ascii="arial" w:eastAsia="arial" w:hAnsi="arial" w:cs="arial"/>
          <w:color w:val="000000"/>
          <w:sz w:val="20"/>
          <w:lang w:val="en-US" w:eastAsia="en-US" w:bidi="ar-SA"/>
        </w:rPr>
        <w:t>, March 8, 2002, Vancouver CA026384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To the extent that the injuries are described in the above judgments, they are more significant and persistent than those suffered by Ms Jenkins.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Davies v. Cheung, </w:t>
      </w:r>
      <w:hyperlink r:id="rId301" w:history="1">
        <w:r>
          <w:rPr>
            <w:rFonts w:ascii="arial" w:eastAsia="arial" w:hAnsi="arial" w:cs="arial"/>
            <w:i/>
            <w:color w:val="0077CC"/>
            <w:sz w:val="20"/>
            <w:u w:val="single"/>
            <w:shd w:val="clear" w:color="auto" w:fill="FFFFFF"/>
            <w:lang w:val="en-US" w:eastAsia="en-US" w:bidi="ar-SA"/>
          </w:rPr>
          <w:t>[1998] B.C.J. No. 2714</w:t>
        </w:r>
      </w:hyperlink>
      <w:r>
        <w:rPr>
          <w:rFonts w:ascii="arial" w:eastAsia="arial" w:hAnsi="arial" w:cs="arial"/>
          <w:color w:val="000000"/>
          <w:sz w:val="20"/>
          <w:lang w:val="en-US" w:eastAsia="en-US" w:bidi="ar-SA"/>
        </w:rPr>
        <w:t xml:space="preserve"> (S.C.), Justice Cole awarded non-pecuniary damages of $35,000. The award in Davies v. Cheung, supra, relates to the impact of injuries comparable in magnitude to those which I accept have been experienced by Ms Jenkins. I award the sum of $35,000 as non-pecuniary damages.</w:t>
      </w:r>
      <w:r>
        <w:rPr>
          <w:rFonts w:ascii="arial" w:eastAsia="arial" w:hAnsi="arial" w:cs="arial"/>
          <w:sz w:val="20"/>
          <w:lang w:val="en-US" w:eastAsia="en-US" w:bidi="ar-SA"/>
        </w:rPr>
        <w:cr/>
      </w:r>
    </w:p>
    <w:p>
      <w:pPr>
        <w:numPr>
          <w:numId w:val="27"/>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Capital Value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was Ms Jenkins' opinion that her interest in the restaurant business had a value of $75,000. There is no evidence to support that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Jenkins and her partner had obtained insurance that would, in the event of the death of one or the other, provide $60,000 for the purchase of the deceased's interest by the survivor. There is no evidence that this figure was based on a business valuation, and it is therefore not a reliable indicator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Jenkins had discussed the possibility of a sale of her interest with other persons, but nothing came to fruition. Her efforts to sell her share were made without proper consultation with her business partner, and the differences that naturally arose between them led him to take steps to force her hand. In the result, she sold her interest to Mr. Dowling for $35,000. It has not been established that her interest, in probability, had a value in excess of the sale price. Ms Jenkins' claim under this heading has not been proven.</w:t>
      </w:r>
      <w:r>
        <w:rPr>
          <w:rFonts w:ascii="arial" w:eastAsia="arial" w:hAnsi="arial" w:cs="arial"/>
          <w:sz w:val="20"/>
          <w:lang w:val="en-US" w:eastAsia="en-US" w:bidi="ar-SA"/>
        </w:rPr>
        <w:cr/>
      </w:r>
    </w:p>
    <w:p>
      <w:pPr>
        <w:numPr>
          <w:numId w:val="2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claim to lost employment income up to the date of trial is primarily based on the difference between Ms Jenkins' average income between 1995 and 1999, and her income in and after 2000, the year in which she sold her interest in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Jenkins' earnings history between 1995 and 1999 is summarised in the July 26, 2001 report of Associated Economic Consultants Ltd. ("AEC"). The figures from Table 1 of this report are set out below: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1464"/>
        <w:gridCol w:w="1568"/>
        <w:gridCol w:w="1359"/>
        <w:gridCol w:w="1359"/>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Equivalent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T4</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Commission</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Business</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Dollar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Earnings</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Values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255"/>
        <w:gridCol w:w="1255"/>
        <w:gridCol w:w="1673"/>
        <w:gridCol w:w="1464"/>
        <w:gridCol w:w="1359"/>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1995</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$14,300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$3,415</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$17,715</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$19,288</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1996</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$ 7,500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$19,124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$26,624</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$28,397</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$44,052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$44,052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$46,242</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1998</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$16,648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$16,648</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$17,400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1999</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$26,528</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$ 3,464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$29,992</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$31,033</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Avg.</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$28,472</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With the exception of 1997, a year in which Ms Jenkins' income was unusually high, there is no substantial difference between her pre-accident and post-accident pattern of earnings between 1995 and 1999. The variations in annual income could be explained by any one or a combination of variables normally encountered in business. No compensation for loss of income during this period is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Jenkins' year 2000 income, as shown on her tax return, was $14,383.60. This was largely from self-employment in the quilt shop. She sold her interest in the quilt shop in August, 2001. Her 2001 tax return summary indicates a taxable income of $5,182.85.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Jenkins estimated her 2002 income, derived from commission sales of an advertising directory, at $4,600.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Her effort in 2000 toward self-employment in the quilt shop business was reasonable in the circumstances. I find that she has established an entitlement to loss of income in that year based on the difference between her 5-year average between 1995 and 1999 ($27,006), and her reported income for 2000. The amount is $12,622 ($27,006-$14,384).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Jenkins made no effort to secure employment within the scope of her education and physical abilities after it became apparent that the quilt shop could not provide an income commensurate with her training, experience, and effort. She sold her interest in August, 2001. I conclude that Ms Jenkins' failure to mitigate substantially diminishes her claim for wage loss after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Ms Jenkins would have likely received a reduced income even with effective mitigation, I award, for years 2001 and 2002 (up to date of trial), a global sum of $4,500. The total award for past loss of income is $17,122.</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Perquisites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Jenkins claims the present value of various benefits said to be received while she was a co-owner of the restaurant. The Struthers report bases the present value calculation of these benefits on an annual amount of $11,200. The report, addressed to Ms Jenkins' counsel, bases the $11,200 figure on "information you provided on the various benefits Ms Jenkins received ...." The referenced "information", was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Jenkins testified that she received around $400 monthly in food, approximately $500 monthly against expenses for a personal use vehicle, and around $2,000 annually in free vacation trips provided by suppliers to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Jenkins former partner, Mr. Dowling, testified on cross-examination that the business provided meals and food to its owners, though he did not specify a monthly or other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do not consider Ms Jenkins' testimony on the value of "perks" to be reliable. There is a paucity of evidence to support her estimates of these values. I find that she has not proven these losses on a balance of probabilities.</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Business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Jenkins claims damages for loss of profit. Her theory is that the past accident change in her involvement in the business resulted in reduced gross sales and net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Gross sales declined after 1997, going from approximately $388,000 at the 1997 year end to $295,000 for the year ending December 31, 1999. The financial statements show a net income at the May 31, 1997 year end of approximately $20,000. The statements show successive net losses of $9,000 and $10,000 as at the years ending May 31, 1998 and 1999. The year end was changed when she sold her interest. The December 31, 1999 statement shows a net loss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argued for Ms Jenkins that the loss must be measured by taking the 1997 net income (20,000) as a baseline, then calculating the subsequent reduction in profit by adding the baseline amount to the losses in 1998 (20,000 + 9,000 = 29,000) and 1999 (20,000 + 10,000 + 5,000 = 35,000). The total is approximately $64,000. Ms Jenkins claims one half of this figure, approximately $32,000.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indicated above, Mr. Dowling acknowledged some change due to Ms Jenkins' reduced involvement, but attributed the reduced earnings to increased competition and a decline in the local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am not satisfied, on the balance of probabilities, that the reduction in sales was attributable to the change in Ms Jenkins' involvement at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also note that the May 31, 1997 year end coincides with the highest annual income reported by Ms Jenkins for the three year period between 1995 and 1997. She earned around $18,000 in 1995, $27,000 in 1996, and $44,000 in 1997. I conclude that the 1996-1997 fiscal year of the restaurant business could not be considered a representative year for the purpose of a determination of its profitability prior to Ms Jenkins' August, 1997,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This claim is not supported by credible evidence.</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evidence indicates that Ms Jenkins is, in probability, disabled from pursuing some occupations that may previously have been available to her. She is limited in her ability to engage in repeated heavy physical exertion, including lifting. It is not a matter of physical incapacity. It is a matter of intolerable pain that results from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is argued that Ms Jenkins has experienced a 70% disability from involvement in all occupations. This proposition is not only unsupported by the evidence, but contradicted by some of the evidence introduced by Ms Jenkins. The occupational therapist concludes that Ms Jenkins is capable of full-time employment in "sedentary strength work (DOT definitions) or limited strength work (NOC definitions)". These 'definitions' were not in evidence, but the occupational therapist considered most of the demands on Ms Jenkins in the restaurant to be "generally rated as light (NOC 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occupational therapist is of the opinion that Ms Jenkins "would </w:t>
      </w:r>
      <w:r>
        <w:rPr>
          <w:rFonts w:ascii="arial" w:eastAsia="arial" w:hAnsi="arial" w:cs="arial"/>
          <w:b/>
          <w:color w:val="000000"/>
          <w:sz w:val="20"/>
          <w:lang w:val="en-US" w:eastAsia="en-US" w:bidi="ar-SA"/>
        </w:rPr>
        <w:t>have difficulty with</w:t>
      </w:r>
      <w:r>
        <w:rPr>
          <w:rFonts w:ascii="arial" w:eastAsia="arial" w:hAnsi="arial" w:cs="arial"/>
          <w:color w:val="000000"/>
          <w:sz w:val="20"/>
          <w:lang w:val="en-US" w:eastAsia="en-US" w:bidi="ar-SA"/>
        </w:rPr>
        <w:t xml:space="preserve"> reaching and repetitive handling requirements ... prolonged standing/walking requirements and prolonged sitting requirements </w:t>
      </w:r>
      <w:r>
        <w:rPr>
          <w:rFonts w:ascii="arial" w:eastAsia="arial" w:hAnsi="arial" w:cs="arial"/>
          <w:b/>
          <w:color w:val="000000"/>
          <w:sz w:val="20"/>
          <w:lang w:val="en-US" w:eastAsia="en-US" w:bidi="ar-SA"/>
        </w:rPr>
        <w:t>would would be unable to tolerate</w:t>
      </w:r>
      <w:r>
        <w:rPr>
          <w:rFonts w:ascii="arial" w:eastAsia="arial" w:hAnsi="arial" w:cs="arial"/>
          <w:color w:val="000000"/>
          <w:sz w:val="20"/>
          <w:lang w:val="en-US" w:eastAsia="en-US" w:bidi="ar-SA"/>
        </w:rPr>
        <w:t xml:space="preserve"> the extended work hours associated with operating her business". (Emphasis added.) To "have difficulty with" does not suggest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note, further, that the conclusions reached on the extent of Ms Jenkins' disability by Dr. Symonds and Dr. Hershler are not based on objective indicators of injury. While they are both experienced clinicians, their subjective findings are of necessity dependent on their patient's reporting, and it has been established that Ms Jenkins' reporting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conclude that Ms Jenkins is disabled by pain from employment requiring repeated heavy physical exertion or significantly extended hours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Jenkins' work history reveals her past involvement in work she is now unable to perform. I accept Mr. Struthers conclusion that her average income from this employment, adjusted to 2001 dollar values, was $28,472.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statistical information contained in Mr. Struthers report indicates that Ms Jenkins earned considerably less than the average for persons with comparable post-secondary education. With her training and experience, employment that is not excessively physically demanding would likely be available to her. However, her opportunities are somewhat restricted by the limitations on her hours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Of the categories of employment set out in Mr. Struthers report, I find that the retail sales person category best reflects Ms Jenkins' present abilities. The indicated average annual income for persons in Ms Jenkins' age group, employed in this category, is $25,240.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conclude that Ms Jenkins' income earning capacity has been reduced by the difference between her average income before the sale of her interest in the restaurant, and the average annual earnings for a retail sales person. The difference is $3,232.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income multiplier, as applied to each $1,000 of income loss, is, for a person aged 47 in the year 2002, $14,150. This figure incorporates the discount rate as determined under the Law and Equity Act. Mr. Struthers report indicates that labour market contingencies reduce estimates of potential full-time incomes by "about 33% for a female of Ms Jenkins' age and education". It is contended that a more conservative contingency deduction of 10% be employed, on the theory that Ms Jenkins' history reveals an unusually strong attachment to the labour market. I reject this argument. The statistics employed by Mr. Struthers must be assumed to represent the average among persons whose attachment to the labour market would, taken individually, vary. It would thus include persons with a strong attachment to the labour market. The 10% figure posited by Mr. Struthers, on the other hand, appears completely arbitrary.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multiplier, therefore, is $14,150 x .67 = $9,480.50 for each $1,000 loss in annual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award the sum of $30,641 (3.232 x $9,480.50) for loss of future earning capacity.</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Jenkins claims the cost of massage therapy, chiropractic therapy, housekeeping, dental (related to TMJ), and a computer desk and chair. The claimed expenses total $7,558.76.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find that there is no significant change in Ms Jenkins' pre- and post-accident attendance for massage therapy. The relationship between the accident and the TMJ has not been established. I do not accept that Ms Jenkins is disabled from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award the sum of $2,415 for chiropractic treatment and related x-rays, and $300 for the computer desk and chair. The special damages awarded total $2,715.</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Jenkins claims $6,450 as the cost of future care. This relates to claimed future dental costs and future massage therapy. For the reasons noted above, there is no award of damages under this heading.</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following damages are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3"/>
        <w:gridCol w:w="177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Pecuniary damages: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3"/>
        <w:gridCol w:w="3660"/>
        <w:gridCol w:w="1359"/>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income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$17,122</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$30,641</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$ 2,715</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2301"/>
        <w:gridCol w:w="271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$85,478</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If the matter of costs cannot be settled by counsel, submissions may be made before me. Written submissions will suffice, though counsel may set the matter down for hearing if either wishes.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Lapointe v. John Doe, [2015] B.C.J. No. 2071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49512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2071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1742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C.C.L.I. (5th) 166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258 A.C.W.S. (3d) 406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2744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Isobel Lapointe, Plaintiff, and John Doe, Jane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9"/>
      <w:bookmarkEnd w:id="131"/>
      <w:r>
        <w:rPr>
          <w:rFonts w:ascii="arial" w:eastAsia="arial" w:hAnsi="arial" w:cs="arial"/>
          <w:b/>
          <w:color w:val="000000"/>
          <w:sz w:val="20"/>
          <w:lang w:val="en-US" w:eastAsia="en-US" w:bidi="ar-SA"/>
        </w:rPr>
        <w:t>Civil litigation ù- Civil procedure — Judgments and orders — Amendment, rescission and variation — Application by the defendant insurer for reconsideration of an order allowing the plaintiff's application to strike out the s. 24 defence as raising no genuine issue for trial dismissed — Whether or not the decision was erroneous in law remained open and the insurer had filed a notice of appeal.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6"/>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insurer for reconsideration of an order allowing the plaintiff's application to strike out the s. 24 defence on the basis that there was no genuine issue for trial with respect to whether or not the plaintiff had made reasonable efforts to ascertain the identity of the unknown driver or owner. The insurer argued that the order misapplied the law that the striking of the s. 24 defence was not a remedy available under Rule 9-6.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5"/>
            <w:bookmarkEnd w:id="13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declined to reconsider its decision. The issue of whether or not the decision was erroneous in law remained open and the insurer had filed a notice of appeal.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Legislation Cited_17"/>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4"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9-6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5" w:name="Counsel_19"/>
      <w:bookmarkEnd w:id="1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K.V. O'Bray.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R.W. Parsons.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19"/>
      <w:bookmarkEnd w:id="136"/>
      <w:r>
        <w:pict>
          <v:line id="_x0000_s1126"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MASTER R. McDIARMID"/>
            <w:bookmarkEnd w:id="137"/>
            <w:r>
              <w:rPr>
                <w:rFonts w:ascii="arial" w:eastAsia="arial" w:hAnsi="arial" w:cs="arial"/>
                <w:b/>
                <w:color w:val="000000"/>
                <w:sz w:val="30"/>
                <w:lang w:val="en-US" w:eastAsia="en-US" w:bidi="ar-SA"/>
              </w:rPr>
              <w:t>MASTER R. McDIARMID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notice of application filed August 20, 2015, the defendant, Insurance Corporation of British Columbia ("ICBC"), seeks to have me reconsider what is referred to in their notice of application as the "Original Order" and to vary it to dismiss the plaintiff's application to strike paragraph of 2 of Part 3 of the response to civil claim (which ICBC refer to as the "Section 24 Defence") filed by ICBC, to dismiss all other relief sought by the plaintiff in respect of issues relating to the Section 24 Defence so that the defence remains a live issue for trial, and to award costs of the summary judgment application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application came on before me on March 2, 2015. Reasons for judgment were rendered March 19, 2015, cited at </w:t>
      </w:r>
      <w:hyperlink r:id="rId309" w:history="1">
        <w:r>
          <w:rPr>
            <w:rFonts w:ascii="arial" w:eastAsia="arial" w:hAnsi="arial" w:cs="arial"/>
            <w:i/>
            <w:color w:val="0077CC"/>
            <w:sz w:val="20"/>
            <w:u w:val="single"/>
            <w:shd w:val="clear" w:color="auto" w:fill="FFFFFF"/>
            <w:lang w:val="en-US" w:eastAsia="en-US" w:bidi="ar-SA"/>
          </w:rPr>
          <w:t>2015 BCSC 428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support of her application for summary judgment and liability issues in this action, the plaintiff swore an affidavit, the relevant portions of which are reproduced at para. 10 of my reasons. Other relevant facts are found at paras. 11-13 of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set out in para. 15 of my reasons, the responding materials by ICBC contained hearsay statements, which I concluded did not provide admissible evidence in respect of issues which I must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examined for discovery. As set out in para. 18 of my reasons, no portion of her discovery evidence was placed before me and, in particular, nothing was provided from her discovery which contradicts her affidavit evidence. The basis for the legal tests facing me were set out in part at paras. 24-26.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concluded that there was no genuine issue for trial with respect to whether or not the plaintiff had made reasonable efforts to ascertain the identity of the unknown driver/owner.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is apparent that, while the plaintiff, in my view, was entitled to judgment on what ICBC refers to as the "Section 24 Defence", the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driving) on the part of the other defendants, remained issues for trial which needed to be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considered the decision of Associate Chief Justice Cullen in </w:t>
      </w:r>
      <w:r>
        <w:rPr>
          <w:rFonts w:ascii="arial" w:eastAsia="arial" w:hAnsi="arial" w:cs="arial"/>
          <w:i/>
          <w:color w:val="000000"/>
          <w:sz w:val="20"/>
          <w:lang w:val="en-US" w:eastAsia="en-US" w:bidi="ar-SA"/>
        </w:rPr>
        <w:t>Valoroso Foods (1996) Ltd. v. Ma-Nina Ltd.</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2014 BCSC 880</w:t>
        </w:r>
      </w:hyperlink>
      <w:r>
        <w:rPr>
          <w:rFonts w:ascii="arial" w:eastAsia="arial" w:hAnsi="arial" w:cs="arial"/>
          <w:color w:val="000000"/>
          <w:sz w:val="20"/>
          <w:lang w:val="en-US" w:eastAsia="en-US" w:bidi="ar-SA"/>
        </w:rPr>
        <w:t>, where in reaching a decision that no triable issue exists on one of the issues in that case, Cullen, A.C.J., referring to part of the defendant's counsel's submission, writes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He relies on the applicable test under Rule 9-6 as set out in </w:t>
      </w:r>
      <w:r>
        <w:rPr>
          <w:rFonts w:ascii="arial" w:eastAsia="arial" w:hAnsi="arial" w:cs="arial"/>
          <w:i/>
          <w:color w:val="000000"/>
          <w:sz w:val="20"/>
          <w:lang w:val="en-US" w:eastAsia="en-US" w:bidi="ar-SA"/>
        </w:rPr>
        <w:t>Haghdust v. British Columbia Lottery Corporation</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xml:space="preserve">, leave to appeal dismissed </w:t>
      </w:r>
      <w:hyperlink r:id="rId312" w:history="1">
        <w:r>
          <w:rPr>
            <w:rFonts w:ascii="arial" w:eastAsia="arial" w:hAnsi="arial" w:cs="arial"/>
            <w:i/>
            <w:color w:val="0077CC"/>
            <w:sz w:val="20"/>
            <w:u w:val="single"/>
            <w:shd w:val="clear" w:color="auto" w:fill="FFFFFF"/>
            <w:lang w:val="en-US" w:eastAsia="en-US" w:bidi="ar-SA"/>
          </w:rPr>
          <w:t>2012 BCCA 120</w:t>
        </w:r>
      </w:hyperlink>
      <w:r>
        <w:rPr>
          <w:rFonts w:ascii="arial" w:eastAsia="arial" w:hAnsi="arial" w:cs="arial"/>
          <w:color w:val="000000"/>
          <w:sz w:val="20"/>
          <w:lang w:val="en-US" w:eastAsia="en-US" w:bidi="ar-SA"/>
        </w:rPr>
        <w:t>, at paras. 14 and 15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underlying purpose of the summary judgment procedure has been described as preventing claims (or defences) "...that have no chance of success from proceeding to trial" because "[t]rying unmeritorious claims imposes a heavy price in terms of time and cost on the parties to the litigation and on the justice system":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xml:space="preserve"> at para.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Rule provides that if a Court is "satisfied that there is no genuine issue for trial with respect to a claim or defence", the Court "must pronounce judgment or dismiss the claim accordingly: Rule 9-6(5)(a). In my view, this standard, that there is "no genuine issue for trial" is no different than the "bona fide triable issue" standard under the old rule. Thus, for a claim to be dismissed on a summary judgment application, it must be manifestly clear that there is no matter to be tried: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(1981), 25 B.C.L.R. 330</w:t>
      </w:r>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ICBC brings this application to reconsider my decision prior to the original order being entered. Thus, I do have the jurisdiction to reconsider the application, since my order has not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ICBC seeks to have me reconsider because it submits that the original order misapplied the law. Paragraph 6 of the notice of application, Part 2, reads as follows: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Original Order misapplied the law: one day before it was pronounced, the Court of Appeal confirmed that the striking of the Section 24 Defence is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a remedy available under Rule 9-6. The law clarified and confirmed in </w:t>
      </w:r>
      <w:r>
        <w:rPr>
          <w:rFonts w:ascii="arial" w:eastAsia="arial" w:hAnsi="arial" w:cs="arial"/>
          <w:i/>
          <w:color w:val="000000"/>
          <w:sz w:val="20"/>
          <w:lang w:val="en-US" w:eastAsia="en-US" w:bidi="ar-SA"/>
        </w:rPr>
        <w:t>Century Services</w:t>
      </w:r>
      <w:r>
        <w:rPr>
          <w:rFonts w:ascii="arial" w:eastAsia="arial" w:hAnsi="arial" w:cs="arial"/>
          <w:color w:val="000000"/>
          <w:sz w:val="20"/>
          <w:lang w:val="en-US" w:eastAsia="en-US" w:bidi="ar-SA"/>
        </w:rPr>
        <w:t xml:space="preserve"> was not the subject of submissions and was not considered by the Master. Yet it was relevant, binding appellate authority as of the date [of] the Original Order, and it confirms that the court had no jurisdiction to strike the Section 24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ICBC framed the question as being one of jurisdiction and submitted that I did not have jurisdiction to make the order I made based on the authority of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submits that </w:t>
      </w:r>
      <w:r>
        <w:rPr>
          <w:rFonts w:ascii="arial" w:eastAsia="arial" w:hAnsi="arial" w:cs="arial"/>
          <w:i/>
          <w:color w:val="000000"/>
          <w:sz w:val="20"/>
          <w:lang w:val="en-US" w:eastAsia="en-US" w:bidi="ar-SA"/>
        </w:rPr>
        <w:t>Century Services</w:t>
      </w:r>
      <w:r>
        <w:rPr>
          <w:rFonts w:ascii="arial" w:eastAsia="arial" w:hAnsi="arial" w:cs="arial"/>
          <w:color w:val="000000"/>
          <w:sz w:val="20"/>
          <w:lang w:val="en-US" w:eastAsia="en-US" w:bidi="ar-SA"/>
        </w:rPr>
        <w:t xml:space="preserve"> is inapplicable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plaintiff submits that I ought not to reconsider the original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test for reconsideration has been dealt with by Madam Justice Russell in </w:t>
      </w:r>
      <w:r>
        <w:rPr>
          <w:rFonts w:ascii="arial" w:eastAsia="arial" w:hAnsi="arial" w:cs="arial"/>
          <w:i/>
          <w:color w:val="000000"/>
          <w:sz w:val="20"/>
          <w:lang w:val="en-US" w:eastAsia="en-US" w:bidi="ar-SA"/>
        </w:rPr>
        <w:t>Barton v. Ophus</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2010 BCSC 39</w:t>
        </w:r>
      </w:hyperlink>
      <w:r>
        <w:rPr>
          <w:rFonts w:ascii="arial" w:eastAsia="arial" w:hAnsi="arial" w:cs="arial"/>
          <w:color w:val="000000"/>
          <w:sz w:val="20"/>
          <w:lang w:val="en-US" w:eastAsia="en-US" w:bidi="ar-SA"/>
        </w:rPr>
        <w:t>, at paras. 9-11: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Prior to the entry of the formal order, a trial judge has a wide discretion to re-open the trial. This discretion should be exercised sparingly and with the greatest care so as to prevent fraud and abuse of the Court's process. The discretion is not limited to instances where the applicant seeks to adduce further evidence, although it appears that is usually the basis for the application: </w:t>
      </w:r>
      <w:r>
        <w:rPr>
          <w:rFonts w:ascii="arial" w:eastAsia="arial" w:hAnsi="arial" w:cs="arial"/>
          <w:i/>
          <w:color w:val="000000"/>
          <w:sz w:val="20"/>
          <w:lang w:val="en-US" w:eastAsia="en-US" w:bidi="ar-SA"/>
        </w:rPr>
        <w:t>G.C.H. v. H.E.H</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2009 BCSC 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discretion to re-open may also properly be exercised where the trial judge is satisfied, either because of the argument of one of the parties, or on the basis of his or her own reconsideration of the record, that the original judgment was in error because it overlooked or misconstrued material evidence, or misapplied the law: </w:t>
      </w:r>
      <w:r>
        <w:rPr>
          <w:rFonts w:ascii="arial" w:eastAsia="arial" w:hAnsi="arial" w:cs="arial"/>
          <w:i/>
          <w:color w:val="000000"/>
          <w:sz w:val="20"/>
          <w:lang w:val="en-US" w:eastAsia="en-US" w:bidi="ar-SA"/>
        </w:rPr>
        <w:t>Sykes v. Sykes</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(1995), 6 B.C.L.R. (3d) 296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On an application to reopen a trial, the applicant must establish on a balance of probabilities that a miscarriage of justice would likely occur without a rehearing and that the argument sought to be presented on the further hearing would probably change the result of the trial: </w:t>
      </w:r>
      <w:r>
        <w:rPr>
          <w:rFonts w:ascii="arial" w:eastAsia="arial" w:hAnsi="arial" w:cs="arial"/>
          <w:i/>
          <w:color w:val="000000"/>
          <w:sz w:val="20"/>
          <w:lang w:val="en-US" w:eastAsia="en-US" w:bidi="ar-SA"/>
        </w:rPr>
        <w:t>G.C.H. v. H.E.H</w:t>
      </w:r>
      <w:r>
        <w:rPr>
          <w:rFonts w:ascii="arial" w:eastAsia="arial" w:hAnsi="arial" w:cs="arial"/>
          <w:color w:val="000000"/>
          <w:sz w:val="20"/>
          <w:lang w:val="en-US" w:eastAsia="en-US" w:bidi="ar-SA"/>
        </w:rPr>
        <w:t>. In general, reconsideration of an issue is not an alternative to an appeal and the overriding consideration is whether the applicant can establish that in the absence of a rehearing, a miscarriage of justice would probably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Greenberg v. Shanghai Real Estate Limited</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2011 BCSC 908</w:t>
        </w:r>
      </w:hyperlink>
      <w:r>
        <w:rPr>
          <w:rFonts w:ascii="arial" w:eastAsia="arial" w:hAnsi="arial" w:cs="arial"/>
          <w:color w:val="000000"/>
          <w:sz w:val="20"/>
          <w:lang w:val="en-US" w:eastAsia="en-US" w:bidi="ar-SA"/>
        </w:rPr>
        <w:t>, Madam Justice Dillon, at para. 14,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principles that apply to an application to re-open a trial to adduce fresh evidence were summarized by Ehrcke J. in </w:t>
      </w:r>
      <w:r>
        <w:rPr>
          <w:rFonts w:ascii="arial" w:eastAsia="arial" w:hAnsi="arial" w:cs="arial"/>
          <w:b/>
          <w:i/>
          <w:color w:val="000000"/>
          <w:sz w:val="20"/>
          <w:lang w:val="en-US" w:eastAsia="en-US" w:bidi="ar-SA"/>
        </w:rPr>
        <w:t>Zhu v. Li</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2007 BCSC 1467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Zhu</w:t>
      </w:r>
      <w:r>
        <w:rPr>
          <w:rFonts w:ascii="arial" w:eastAsia="arial" w:hAnsi="arial" w:cs="arial"/>
          <w:color w:val="000000"/>
          <w:sz w:val="20"/>
          <w:lang w:val="en-US" w:eastAsia="en-US" w:bidi="ar-SA"/>
        </w:rPr>
        <w:t xml:space="preserve">], leave to appeal ref'd </w:t>
      </w:r>
      <w:hyperlink r:id="rId320" w:history="1">
        <w:r>
          <w:rPr>
            <w:rFonts w:ascii="arial" w:eastAsia="arial" w:hAnsi="arial" w:cs="arial"/>
            <w:i/>
            <w:color w:val="0077CC"/>
            <w:sz w:val="20"/>
            <w:u w:val="single"/>
            <w:shd w:val="clear" w:color="auto" w:fill="FFFFFF"/>
            <w:lang w:val="en-US" w:eastAsia="en-US" w:bidi="ar-SA"/>
          </w:rPr>
          <w:t>2008 BCCA 239</w:t>
        </w:r>
      </w:hyperlink>
      <w:r>
        <w:rPr>
          <w:rFonts w:ascii="arial" w:eastAsia="arial" w:hAnsi="arial" w:cs="arial"/>
          <w:color w:val="000000"/>
          <w:sz w:val="20"/>
          <w:lang w:val="en-US" w:eastAsia="en-US" w:bidi="ar-SA"/>
        </w:rPr>
        <w:t>. After a thorough review of the cases, he said at para. 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 From the cases, I conclude that the following principles apply to an application to re-open a trial to adduce fresh evidence:</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entry of the formal order, a trial judge has a wide discretion to re-open the trial to hear new evidence.</w:t>
      </w:r>
    </w:p>
    <w:p>
      <w:pPr>
        <w:numPr>
          <w:numId w:val="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discretion should be exercised sparingly and with the greatest care so as to prevent fraud and abuse of the court's process.</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applicant to show first that a miscarriage of justice would probably occur if the trial is not re-opened and second that the new evidence would probably change the result.</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the proposed fresh evidence is a relevant consideration in deciding whether its admission would probably change the result.</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question of whether the evidence could have been presented at trial by the exercise of due diligence is not necessarily determinative, it may be an important consideration in deciding whether a miscarriage of justice would probably occur if the trial is not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is obviously not a case where there is proposed fresh evidence; rather, this is a case where ICBC submits that I have misapplied the law. The proper remedy for a master making an error in law is to appeal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disagrees that the law was misapplied.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there is the obvious factor to consider here, which is that the objection to "litigation in slices" was not argued before me in March. ICBC contested the application by attempting to demonstrate that there was conflicting evidence. I determined there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ICBC submits that it has established that a miscarriage of justice would likely occur without a re-hearing because the original decision was based on a misapprehension of the law. On the other hand, the plaintiff submits that a miscarriage of justice would likely occur by forcing the plaintiff to re-litigate an issue which, based on all of the material to date, ICBC has no chance of succeeding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This does not seem to be a situation such as was facing the Court of Appeal in </w:t>
      </w:r>
      <w:r>
        <w:rPr>
          <w:rFonts w:ascii="arial" w:eastAsia="arial" w:hAnsi="arial" w:cs="arial"/>
          <w:i/>
          <w:color w:val="000000"/>
          <w:sz w:val="20"/>
          <w:lang w:val="en-US" w:eastAsia="en-US" w:bidi="ar-SA"/>
        </w:rPr>
        <w:t>Century Services</w:t>
      </w:r>
      <w:r>
        <w:rPr>
          <w:rFonts w:ascii="arial" w:eastAsia="arial" w:hAnsi="arial" w:cs="arial"/>
          <w:color w:val="000000"/>
          <w:sz w:val="20"/>
          <w:lang w:val="en-US" w:eastAsia="en-US" w:bidi="ar-SA"/>
        </w:rPr>
        <w:t>; rather, it was an application after examination for discovery on admissible affidavit evidence decided in favour of the plaintiff, the result of which will serve to shorten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issue of whether or not the decision was erroneous in law remains open. ICBC filed a notice of appeal on March 31,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decline to reconsider my decision. Seeking to reconsider at this late date as well as to appeal strikes me as an abuse of the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the parties cannot agree on costs, they have liberty to address me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LaRoche v. HARS Systems Inc., [2001] B.C.J. No. 217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8 and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S040897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86 B.C.L.R. (3d) 166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C.P.C. (5th)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902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Nicholas LaRoche, petitioner, and HARS Systems Inc.,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8" w:name="Keywords_20"/>
      <w:bookmarkEnd w:id="138"/>
      <w:r>
        <w:rPr>
          <w:rFonts w:ascii="arial" w:eastAsia="arial" w:hAnsi="arial" w:cs="arial"/>
          <w:b/>
          <w:color w:val="000000"/>
          <w:sz w:val="20"/>
          <w:lang w:val="en-US" w:eastAsia="en-US" w:bidi="ar-SA"/>
        </w:rPr>
        <w:t>Company law — Actions by corporations — Derivative actions — Application for leave — Practice — Settlements — Evidence — Continuation of action after settlement — By shareholder of plaintiff corporation.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9" w:name="Case Summary_17"/>
            <w:bookmarkEnd w:id="1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LaRoche for leave to continue the prosecution of two actions brought by HARS Systems against Wilderman, who was a former director of HARS, and his company, Northway, in the province of Alberta. LaRoche was a shareholder and a former president of HARS. Wilderman and Northway were retained by HARS to provide management services. Wilderman and Northway brought two actions against HARS in respect of advances made by Wilderman on behalf of HARS, and for unpaid management fees. HARS then brought two actions against Wilderman and Northway for damages for actions taken by Wilderman and Northway that it alleged were not authorized by the Board of Directors of HARS. HARS settled the two actions by Wilderman and argued that all four actions were settled at the same time. HARS argued that it had brought the actions against Wilderman as a tactical measure to encourage settlement of the two actions brought by Wilderman, which it knew would be successful.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0" w:name="Holdings of Court_16"/>
            <w:bookmarkEnd w:id="140"/>
            <w:r>
              <w:rPr>
                <w:rFonts w:ascii="arial" w:eastAsia="arial" w:hAnsi="arial" w:cs="arial"/>
                <w:color w:val="000000"/>
                <w:sz w:val="20"/>
                <w:lang w:val="en-US" w:eastAsia="en-US" w:bidi="ar-SA"/>
              </w:rPr>
              <w:t>HELD: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actions between Wilderman and HARS were all settled together. The proposed actions by LaRoche had no reasonable prospect of success as a result of the settlement. There was no evidence that the actions brought by HARS had any merit apart from the prospect of encouraging a settlement of the other actions. In addition, the court did not have the jurisdiction to give leave to LaRoche to prosecute an action brought in Alberta rather than in British Columbia.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Legislation Cited_18"/>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9"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Company Act, R.S.B.C. 1996, c. 62, ss. 36, 37, 37(2), 201, 201(1), 201(1)(b), 201(2), 201(3), 201(3)(a).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Business Corporations Act, R.S.C. 1985, c. 44.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2" w:name="Counsel_20"/>
      <w:bookmarkEnd w:id="1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T.G. Keast, for the petitioner. R.J. McDonell,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0"/>
      <w:bookmarkEnd w:id="143"/>
      <w:r>
        <w:pict>
          <v:line id="_x0000_s1131"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HOOD J."/>
            <w:bookmarkEnd w:id="144"/>
            <w:r>
              <w:rPr>
                <w:rFonts w:ascii="arial" w:eastAsia="arial" w:hAnsi="arial" w:cs="arial"/>
                <w:b/>
                <w:color w:val="000000"/>
                <w:sz w:val="30"/>
                <w:lang w:val="en-US" w:eastAsia="en-US" w:bidi="ar-SA"/>
              </w:rPr>
              <w:t>HOOD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 Nicholas LaRoche, is a member and beneficial owner of shares in the Respondent, HARS Systems Inc., and a former President of it. He is qualified to bring a derivative action under the provisions of s. 201 of the British Columbia Company Act, (the "Company Act"), </w:t>
      </w:r>
      <w:hyperlink r:id="rId328" w:history="1">
        <w:r>
          <w:rPr>
            <w:rFonts w:ascii="arial" w:eastAsia="arial" w:hAnsi="arial" w:cs="arial"/>
            <w:i/>
            <w:color w:val="0077CC"/>
            <w:sz w:val="20"/>
            <w:u w:val="single"/>
            <w:shd w:val="clear" w:color="auto" w:fill="FFFFFF"/>
            <w:lang w:val="en-US" w:eastAsia="en-US" w:bidi="ar-SA"/>
          </w:rPr>
          <w:t>R.S.B.C. 1996, 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HARS Systems Inc. is a reporting company duly incorporated under the Company Act and is extra-provincially registered to carry on business in the Province of Alberta. Its shares are traded on the Canadian Venture Exchange. It carries on the business of operating an on-line reservation system for hotels and other travel industry businesses. It does so through a wholly owned subsidary, B.I.P. International (1984)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These proceedings also involve a Mr. G. Wilderman, a Shareholder and previous Director, President and Chief Executive Officer of HARS, and his company, Northway Management Inc., also a Shareholder of HARS, both of whom were retained by HARS to provide management services, and did so, during the relevant period. Neither Mr. Wilderman, nor Northway, or their evidence, is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Petitioner seeks an Order under s. 201 of the Company Act that he be given leave to control the conduct of, and thus to prosecute, two actions brought by HARS against Mr. Wilderman and Northway, both in the Province of Alberta, for substantial damages for actions taken by Mr. Wilderman and Northway, contrary to the directions of the Board of HARS, or without the Board's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two actions were referred to by Counsel as the "HARS October 1995 action" and the "HARS January 1996 action". In the former action HARS claimed damages in the amount of $5 million and punitive damages in the amount of $100,000.00. In the latter action it claimed damages in the amount of $970,725.00 and punitive damages in the amount of $2 million US. The actions have not been prosecuted by the Directors of HARS since the Statements of Claim were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relief sought in the Petition is somewhat wider than that sought before me today. Mr. Keast, for the Petitioner, submits that the narrow and threshold issue which I must determine in these proceedings is whether the two actions were in fact settled. Other issues, such as if there was a settlement, was it improvident, can be adjourned. His argument, as I understand it, is that if the evidence discloses that the two actions were settled, that ends the matter. However, if I am not satisfied that the evidence before me discloses a settlement, then the Petitioner should be given leave to prosecute the two actions. Mr. Wilderman and Northway can then defend them on the basis of settlement, if that is in fact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McDonell, for the Respondent HARS, raises a number of defences on the application. As to the settlement issue, HARS maintains that the two Alberta actions referred to were settled, together with two other actions brought against HARS by Mr. Wilderman and Northway, at the same time. In the first action, commenced December 7, 1995, Mr. Wilderman claimed $42,000.00 for advances made by him on behalf of HARS. In the second action which was commenced on March 4, 1996, he and Northway claimed $373,000.00, for unpaid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observe here that it is common ground that the two Wilderman and Northway actions were in fact settled in late April, 1996, when HARS paid to Mr. Wilderman approximately $242,000.00. HARS raised the money through a new share issue and share transactions. HARS says that all four actions were settled at that time. Mr. LaRoche asserts that only the two Wilderman and Northway actions were settled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other defences raised by HARS are:</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without jurisdiction to make the Orders sought with regard to the Alberta actions;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bringing these proceedings the Petitioner is not acting in good faith;</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in the interests of HARS to prosecute, or attempt to prosecute, the two actions commenced in Alberta;</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asserted in the Petition on which the application is based, particularly with reference to the merits of the two actions against Mr. Wilderman and Northway, are not supported by affidavit evidence as required by Rule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main, Mr. LaRoche relies on his affidavit evidence, as well as that of Mr. William Blackstock and Ms. J. Ryan. Mr. Blackstock was a Director of HARS from September 17, 1986 to March 20 1998, and its President from September 17, 1986 to January 29, 1988. Mr. LaRoche was a Director from September 17, 1986 to March 30, 1990, and at various times held the position of Treasurer, Secretary or President, for short periods of time. Ms. Ryan was HARS' Credit and Collection Manager from either July 1994 or 1995 to December of 1996. Her evidence was only referred to with regard to the financial status of HARS at the material time. While Mr. Keast relies on her evidence as refuting Mr. Broadhurst's evidence that at the material time of April and early May of 1996, HARS was in financial difficulty, her evidence does seem to confirm that HARS was not in good financial circumstances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HARS in the main relies on the affidavit evidence of Mr. M. Broadhurst, who has been a Director of HARS since February 14, 1995, and its Vice-President since September 26, 1996. Both Mr. Broadhurst and Mr. LaRoche were cross-examined on their affidavits; although Counsel only referred to Mr. Broadhurst's evidence on cross-examination pertaining to the contents of the two page hand-written Settlement Agreement dated April 28, 1996, which he said was read at the May 1, 1996, Board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perhaps should have noted earlier that Mr. Wilderman was a Director of HARS, on two occasions, from September 29, 1986 to January 27, 1989, and from March 30, 1990 to March 21, 1996. He was also its President on two occasions, from January 29, 1988 to January 27, 1989, and from March 27, 1992 to March 21, 1996. Apparently he, Mr. Wilderman, replaced Mr. LaRoche when he became President on March 30,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will note here as well, that in my view, this is not the case of an uninformed member, or one having no knowledge of the merits. Mr. Blackstock was a Director and Board member of HARS throughout the material period, and Mr. LaRoche would have had Mr. Blackstock's knowledge available to him, as well as access to HARS'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cases say that my task is not to decide the merits of the case, or issues of credibility, on this application. This is much easier said that done. For it seems to me that I must consider the whole of the relevant evidence to determine the issues before me, to which I will turn in a moment, and to that extent there must be some weighing of the evidence. Were it otherwise, then the mere assertions of the Applicant would always win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road map for a Judge of this Court in this situation was precisely set out by Tysoe, J. of this Court in Primex Investments Ltd., v. Northwest Sports Enterprises Ltd., </w:t>
      </w:r>
      <w:hyperlink r:id="rId329" w:history="1">
        <w:r>
          <w:rPr>
            <w:rFonts w:ascii="arial" w:eastAsia="arial" w:hAnsi="arial" w:cs="arial"/>
            <w:i/>
            <w:color w:val="0077CC"/>
            <w:sz w:val="20"/>
            <w:u w:val="single"/>
            <w:shd w:val="clear" w:color="auto" w:fill="FFFFFF"/>
            <w:lang w:val="en-US" w:eastAsia="en-US" w:bidi="ar-SA"/>
          </w:rPr>
          <w:t>[1996] 4 W.W.R. 54</w:t>
        </w:r>
      </w:hyperlink>
      <w:r>
        <w:rPr>
          <w:rFonts w:ascii="arial" w:eastAsia="arial" w:hAnsi="arial" w:cs="arial"/>
          <w:color w:val="000000"/>
          <w:sz w:val="20"/>
          <w:lang w:val="en-US" w:eastAsia="en-US" w:bidi="ar-SA"/>
        </w:rPr>
        <w:t xml:space="preserve"> (S.C.) at pg. 69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authorities are clear that the Court should not attempt to try the case when deciding whether the requirements in s. 225(3)(c) has been satisfied. The Court should determine </w:t>
      </w:r>
      <w:r>
        <w:rPr>
          <w:rFonts w:ascii="arial" w:eastAsia="arial" w:hAnsi="arial" w:cs="arial"/>
          <w:color w:val="000000"/>
          <w:sz w:val="20"/>
          <w:u w:val="single"/>
          <w:lang w:val="en-US" w:eastAsia="en-US" w:bidi="ar-SA"/>
        </w:rPr>
        <w:t>whether the proposed action has a reasonable prospect of success or is bound</w:t>
      </w:r>
      <w:r>
        <w:rPr>
          <w:rFonts w:ascii="arial" w:eastAsia="arial" w:hAnsi="arial" w:cs="arial"/>
          <w:color w:val="000000"/>
          <w:sz w:val="20"/>
          <w:lang w:val="en-US" w:eastAsia="en-US" w:bidi="ar-SA"/>
        </w:rPr>
        <w:t xml:space="preserve"> to fail. If it is asserted that the proposed defendants in the derivative action have a defence to the claim, </w:t>
      </w:r>
      <w:r>
        <w:rPr>
          <w:rFonts w:ascii="arial" w:eastAsia="arial" w:hAnsi="arial" w:cs="arial"/>
          <w:color w:val="000000"/>
          <w:sz w:val="20"/>
          <w:u w:val="single"/>
          <w:lang w:val="en-US" w:eastAsia="en-US" w:bidi="ar-SA"/>
        </w:rPr>
        <w:t>the Court must decide whether such a defence is bound to be accepted by a Trial Judge following the completion of the trial of the derivative action</w:t>
      </w:r>
      <w:r>
        <w:rPr>
          <w:rFonts w:ascii="arial" w:eastAsia="arial" w:hAnsi="arial" w:cs="arial"/>
          <w:color w:val="000000"/>
          <w:sz w:val="20"/>
          <w:lang w:val="en-US" w:eastAsia="en-US" w:bidi="ar-SA"/>
        </w:rPr>
        <w:t>. It is not necessary for the applicant to show that the action will be more likely to succeed than not. As noted in the Dickerson Report, the Court should also be satisfied that the potential relief in the proposed action is sufficient to justify the inconvenience to the company of being involved in the action.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application then, the issues to be determined, although depending on the individual case, will be whether the proposed action has a reasonable prospect of success or is bound to fail, whether an asserted defence is bound to be accepted by the Trial Judge, and whether the potential relief sought is sufficient to justify the inconvenience to the company of being involved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 recent case, Discovery Enterprises Inc. v. Ebco Industries Ltd. (1998), 50 B.C.L.R. (3d) 196, Mr. Justice Cumming, speaking for the Court of Appeal, briefly refers to the matter at pg. 198, after referring to Mr. Justice Tysoe's conclusions in Primex with approval. There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enter upon a determination of whether the Respondent's explanation of events is sufficient to dispose of the shareholders' complaint involves going further into the merits than required for the purposes of granting leave. "The sole purpose of considering the Respondent's versions of the facts is to test the reasonableness on its face of the Petitioner's version" see: Appotive v. Computrex Centres Ltd. </w:t>
      </w:r>
      <w:hyperlink r:id="rId330" w:history="1">
        <w:r>
          <w:rPr>
            <w:rFonts w:ascii="arial" w:eastAsia="arial" w:hAnsi="arial" w:cs="arial"/>
            <w:i/>
            <w:color w:val="0077CC"/>
            <w:sz w:val="20"/>
            <w:u w:val="single"/>
            <w:shd w:val="clear" w:color="auto" w:fill="FFFFFF"/>
            <w:lang w:val="en-US" w:eastAsia="en-US" w:bidi="ar-SA"/>
          </w:rPr>
          <w:t>(1981), 16 B.L.R. 133</w:t>
        </w:r>
      </w:hyperlink>
      <w:r>
        <w:rPr>
          <w:rFonts w:ascii="arial" w:eastAsia="arial" w:hAnsi="arial" w:cs="arial"/>
          <w:color w:val="000000"/>
          <w:sz w:val="20"/>
          <w:lang w:val="en-US" w:eastAsia="en-US" w:bidi="ar-SA"/>
        </w:rPr>
        <w:t xml:space="preserve"> (B.C.S.C.) at 137 and Walter E. Heller Financial Corp. v. Powell River Town Centre Ltd. </w:t>
      </w:r>
      <w:hyperlink r:id="rId331" w:history="1">
        <w:r>
          <w:rPr>
            <w:rFonts w:ascii="arial" w:eastAsia="arial" w:hAnsi="arial" w:cs="arial"/>
            <w:i/>
            <w:color w:val="0077CC"/>
            <w:sz w:val="20"/>
            <w:u w:val="single"/>
            <w:shd w:val="clear" w:color="auto" w:fill="FFFFFF"/>
            <w:lang w:val="en-US" w:eastAsia="en-US" w:bidi="ar-SA"/>
          </w:rPr>
          <w:t>(1983), 49 B.C.L.R. 145</w:t>
        </w:r>
      </w:hyperlink>
      <w:r>
        <w:rPr>
          <w:rFonts w:ascii="arial" w:eastAsia="arial" w:hAnsi="arial" w:cs="arial"/>
          <w:color w:val="000000"/>
          <w:sz w:val="20"/>
          <w:lang w:val="en-US" w:eastAsia="en-US" w:bidi="ar-SA"/>
        </w:rPr>
        <w:t xml:space="preserve"> (B.C.S.C.) at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Appotive the applicant shareholder applied for leave to bring an action in the name of the company against three directors of the company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and against a fourth person for an accounting of profits. In response to the Petition, the four proposed filed lengthy affidavits. And the respondent company submitted that the affidavits were sufficient explanation of the matters raised in the Petition, and in the supporting material, that the Order sought ought to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response to this submission Mr. Justice Rae, a fine Judge of this Court, had this to say at pg. 137: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enter upon the determination of whether the explanations given are sufficient appears to me not to be the proper course on an application of this kind. That will involve going into the merits further than is required or proper for the immediate purposes of this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simply is whether the Petitioner has shown, prima facie, that it is in the interests of the company that the action be brought. On the material before me I am satisfied that it is. The Applicant has raised fair questions as to the alleged commission of the alleged wrong sufficient to say that the merits of the claims proposed to be put forth should properly and appropriately be considered in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Walter E. Heller Financial Corp. was a case which turned on the credibility of the three primary witnesses, Barr, Sewell and Toigo, whose evidence was in conflict. At pg. 150 Mr. Justice MacDonald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rights of the parties will be resolved on the basis of which version of those facts is found to be correct. The authorities are clear that it is not appropriate to resolve such issues at this stage of the proceedings on the basis of conflicting affidavits which have not even been tested by cross-examination. Such conflict should be resolved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pg. 153, continuing: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is that the opposing parties do put their differing views before the Court, and they become a factor in the exercise of the Court's discretion. However, where the opposing views are at opposite poles and an issue of credibility clearly arises, as here, the sole purpose in considering the Respondents' version of the facts is to test the reasonableness on its face of the Petitioners'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MacDonald, J. then went on, in effect, to find that Sewell had shown that he had a reasonable prospect of establishing that Barr had availed himself of a maturing business opportunity; and granted Sewell leave to defend the action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point out here that in my view there is much documentary, common and uncontradicted evidence before me on the narrow issue of whether or not the two actions were settled. It is not simply a case of version v. version or explanation as in Appotive. Nor it is a case like Walter E. Heller where credibility was the only real issue. There are some conflicts in the evidence on the issue, but most of the conflicting evidence pertains to what went on during the May 1, 1996 Board meeting, and whether the Board approved the settlement of those two actions at that time, and whether the settlement was improvident.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And it seems to me that my task goes beyond simply considering HARS' version in order to test the reasonableness, on its face, of the Petitioner's version. In my view, all of the evidence pertaining to the asserted settlements should be considered when determining the primary issue, unless and until I reach a point where I am able to do so, whether it be stated as: Has the Petitioner established that there is a reasonable prospect that the actions will succeed, whether the actions are bound to fail, or whether the defences of settlement are bound to be accepted by the Trial Judge. In any event, if I am wrong, applying the stated test, that is, when considering HARS' version of the facts relating to settlement, to test the reasonableness on its face of the Petitioner's version, the latter version is left wanting.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clear from the contents of the Petition, which is some 27 pages in length, and of other documents, including his affidavit, that Mr. LaRoche asserts that at some time he became unhappy with Mr. Wilderman's performance in his various capacities with HARS, including his Management Agreement and the subsequent Management Agreement with Northway; that he considered him to be incompetent. He alleges that as a result HARS suffered substantial damages. According to him, his numerous warnings about Mr. Wilderman to the other Board members went unheeded.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equally clear that Mr. LaRoche was also unhappy with the conduct of the President of HARS, Mr. J.W. Pfeffer, and that of Mr. Broadhurst, the Vice-President, during the relevant period of time, although their conduct, which he impugns, was approved by the Board of Directors. He accuses Mr. Pfeffer and Mr. Broadhurst of being parties to what amounts to a fraudulent settlement scheme involving the four Alberta actions between HARS, Mr. Wilderman and Northway, which he says was simply designed to increase Mr. Pfeffer's already substantial shareholdings in HARS. Mr. Keast puts it this way, in brief general terms, in his written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what occurred at the end of April 1996 was that Pfeffer wanted to increase his interest in HARS and use his already substantial voting power to eliminate the Travises from management, and clear the way for him to get shares from Wilderman by making the kind of deal that Broadhurst 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July 17, 1996, some two and a half months after the May 1, 1996 Board meeting, during which HARS says the Board approved the settlement involving all of the actions, Mr. LaRoche commenced action in this Court against HARS, Mr. Wilderman, Northway, Mr. Pfeffer, Mr. Broadhurst, and the other Directors, claiming substantial general and exemplary damages for various wrongful acts on their part; including entering into the fraudulent settlement scheme, and which included the settlement of HARS' two actions in question. The Statement of Claim filed in this action seems to track somewhat the present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noted, and emphasised by Mr. McDonell, that in the action Mr. LaRoche acknowledges settlement of all four Alberta actions, alleging that the settlement of HARS' two actions was improvident and the result of the fraudulent scheme to which I referred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November 21, 1997, Mr. LaRoche wrote to the B.C. Securities Commission complaining of these various matters, and, in particular, the fraudulent settlement scheme referred to. At pg. 2 of his letter he deals with the private share placement used by HARS to raise the settlement funds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certified Private Placement approved on May 14, 1996 by the Vancouver Stock Exchange was in fact part of a scheme to settle the amount owing by the company to Northway and forgiving $7 million in damages owed the company. At the May 1, 1996, Directors Meeting, the current Director and President of the Company, John Pfeffer and/or his U.S.A. company, Micro Instruments Corp., had previously agreed to provide Giles H. Wilderman $220,000.00 to purchase the 1,100,000 share Certificate Private Placement. For doing this John Pfeffer and/or Micro would receive from Giles H. Wilderman 1,100,000 free trading shares previously and/or controlled and/or owned by Wilderman and Northway. You will note John Pfeffer had already subscribed on May 2, 1996, for 950,000 shares by way of a certified Private Placement. Combine this with the 1,100,000 shares he purchased from Wilderman, he would be in breach of the Securities Regulations and Policies applicable. You can see this was a devious manoeuvre to increase his control position without filing insider reports and publicly announcing it, and this deliberately dilutes the shareholders'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pg. 6 of his letter he also states with regard to the Certified Private Placement: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main complaint was approving the issuance of this Private Placement to a previous Director and Officer to increase his ownership in the company. When in fact this individual had $7 million in claims for damages filed against him by the company in the Court of Queen Bench in Alberta. This issue was in fact part of a scheme to resolve a Northway Management Inc. debt, to provide the current President and Director, John Pfeffer, with more free trading shares and to provide money for Wilderman to go through the charade of purchasing stock and being paid by the $220,000.00 he agreed to pay for the stock at the same time, wiping out all claims against him and </w:t>
      </w:r>
      <w:r>
        <w:rPr>
          <w:rFonts w:ascii="arial" w:eastAsia="arial" w:hAnsi="arial" w:cs="arial"/>
          <w:color w:val="000000"/>
          <w:sz w:val="20"/>
          <w:u w:val="single"/>
          <w:lang w:val="en-US" w:eastAsia="en-US" w:bidi="ar-SA"/>
        </w:rPr>
        <w:t>wiping out all debts owed to Northway Management Inc. The Minutes of the Directors Meeting of May 1, 1996, indicate this took place</w:t>
      </w:r>
      <w:r>
        <w:rPr>
          <w:rFonts w:ascii="arial" w:eastAsia="arial" w:hAnsi="arial" w:cs="arial"/>
          <w:color w:val="000000"/>
          <w:sz w:val="20"/>
          <w:lang w:val="en-US" w:eastAsia="en-US" w:bidi="ar-SA"/>
        </w:rPr>
        <w:t>, refer to Exhibit "E" in my affidavit. John Pfeffer in return would in effect have purchased these shares from Wilderman by Wilderman selling to John Pfeffer 1,100,000 shares free trading that were owned and controlled by Northway and Mr. Wilderman for the same $220,000.00 used to purchase this Private Placement from HARS. This manoeuvre resolves the Northway debt owing by HARS, with no change to the Northway and the Wilderman share ownership position, and secretly agreeing with HARS, under John Pfeffer's direction, not to proceed with its $7 million in claims against Northway and Wilderman.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McDonell said that he relies on the Petitioner's evidence, as contained in the Statement of Claim in the action referred to, and in his letter to the Securities Commission, because the Petitioner thereby acknowledged the settlement of the two actions, and in fact sued on them. This is contrary to his present position that the two actions were not settled. There is no explanation for the change of position, other than the Petitioner's reference to it in his November 12, 1997 affidavit. Now, says Mr. McDonell, five years later the Petitioner brings this application on the basis that no settlements were made, and simply on the basis of the lack of what amounts to closing documents. Again, he submitted that there was no explanation before the Court why the Petitioner took three and a half years to bring the application on, with regard to matters which occurred five years earlier; and that the evidence clearly showed that the two actions had been settled, and that the Settlement Agreement has been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Keast argued that sometime after commencing the action Mr. LaRoche agreed to discontinue the action (although apparently he has not done so) on learning that the HARS' October 1995 action and HARS' January 1996 action had not been settled, also referring to Mr. LaRoche's affidavit dated November 12, 1997. That evidence suggests that his conclusion that the two actions had not been settled is simply based on a search of the Court Registry in Calgary which apparently showed that no Consent Dismissal Order, or Discontinuance, had been filed in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is that on October 17, 1995, HARS' Board resolved that Mr. Wilderman should be discharged and terminated as "non-executive Chairman of the Board", and that his and Northway's Management Contracts should be withdrawn. It was also resolved that legal counsel should be instructed to commence proceedings "to recover losses incidental to and arising out of the conduct of Mr. Wilderman and Northway." The Minute dated October 17, 1995, is in evidence. On the following day, the HARS' October 1995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of Mr. Broadhurst, who was actively involved in the actions and negotiations, with regard to the HARS' October 1995 action, and applicable equally to the HARS' January 1996 action, is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of Directors believed in Wilderman's intention to pursue, through litigation, the payment of the debts referred to in paragraph 12 above. Accordingly, </w:t>
      </w:r>
      <w:r>
        <w:rPr>
          <w:rFonts w:ascii="arial" w:eastAsia="arial" w:hAnsi="arial" w:cs="arial"/>
          <w:color w:val="000000"/>
          <w:sz w:val="20"/>
          <w:u w:val="single"/>
          <w:lang w:val="en-US" w:eastAsia="en-US" w:bidi="ar-SA"/>
        </w:rPr>
        <w:t>as a defensive tactic, a decision was taken to commence an action against Wilderman and Northway</w:t>
      </w:r>
      <w:r>
        <w:rPr>
          <w:rFonts w:ascii="arial" w:eastAsia="arial" w:hAnsi="arial" w:cs="arial"/>
          <w:color w:val="000000"/>
          <w:sz w:val="20"/>
          <w:lang w:val="en-US" w:eastAsia="en-US" w:bidi="ar-SA"/>
        </w:rPr>
        <w:t xml:space="preserve">, which statement of claim is attached as Exhibit "B" to the LaRoche affidavit. Although the lawsuit was commenced in good faith, </w:t>
      </w:r>
      <w:r>
        <w:rPr>
          <w:rFonts w:ascii="arial" w:eastAsia="arial" w:hAnsi="arial" w:cs="arial"/>
          <w:color w:val="000000"/>
          <w:sz w:val="20"/>
          <w:u w:val="single"/>
          <w:lang w:val="en-US" w:eastAsia="en-US" w:bidi="ar-SA"/>
        </w:rPr>
        <w:t>at no time did the board of directors anticipate that the lawsuit would be economically successful other than by reducing the amount which Mr. Wilderman was seeking to recover</w:t>
      </w:r>
      <w:r>
        <w:rPr>
          <w:rFonts w:ascii="arial" w:eastAsia="arial" w:hAnsi="arial" w:cs="arial"/>
          <w:color w:val="000000"/>
          <w:sz w:val="20"/>
          <w:lang w:val="en-US" w:eastAsia="en-US" w:bidi="ar-SA"/>
        </w:rPr>
        <w:t>. (My emphasis).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lawsuit against him and Northway referenced in paragraph 16 above, Wilderman continued to attempt to negotiate payment for himself and Northway. Not surprisingly, a lawsuit was commenced by Wilderman against HARS et al on December 7, 1995 for recovery of expenses and a second lawsuit was commenced by Wilderman and Northway against HARS et al on March 4, 1996 for recovery of consulting fees, copies of which statements of claim are attached hereto and marked Exhibits "D" and "E" respectively. These statements of claim were filed by Kim Larsen as counsel for HARS. Mr. Larsen subsequently provided advice to HARS in relation to settlement of those lawsuits at the board of directors meeting of May 1, 1996, referenced in paragraphs 24 and 25 herein.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April 25, 1996 a litigation subcommittee of the board of directors was established consisting of myself and John Pfeffer. The stated purpose of the litigation committee was to attempt to negotiate the resolution of </w:t>
      </w:r>
      <w:r>
        <w:rPr>
          <w:rFonts w:ascii="arial" w:eastAsia="arial" w:hAnsi="arial" w:cs="arial"/>
          <w:color w:val="000000"/>
          <w:sz w:val="20"/>
          <w:u w:val="single"/>
          <w:lang w:val="en-US" w:eastAsia="en-US" w:bidi="ar-SA"/>
        </w:rPr>
        <w:t>all outstanding lawsuits</w:t>
      </w:r>
      <w:r>
        <w:rPr>
          <w:rFonts w:ascii="arial" w:eastAsia="arial" w:hAnsi="arial" w:cs="arial"/>
          <w:color w:val="000000"/>
          <w:sz w:val="20"/>
          <w:lang w:val="en-US" w:eastAsia="en-US" w:bidi="ar-SA"/>
        </w:rPr>
        <w:t>. Attached hereto and marked as Exhibit "F" are the meeting minutes of HARS dated April 25, 1996 signed by Blackstock.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contrast, the gist of Mr. Blackstock's evidence is that in his opinion, the two HARS actions were never settled, and he can see no reason why HARS paid any monies to Mr. Wilderman, in light of Mr. Larsen's advice regarding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turn now to what Mr. Keast described as the crucial settlement period of March - April, 1996. On March 21, 1996, Mr. Pfeffer became President of HARS. On March 25, 1996, Mr. Wilderman and Northway obtained a Default Judgment against HARS in their March 4, 1996 action, in the amount of $399,000.00.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April 25, 1996, during a Board meeting of HARS, Mr. K. Travis and Mr. G. Travis resigned as Directors under pressure from Mr. Pfeffer. Mr. LaRoche makes much of this, alleging that getting the Travises out of the picture was a part of the fraudulent settlement scheme, by which Mr. Pfeffer would receive further shares in HARS.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meeting one of the Directors opined that the Wilderman lawsuit could be resolved. And it is noted in the Minute of that meeting that Mr. Broadhurst and Mr. Pfeffer "will in fact be working on the resolution of all outstanding lawsuits". This is the Litigation Sub-Committee of the Board of Directors referred to by some of the witnesses. The Minute of the Meeting is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April 28, 1996, Mr. Broadhurst and Mr. Wilderman met at breakfast to work out a settlement of all of their outstanding lawsuits. Mr. Broadhurst wrote out their Agreement in principle in long hand, and both men signed it. Mr. Keast had his version of the two-page Agreement typed up, and I will set it out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 "B" TO THE MONTAINE AFFIDAVIT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Agreed in principle that subject to HARS Systems Inc. board approval &amp; to specific approval by J. Pfeffer or some other interested purchaser of HARS stock</w:t>
      </w:r>
      <w:r>
        <w:rPr>
          <w:rFonts w:ascii="arial" w:eastAsia="arial" w:hAnsi="arial" w:cs="arial"/>
          <w:color w:val="000000"/>
          <w:sz w:val="20"/>
          <w:lang w:val="en-US" w:eastAsia="en-US" w:bidi="ar-SA"/>
        </w:rPr>
        <w:t xml:space="preserve"> mentioned below as well as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regulatory body approval: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HARS and Giles Wilderman (G.W.) </w:t>
      </w:r>
      <w:r>
        <w:rPr>
          <w:rFonts w:ascii="arial" w:eastAsia="arial" w:hAnsi="arial" w:cs="arial"/>
          <w:color w:val="000000"/>
          <w:sz w:val="20"/>
          <w:u w:val="single"/>
          <w:lang w:val="en-US" w:eastAsia="en-US" w:bidi="ar-SA"/>
        </w:rPr>
        <w:t>unconditionally settle all lawsuit between them</w:t>
      </w:r>
      <w:r>
        <w:rPr>
          <w:rFonts w:ascii="arial" w:eastAsia="arial" w:hAnsi="arial" w:cs="arial"/>
          <w:color w:val="000000"/>
          <w:sz w:val="20"/>
          <w:lang w:val="en-US" w:eastAsia="en-US" w:bidi="ar-SA"/>
        </w:rPr>
        <w:t xml:space="preserve"> &amp; agree to never pursue each other for any action prior to April 28th 96.</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HARS pay G.W. $220,000 settlement immediately plus 22,000 divided over next 8 months starting May 1st in amount of $3,000 per month with final month being $1,000.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HARS will seek approval for new share issue at price of 20 cents. G.W. will purchase 1,00,000 shares in that issue.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HARS will find a purchaser for 1 million share of HARS stock from G.W.</w:t>
      </w:r>
      <w:r>
        <w:rPr>
          <w:rFonts w:ascii="arial" w:eastAsia="arial" w:hAnsi="arial" w:cs="arial"/>
          <w:color w:val="000000"/>
          <w:sz w:val="20"/>
          <w:lang w:val="en-US" w:eastAsia="en-US" w:bidi="ar-SA"/>
        </w:rPr>
        <w:t>, or a related company or business. Shares will be free-trading. Purchase price will be 20 cents Canadian.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HARS will issue a full retraction of all allegations against G.W., Gail Wilderman and Dorothy Wilderman.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HARS will provide Gail Wilderman with a suitable reference.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All financial issues between HARS &amp; G.W. are settled, &amp; no further claims in either direction will be made for any services or action prior to April 28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Agreed subject to</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Agreed subject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board approval</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Jim Rooney approval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Signature of</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Signature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Broadhurst</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Wilderman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 of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details of agreement overleaf that can remain confidential are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Signature of</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Signature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Broadhurst</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Wilderman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opinion, this document is most telling, for it clearly sets out the intentions of the parties to the Agreement, that all of their differences and lawsuits, including the two HARS actions, were to be settled, in consideration of the payment of $242,000.00 by HARS to Mr. Wilderman.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to be observed that this Agreement is one drawn up by laymen; that it does not contain reference to, or require, the usual documents of settlement which lawyers habitually prepare; for example, Consent Dismissal Orders and Releases. Mr. Keast emphasized the lack of these documents as being strong evidence, together with other evidence of course, that the two actions were never settled. He also points out that the Settlement Agreement was subject to the approval of a number of persons. Mr. McDonell said in effect that the approvals were obtained, and that in any event, the document clearly evidences the settlement made, which was approved at the May 1, 1996 Board meeting, and which was in fact performed. Pursuant to the Settlement Agreement, the share issue was applied for, and approved by the Vancouver Stock Exchange, the contemplated share transactions took place, and the monies were paid to Mr. Wilderman.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April 30, 1996, Mr. Wilderman and Northway signed a printed version of the Settlement Agreement, which was prepared by their Solicitor. The Agreement again sets out that all of the actions are settled. HARS was to pay Mr. Wilderman and Northway $220,000.00 lump sum and a further $22,000.00 by instalment. Again, the Agreement sets out the mechanics of how HARS was to raise the settlement funds, namely, by the issuance of 1,100,000 additional shares. HARS was to use its best efforts to seek and find a purchaser for 1,000,000 free trading shares. In the end Mr. Pfeffer became that purchaser. The Agreement also contained the following provision:</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this Settlement Agreement are strictly confidential and no party hereto may disclose the terms hereof to any one, except as required by law, and except in so far as HARS and Wilderman may disclose the fact that the issues between them have been settled and that HARS has formally retracted the allegations made in the litigation against Wilderman, Gail Wilderman and Dorothy Wilderman.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observe that para. 7 of the Agreement requires the parties to execute general Releases in favour of each other, in a form said to be attached to the Agreement. Clause 10 provides that if any party was unable to comply with these conditions, the Agreement should be deemed to be null and void and so on. In fact, Mr. Wilderman provided HARS with his Release. There is no Release from HARS in evidence, nor is there a copy of the April 30, 1996, Agreement signed by HARS, in evidence. There is no evidence before me as to why this is the case, or even whether a copy of the Agreement, and a Release, were executed by HARS.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turn now to the meeting of the Board of Directors of HARS held on May 1, 1996. Both Blackstock and Pfeffer attended by telephone. According to the Minutes of the meeting, the first order of business was the "status of legal cases". A new lawyer, who was retained to give legal opinions on the outstanding lawsuits, was introduced. The Company's then lawyer, Mr. Larsen, was also present, and he "presented a document outlining all our lawsuits as he sees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Minute of the meeting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Broadhurst then read a proposal Letter from Counsel for Giles Wilderman outlining </w:t>
      </w:r>
      <w:r>
        <w:rPr>
          <w:rFonts w:ascii="arial" w:eastAsia="arial" w:hAnsi="arial" w:cs="arial"/>
          <w:color w:val="000000"/>
          <w:sz w:val="20"/>
          <w:u w:val="single"/>
          <w:lang w:val="en-US" w:eastAsia="en-US" w:bidi="ar-SA"/>
        </w:rPr>
        <w:t>a settlement which would involve paying Giles Wilderman</w:t>
      </w:r>
      <w:r>
        <w:rPr>
          <w:rFonts w:ascii="arial" w:eastAsia="arial" w:hAnsi="arial" w:cs="arial"/>
          <w:color w:val="000000"/>
          <w:sz w:val="20"/>
          <w:lang w:val="en-US" w:eastAsia="en-US" w:bidi="ar-SA"/>
        </w:rPr>
        <w:t xml:space="preserve"> $220,000.00 by way of a Private Placement, subscribed by Giles Wilderman of 1.1 million shares at 20 cents (CDN) each. Mr. Wilderman would in turn sell them to John Pfeffer, </w:t>
      </w:r>
      <w:r>
        <w:rPr>
          <w:rFonts w:ascii="arial" w:eastAsia="arial" w:hAnsi="arial" w:cs="arial"/>
          <w:color w:val="000000"/>
          <w:sz w:val="20"/>
          <w:u w:val="single"/>
          <w:lang w:val="en-US" w:eastAsia="en-US" w:bidi="ar-SA"/>
        </w:rPr>
        <w:t>thereby relieving HARS to any debt to Mr. Wilderman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Moved by Kelly Blake, Second by Bob Gowsell, that we accept the proposal. Approved with Mr. Blackstock abstaining.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Keast emphasises the words "thereby relieving HARS to any debt to Mr. Wilderman" in the first paragraph, as evidencing the fact that only the two Wilderman actions were settled. In fact, as I understand his argument, that point, and the lack of documents, is the sum of his argument, other than the opinions of Mr. LaRoche and Mr. Blackstock.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Letter presented by Mr. Larsen is a Letter dated May 1, 1996, from him to HARS, to the attention of the Board of the Directors. The subject matter of the Letter is "Litigation and Contentious Matters". The Letter, which specifically deals with the four Alberta actions with which we are concerned, was circulated among the Directors who were present. Mr. Larsen also read it for the benefit of those on the telephone, Mr. Blackstock and Mr. Pfeffer. In effect, Mr. Larsen told the Board that the amounts claimed by Mr. Wilderman and Northway in their two actions were due and owing; their claims were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With regard to the HARS' October 1995 action, Mr. Larsen's opinion as to recovery was "...less than 50%. Evidence of gross and culpable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requisite to hold a Director and Officer personally liable is not abundant". With regard to the HARS January 1996 action, Mr. Larsen said that exposure was "not applicable" because of an outstanding application being brought by one of the Defendants. However, as to recovery, he opined "...fair. Significant evidence exists with respect to blatant disregard of restrictions on signing authority". Apparently Mr. Larsen did not discuss the issue of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Broadhurst's evidence with regard to the happenings of the May 1, 1996 Board Meeting is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paragraph 11 of the Blackstock affidavit, attached hereto and marked as Exhibit "I" to this my affidavit are the meeting minutes of May 1, 1996. The minutes indicate that I read aloud a proposal letter from Wilderman's counsel. The letter was made available for review of all directors. The proposal was accepted. Although Blackstock originally voted to approve the proposal, at the next Board meeting he requested an amendment to the minutes to indicate that he abstained from the vote.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advice received from Mr. Larsen, it was opined, and accepted by the Board, that the chance of success on the lawsuit commenced by HARS against Wilderman was less than 50 percent. Mr. Larsen also advised, and the Board accepted, that there was high exposure for HARS in the lawsuits which Wilderman and his management company had commenced against HARS. This was of particular concern because, given the financial situation of HARS, the Board realized that there would be no funds with which to satisfy any potential judgment, and any action taken on such a judgment would be fatal to HARS. Accordingly, it was particularly important to achieve settlement. Based on advice received from Mr. Larsen, a decision was taken to settle the Wilderman lawsuit. In summary, Mr. Larsen had advised that a net settlement where HARS paid Wilderman no more than $300,000 would be very favourable to HARS.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then goes on to point out that after the settlement there was a marked improvement in the financial situation of HARS, and that he and the other members of the Board are of the opinion that it was prudent, and in the best interest of HARS' shareholders, to negotiate the terms of settlement of the lawsuits. I have already referred to Mr. Broadhurst's evidence that the HARS' actions were commenced as a defensive tactic in the face of the anticipated actions to be brought by Wilderman and Northway.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Blackstock's evidence about what happened at the May 1, 1996 meeting, as contained in his May 27, 1997 affidavit, was that he attended that meeting at HARS' offices, and was present when Mr. Broadhurst assumed the role of Chairman and, after its commencement, began reading a letter he had received from Giles H. Wilderman's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says with regard to the letter:</w:t>
      </w:r>
      <w:r>
        <w:rPr>
          <w:rFonts w:ascii="arial" w:eastAsia="arial" w:hAnsi="arial" w:cs="arial"/>
          <w:sz w:val="20"/>
          <w:lang w:val="en-US" w:eastAsia="en-US" w:bidi="ar-SA"/>
        </w:rPr>
        <w:cr/>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no copy of the letter containing the proposal was produced for me to study, the Minutes of the meeting were recorded and now produced and shown to me and marked Exhibit "A" to this my affidavit, is a true copy of these Minutes dated May 1, 1996.</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have a recollection of the exact terms contained in the proposal letter, but I verily believe that those terms are clearly outlined in Exhibit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note here that Mr. Blackstock must be mistaken, because it is common ground, and the Minute of the meeting confirms, that he did not physically attend the meeting; that both he and Mr. Pfeffer attended it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then goes on to say that the letter referred to proposed settlement of the Default Judgment taken by Mr. Wilderman. He describes the share placement, and the three share transactions, which were to take place. He then says: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was said or discussed at the meeting and nothing has been recorded in the Minutes, Exhibit "A", regarding the respondent's two proceedings against Giles H. Wilderman and his Management Company; nothing was said or discussed regarding the proposed settlement and the Respondent relinquishing or abandoning its two proceedings.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abstained from voting in favour or against the lawyer's settlement proposal as I did not have enough information to make a careful decision either to support or reject the Motion of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para. 25 he states: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member of the Board of Directors having attended all meetings either in person or by telephone conference and having received copies of the Minutes of our meetings, I know the Board of Directors has neither passed judgment on, or approved, any proposed settlement of the Respondent's two proceedings and its claims against Giles H. Wilderman and his Management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deposes that he is aware of the facts in support of the claims in the two actions, and says that it is unbelievable in his judgment that it was prudent for HARS "to relinquish or abandon the proceedings on claims which exceed $6 million in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observe that there is no reference in his affidavit to the Settlement Agreements dated April 28, and April 30, 1996. I observe also that his statement that nothing was said or discussed at the May 1, 1996 meeting with regard to HARS' two actions is inconsistent with other evidence to the contrary, including the fact that Mr. Larsen reviewed the two actions, as well as the two Wilderman actions, and recommended a net settlement on the basis of HARS paying up to $300,000.00 to Mr. Wilderman. It is also inconsistent with his subsequent evidence with regard to the May 1 happenings, and his knowledge of the settlement of those two actions, if not at the meeting, then a few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Mr. Blackstock's second affidavit, sworn November 11, 1997, he says that it is in response to Mr. Broadhurst's affidavit, to which I have referred, and to the exhibits attached to Mr. Broadhurst's affidavit. In this affidavit he challenges generally Mr. Broadhurst's statements in paras. 19, 20 and 21 of his affidavit to the effect that HARS was not in a position to pay its obligations or debts and so on in April 1996. His evidence is based, apparently, on what he says he was told by Mr. G. Travis, who was the Chief Financial Officer of HARS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affidavit he again deals with the departure of G. and K. Travis, and much of his evidence is based on information and belief. In para. 14 he states:</w:t>
      </w:r>
      <w:r>
        <w:rPr>
          <w:rFonts w:ascii="arial" w:eastAsia="arial" w:hAnsi="arial" w:cs="arial"/>
          <w:sz w:val="20"/>
          <w:lang w:val="en-US" w:eastAsia="en-US" w:bidi="ar-SA"/>
        </w:rPr>
        <w:cr/>
      </w:r>
    </w:p>
    <w:p>
      <w:pPr>
        <w:numPr>
          <w:numId w:val="1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my review of the events leading to the Travis resignations and their continued assurance from October 1995 to the day of their resignations, I verily believe that they would not have caused the Respondent to relinquish or abandon its claims against Mr. Wilderman and his company, nor settle without substantial compensation for the Respondent: </w:t>
      </w:r>
      <w:r>
        <w:rPr>
          <w:rFonts w:ascii="arial" w:eastAsia="arial" w:hAnsi="arial" w:cs="arial"/>
          <w:color w:val="000000"/>
          <w:sz w:val="20"/>
          <w:u w:val="single"/>
          <w:lang w:val="en-US" w:eastAsia="en-US" w:bidi="ar-SA"/>
        </w:rPr>
        <w:t>based upon the proposal of Mr. Wilderman and his company in a letter read by Mr. Broadhurst at the May 1, 1996 Board meeting</w:t>
      </w:r>
      <w:r>
        <w:rPr>
          <w:rFonts w:ascii="arial" w:eastAsia="arial" w:hAnsi="arial" w:cs="arial"/>
          <w:color w:val="000000"/>
          <w:sz w:val="20"/>
          <w:lang w:val="en-US" w:eastAsia="en-US" w:bidi="ar-SA"/>
        </w:rPr>
        <w:t xml:space="preserve"> it is clear to me that Mr. Pfeffer and Mr. Broadhurst ignored the interests of the Respondent and its shareholders and not only </w:t>
      </w:r>
      <w:r>
        <w:rPr>
          <w:rFonts w:ascii="arial" w:eastAsia="arial" w:hAnsi="arial" w:cs="arial"/>
          <w:color w:val="000000"/>
          <w:sz w:val="20"/>
          <w:u w:val="single"/>
          <w:lang w:val="en-US" w:eastAsia="en-US" w:bidi="ar-SA"/>
        </w:rPr>
        <w:t>caused the Respondent to abandon its claims against Mr. Wilderman and his company</w:t>
      </w:r>
      <w:r>
        <w:rPr>
          <w:rFonts w:ascii="arial" w:eastAsia="arial" w:hAnsi="arial" w:cs="arial"/>
          <w:color w:val="000000"/>
          <w:sz w:val="20"/>
          <w:lang w:val="en-US" w:eastAsia="en-US" w:bidi="ar-SA"/>
        </w:rPr>
        <w:t xml:space="preserve"> but also to issue 2.1 million shares of the Respondent all of which found or an equivalent number were issued or transferred to John Pfeffer and his friend giving him substantial control over the Respondent.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McDonell emphasises that Mr. Blackstock is referring to the proposed Settlement Letter read at the May 1, 1996 Board meeting, and that he acknowledges that the settlement proposed did include the two HARS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para. 17 of his affidavit Mr. Blackstock exhibits and refers to a press release which Mr. Broadhurst delivered to him immediately following the May 1, 1996 meeting. It is noted that in that release, which is in evidence, the status of the various lawsuits in which HARS was involved are set out. In particular it is stated therein: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of Directors is also pleased to announce a complete settlement of all legal issues between HARS and Giles Wilderman and Northway Management. The settlement is below the accrued allowance, enabling an unusual gain in excess of $50,000.00 to be reported. The settlement will not result in any substantive net change to Mr. Wilderman's ownership of the company, either directly or indirectly.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regard to the release, Mr. Blackstock says that he did not understand parts of it, and that Mr. Broadhurst did not explain it, "in particular the reference to a settlement of legal issues between HARS and Giles Wilderman and Northway Management." He knew then that the two actions were settled, if it is accepted that he did not know that they were settled while listening to the May 1 happenings on the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para. 28 Mr. Blackstock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Kim Larsen did not advise the Board of Directors at the May 1, 1996 meeting of the economics of collecting on a Judgment against Giles Wilderman and his management company: Kim Larsen had no knowledge of what Giles Wilderman and his Management Company owned or did not own. </w:t>
      </w:r>
      <w:r>
        <w:rPr>
          <w:rFonts w:ascii="arial" w:eastAsia="arial" w:hAnsi="arial" w:cs="arial"/>
          <w:color w:val="000000"/>
          <w:sz w:val="20"/>
          <w:u w:val="single"/>
          <w:lang w:val="en-US" w:eastAsia="en-US" w:bidi="ar-SA"/>
        </w:rPr>
        <w:t>What he advised was on a net settlement of no more than $300,000.00 would be favourable.</w:t>
      </w:r>
      <w:r>
        <w:rPr>
          <w:rFonts w:ascii="arial" w:eastAsia="arial" w:hAnsi="arial" w:cs="arial"/>
          <w:color w:val="000000"/>
          <w:sz w:val="20"/>
          <w:lang w:val="en-US" w:eastAsia="en-US" w:bidi="ar-SA"/>
        </w:rPr>
        <w:t xml:space="preserve">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evidence seems to confirm Mr. Broadhurst's evidence that it was a net settlement which was proposed, and that the Solicitor had said that a net payment by HARS of up to $300,000.00 to Mr. Wilderman would be favourable. It would seem also that Mr. Blackstock is acknowledging that the settlement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Needless to say, Mr. Blackstock refutes part of the contents of para. 25 of Mr. Broadhurst's affidavit, in his supplemental affidavit sworn November 11, 1997. He says that in all likelihood Mr. Wilderman would have maintained "his long standing patience in seeking payment of his company's consulting fees and not pressed his default judgment". He would not agree that there was any high exposure to insolvency proceedings against the Respondent by Mr. Wilderman or Northway. He says that any steps taken by Mr. Wilderman or Northway would have been met with the fact that HARS "was pressing or ought to have been pressing on with its claims for damages in millions of dollars". This evidence, of course, like much of his evidence, does not got to the narrow issue of whether or not the two HARS actions were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Keast emphasised that HARS has never been able to produce a copy of the "proposed Letter from Counsel for Giles Wilderman" which is said, in the Minutes of the May 1, 1996 meeting, to have been read by Mr. Broadhurst. Mr. Keast says that the only inference to be drawn is that the Letter never existed. However, both Mr. Blackstock and Mr. Broadhurst, the latter relying on the May 1, 1996 Minute, said that he read the proposal letter at the May 1, 1996 meeting. When cross-examined about the proposal letter on February 8, 1999, Mr. Broadhurst said that he did not recall the letter, or reading it aloud at the meeting. However, he expressed the opinion that Mr. Wilderman's Counsel would have sent such a letter, and that the essence of it would have been the contents of the hand-written two page Settlement Agreement, which is dated April 28, 1996. He said, referring to the Settlement Agreement, "this piece was read in exact detail to everybody, and it was voted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Keast submitted that the word "settlement" in the passage quoted above from pg.1 of the May 1, 1996, Minute, refers only to a settlement of the two Wilderman actions, that the two HARS actions were not included in the settlement. I observe that the passage referred to does not specifically refer to the two Wilderman actions, or to the two HARS actions. It refers simply to settlement with Mr. Wilderman. I note also that on pg. 2 of the Minute of the May 1, 1996, meeting the following is contained: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Bob Gowsell expressed thanks to Michael Broadhurst for his work on all the outstanding legal matters, and to John Pfeffer for producing the cash to settle the matter with Mr. Wilderman.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Gowsell was one of the Directors present at that Board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observed that seemingly the entire basis of Mr. Keast's submission is his narrow interpretation of a portion of the passage quoted, in addition to the fact that HARS has not produced Consent Dismissal Orders or Releases in favour of Mr. Wilderman. The submission that the two HARS actions were not settled, and the evidence said to be in support of it, simply falls far short of the necessary mark. In my opinion it has no reasonable prospect of success, and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McDonell submitted that the evidence was that in the Spring of 1996, HARS was in a poor financial situation, and involved in at least ten lawsuits, including the four lawsuits involving Mr. Wilderman and his company; that during the April 25, 1996 Board meeting, a Litigation Committee was struck with the mandate to negotiate the resolution of all outstanding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emphasised that during the May 1, 1996 Board meeting, which was attended by HARS' Solicitors, HARS had legal advice in favour of the settlement proposed. And that at the meeting Mr. Larsen's letter, which referred to all of the actions, was circulated and reviewed by those present, and read to those who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HARS' actions were brought for strategic reasons, because the company was highly vulnerable to Mr. Wilderman's claims for debt, which were valid claims. And he pointed to Mr. Broadhurst's evidence on cross-examination that the hand-written Settlement Agreement had been read and voted on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McDonell submitted that there was nothing actionable and no wrong doing in Mr. Pfeffer injecting capital, directly or indirectly, into the company, in order to bring about the settlement with Mr. Wilderman. The mechanics of the settlement is not important. The fact of settlement is. The settlement was in the best interests of the company, and this has not been challenged by the Petitioner. There is no positive evidence by, or on his behalf, demonstrating any real merit in the two actions brought by HARS; other than the opinions stated by HARS' Solicitor during the May 1, 1996 meeting, and his recommendation that a net settlement of up to $300,000.00 would be advantageous.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Finally, Mr. McDonell submitted that Mr. Blackstock's evidence was that he could not recall the exact terms of the settlement proposal. His evidence therefore was not helpful in determining the merits of the allegations against Mr. Wilderman, or the wisdom of settling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opinion, Mr. Keast's submission ignores the documentary, common and the uncontradicted evidence which clearly establishes that the two actions were settled. It ignores the contents of the May 1, 1996 Minutes, the contents of Mr. Larsen's letter, and what was done and said during the May 1, 1996 meeting, including Mr. Larsen expressing his opinions on the merits of the two actions, and, in particular, his opinion that a net settlement, by paying up to $300,000.00 to Mr. Wilderman and his company, in settlement of all of the lawsuits between them, would be a good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Keast's submission also ignores what went on between the parties on April 28 and April 30, 1996, and the contents of these Settlement Agreements, which clearly show what was being negotiated and what was being settled. It also ignores evidence which has not been contradicted, for example, Mr. Broadhurst's evidence that the actions were started for tactical reasons, in order to negotiate a settlement with Mr. Wilderman of the lawsuits he was about to commence.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All of this evidence, in my view, clearly and overwhelmingly establishes that the settlements were made. The word "settlement" in the passage quoted from the Minute of May 1, 1996, unquestionably refers to the settlement which Mr. Broadhurst and Mr. Pfeffer were to work on according to the April 25, 1996 Minute; the settlement which Mr. Broadhurst and Mr. Wilderman agreed to in writing on April 28, 1996; and the Settlement Agreement dated April 30, 1996, which carried forward the parties' understanding and agreement as to settlement. It was a full settlement with Mr. Wilderman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not propose to deal further with the evidence of Mr. Blackstock, or that of Mr. Broadhurst. Their evidence is seemingly in conflict at times. However, their differences seem to be more with regard to their opinions as to what was approved at the Board meeting on May 1, 1996, rather than what actually occurred prior to, and at that meeting, with regard to the narrow issue of settlement. Such opinions should not be determinative alone of an application under s.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I have said, there is before me an abundance of documentary, common and uncontradicted evidence from which the only reasonably inference to be drawn is that the two actions were settled. Such evidence clearly shows that Mr. LaRoche's assertions or version is not reasonable, and that HARS has no reasonable prospect of succeeding in these actions. They are bound to fail, and the defence of settlement is bound to be accepted by a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THE COURT HAVE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are two components to this issue. First, generally speaking, does s. 201 empower this Court to grant leave to a member applicant to take over the conduct of an action which has already been brought by the Company, but is no longer being pursued by the Directors. Second, if the Court is so empowered, does it have jurisdiction in the present case, under s. 201, to grant leave to the applicant LaRoche, to take over control of the actions already started by HARS in the Province of Alberta. This, says Mr. McDonell, is the primary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201 EMPOWERMENT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would seem that if the Court is empowered to give leave to take over and continue an action already started by the company, the empowerment must be contained in s. 201(1), which I will set out here:</w:t>
      </w:r>
      <w:r>
        <w:rPr>
          <w:rFonts w:ascii="arial" w:eastAsia="arial" w:hAnsi="arial" w:cs="arial"/>
          <w:sz w:val="20"/>
          <w:lang w:val="en-US" w:eastAsia="en-US" w:bidi="ar-SA"/>
        </w:rPr>
        <w:cr/>
      </w:r>
    </w:p>
    <w:p>
      <w:pPr>
        <w:numPr>
          <w:numId w:val="15"/>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member or director of a company may, with leave of the Court, </w:t>
      </w:r>
      <w:r>
        <w:rPr>
          <w:rFonts w:ascii="arial" w:eastAsia="arial" w:hAnsi="arial" w:cs="arial"/>
          <w:color w:val="000000"/>
          <w:sz w:val="20"/>
          <w:u w:val="single"/>
          <w:lang w:val="en-US" w:eastAsia="en-US" w:bidi="ar-SA"/>
        </w:rPr>
        <w:t>bring an action</w:t>
      </w:r>
      <w:r>
        <w:rPr>
          <w:rFonts w:ascii="arial" w:eastAsia="arial" w:hAnsi="arial" w:cs="arial"/>
          <w:color w:val="000000"/>
          <w:sz w:val="20"/>
          <w:lang w:val="en-US" w:eastAsia="en-US" w:bidi="ar-SA"/>
        </w:rPr>
        <w:t xml:space="preserve"> in the name and on behalf of the company</w:t>
      </w:r>
    </w:p>
    <w:p>
      <w:pPr>
        <w:numPr>
          <w:numId w:val="16"/>
        </w:numPr>
        <w:tabs>
          <w:tab w:val="num" w:pos="2200"/>
          <w:tab w:val="clear" w:pos="256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enforce a right, duty or obligation owed to the company that could be enforced by the company itself, or</w:t>
      </w:r>
    </w:p>
    <w:p>
      <w:pPr>
        <w:numPr>
          <w:numId w:val="16"/>
        </w:numPr>
        <w:tabs>
          <w:tab w:val="num" w:pos="2200"/>
          <w:tab w:val="clear" w:pos="256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 obtain damages for any breach of a right, duty or obligation referred to in paragraph (a),</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whether the right, duty of obligation arises out of this act or otherwise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the two actions would appear to come within the provisions of ss. (1)(b).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Section 201 is a complete code pertaining to derivative actions, and it must be complied with in order for an applicant member to succeed. And s. 201(1) does not specifically empower the Court to grant leave to continue an action already commenced by the company. Mr. Keast says that the whole section should be read; that the Legislature intended that a member should be able to seek leave to continue an action already commenced by the company, as well as to bring an action when the company will not do so. He says that the Court should read in the words "or continue" into s. 201(1) so that it reads "a member...of a company may, with leave of the Court, bring or continue an action in the name and on behalf of the company...". Mr. McDonell simply says that the wording of the section does not permit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Section 201(2) provides that the member with leave of the Court may defend an action brought against the company. Section 201(3) sets out four conditions which the applicant member must satisfy in order to obtain the necessary leave. Mr. Keast relies on s. 201(3)(a) in support of his position. That section provides:</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or director, on notice to the company, may apply to the Court for the leave referred to in sub-section (1) or (2) and, if:</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member or director has made reasonable efforts to cause the directors of the company to commence </w:t>
      </w:r>
      <w:r>
        <w:rPr>
          <w:rFonts w:ascii="arial" w:eastAsia="arial" w:hAnsi="arial" w:cs="arial"/>
          <w:color w:val="000000"/>
          <w:sz w:val="20"/>
          <w:u w:val="single"/>
          <w:lang w:val="en-US" w:eastAsia="en-US" w:bidi="ar-SA"/>
        </w:rPr>
        <w:t>or diligently prosecute</w:t>
      </w:r>
      <w:r>
        <w:rPr>
          <w:rFonts w:ascii="arial" w:eastAsia="arial" w:hAnsi="arial" w:cs="arial"/>
          <w:color w:val="000000"/>
          <w:sz w:val="20"/>
          <w:lang w:val="en-US" w:eastAsia="en-US" w:bidi="ar-SA"/>
        </w:rPr>
        <w:t xml:space="preserve"> or defend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does not rely on sub-section (4) because, while it authorizes a person to apply to control the conduct of an action, that action must be one brought or defended under s. 201; and the two actions with which we are concerned do not fall within these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was told that no authoritative statements could be found on this point. However, I note that Mr. Gordon Phillips does briefly refer to it in his 1992 text: Personal Remedies for Corporate Injuries, at pg. 362. There he states that in British Columbia, as elsewhere, leave can be granted to take over the prosecution of an action already commenced by the company. He says in a footnote: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implicit in s. 225(3)(a) although it does not easily fit within the language of s. 225(1).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note here that s. 225(3)(a) of the old Act is identical to s. 201(3)(a) of the present Act, and that s. 225(1) of the old Act is identical to s. 201(1) of the present Act. Finally, the reference to "elsewhere" is a reference to the fact that in the other Provinces their Acts track the Canada Business Corporation Act, R.S.C. 1985, c. -44, which is described as the model statute, and which provides that a complainant may apply to a Court for leave to bring an action in the name of the company, or intervene in an action to which the company is a party, for the purposes of prosecuting, defending or discontinuing the action. The learned author says that such provisions empower the Courts to grant applicants leave to commence and prosecute an action by the company, to take over the prosecution of an action already commenced by the company, and to defend or discontinue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perhaps a bit difficult to reconcile the provisions of s. 201(1) pertaining to the bringing of an action, with those of s. 201(3)(a) pertaining to the member establishing that he has made reasonable efforts to cause the directors of the company to diligently prosecute "the action". Obviously, the words "the action" must refer to the action the member wishes to commence, an action commenced by the company which is not being diligently prosecuted by the company, and an action commenced against the company which the company is not defending.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Given the obvious purpose of s. 201, I find it most difficult to assume or conclude that it was the intention of the Legislature when enacting these provisions that the right of the otherwise qualified member to commence the action in the name of the company would not include the right to continue an action already brought by the company. While such member could, I suppose, obtain leave to commence a second action, identical to that brought, but not prosecuted by the company, clearly that was not the intention of the Legislature. And no harm is done to anyone if the words are read in. To do so, in my view, is to express what the Legislature has said by implication. I therefore agree with Mr. Keast's submission, as supported in the text referred to, that it is implicit in s. 201(3)(a) that the right to bring an action under s. 201(1) includes the right to continue an action brought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COURT EMPOWERED TO GRANT LEAVE TO THE PETITIONER TO TAKE OVER AND PROSECUTE THE TWO ACTIONS BROUGHT BY HARS IN THE PROVINCE OF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Keast says that the Court has the necessary jurisdiction since HARS was incorporated pursuant to the provisions of the British Columbia Companies Act which regulates, governs and controls it. Mr. McDonell submitted that what is intended by s. 201 of the Company Act is an action to be brought in British Columbia, an action over which the Supreme Court of British Columbia would have supervisory control and jurisdiction. The section does not contemplate, nor purport to give the Supreme Court of British Columbia jurisdiction over the conduct of actions in any other Province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would have preferred more perhaps expansive Briefs on the point. Again, I was told no authorities on point could be found. Again, Mr. Phillips does refer to the point in his text to which I have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commence by looking to the provisions of the Act to see if there is any indication that the Legislature intended the Act to be extra-territorial, and to grant this Court jurisdiction to deal with persons, and the conduct of a lawsuit, outside the Province. Such legislation, in my opinion, would be quite extraordinary. And simply to pose the question is to acknowledge the difficulties of 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word "action" does not appear to be defined in the Act, but the word "Court" is. And by the definition the word "Court" referred to in s. 201 is the Supreme Court, that is, the Supreme Court of British Columbia, the Court in the Province where the legislation is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word "company" is also defined in the Act as "means a company incorporated or continued under this Act, and includes an existing company and an amalgamated company. Thus the Act applies to a British Columbia company incorporated under the Act, and a company incorporated outside the Province which is continued, and in effect, becomes a British Columbia company. The reference to a continued company must have reference to s. 36 of the Act which provides for the transfer of incorporation of a corporation incorporated in a jurisdiction other than British Columbia to British Columbia. It does not, it would seem, refer to s. 37 which provides for the transfer of incorporation of a British Columbia company from British Columbia to another jurisdiction, thus continuing that company in that jurisdiction. It is to be noted that s. 37(2) provides that once that British Columbia company is continued under the laws of the other jurisdiction, it ceases to be a company within the meaning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Finally, the words, "extra-Provincial company" are defined in the Act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means a corporation continued under s. 37, or duly incorporated otherwise than by or under an Act of the Legislature, that carries on a business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 extra-Provincially company, within 30 days after commencing to carry on business in British Columbia, must register under the Act. The effect of registration is to enable the company to exercise in British Columbia the powers contained in, or permitted by, its Charter. A perusal of the extra-Provincial provisions of the Act does not appear to be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is obvious that the Act is concerned with a company coming into British Columbia rather than one leaving to carry on business in another jurisdiction. And it is seen in my view that the Act does not suggest an intention by the British Columbia Legislation to extend the scope of the derivative action section beyond the Province's borders, and to give this Court jurisdiction over the conduct of persons and the company in another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provisions of the Act do not suggest that it was the intention of the British Columbia Legislature that the statutory derivative action provisions of the Companies Act should empower this Court to give leave to a member of a company incorporated under the Act to commence, diligently prosecute or defend, an action brought in the Province of Alberta. The provisions suggest the contrary, that only this Court can grant such leave, and the action must be one commenced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Further, it has always been the law, as I understand it, that a Provincial Legislature has no authority to enact laws pertaining to the conduct of persons in another Province, or to empower a Court to do so. The conduct of such persons is subject to the laws, and to the Courts, of the Province where the conduct occurs. This is not new law. The derivative action provisions of the British Columbia Company Act then are confined to the Province of British Columbia, and can have no extra territorial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this regard see Phillips at pg. 360, where the learned author touches upon this point, relying on the Supreme Court of Canada's decision in Interprovincial Co-Ops Ltd. v. R., </w:t>
      </w:r>
      <w:hyperlink r:id="rId332" w:history="1">
        <w:r>
          <w:rPr>
            <w:rFonts w:ascii="arial" w:eastAsia="arial" w:hAnsi="arial" w:cs="arial"/>
            <w:i/>
            <w:color w:val="0077CC"/>
            <w:sz w:val="20"/>
            <w:u w:val="single"/>
            <w:shd w:val="clear" w:color="auto" w:fill="FFFFFF"/>
            <w:lang w:val="en-US" w:eastAsia="en-US" w:bidi="ar-SA"/>
          </w:rPr>
          <w:t>[1976] 1 S.C.R. 477</w:t>
        </w:r>
      </w:hyperlink>
      <w:r>
        <w:rPr>
          <w:rFonts w:ascii="arial" w:eastAsia="arial" w:hAnsi="arial" w:cs="arial"/>
          <w:color w:val="000000"/>
          <w:sz w:val="20"/>
          <w:lang w:val="en-US" w:eastAsia="en-US" w:bidi="ar-SA"/>
        </w:rPr>
        <w:t>, wherein the basic principle of our Constitution, that a Provincial Legislation cannot legislate with an extra territorial effect, is re-stated.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CONDITIONS OF LEAVE, S.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turn now to the conditions or requirements of leave contained in s. 201(3). Sub-paragraph (a) requires the member to establish that he made reasonable efforts to cause the directors to diligently prosecute the actions, and sub-paragraph (D) provides that the member be a member of the company at the time of the transaction or event giving rise to the cause of action. I am satisfied that the provisions of sub-paragraph (a) were met by the January 15, 1997, letter from Mr. LaRoche's Solicitor to HARS, and HARS' responding letter dated March 23, 1997. They constitute reasonable efforts on the part of Mr. LaRoche to cause HARS to re-activate, or prosecute, the actions, and evidence that the Directors would not do so, having advised that the actions were settled. I am also satisfied, as I stated earlier, that the provisions of ss. (d) have been met. Again, there seems to be no issue as to (a)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GOOD FAITH AND INTERESTS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Sub-paragraph (b) provides that the applicant must establish that he is acting in good faith, and ss. (c) provides that he must demonstrate that the prosecution of the action is prima facie in the interests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have some concerns as to whether Mr. LaRoche is acting in good faith. There is a flavour to the evidence before me suggesting an on-going battle between some of the earlier Directors who ran the company and the newer Directors, for example, Mr. Pfeffer and Mr. Broadhurst, who now run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also concerned with the sincerity of Mr. LaRoche's present position, that the actions were not settled, in light of his earlier position within three months of the purported settlement, that the actions had been settled. He was then a knowledgeable member through Mr. Blackstock, and nothing seems to have changed since that time. The fact that Consent Dismissal Orders have not been filed alone carries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concerned as well as to the delay of one year in bringing the Petition, and even more so, the delay of some four years in bringing on this hearing. The onus was on Mr. LaRoche to prosecute the Petition with diligence, and he has not done so. I doubt that there is a reasonable explanation for this delay. In any event, I do not recall any explanation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These factors, and others, go to the issue of good faith. In Primex, Tysoe, J. seemingly agreed that the onus on the Petitioner to establish good faith is a substantial one. In any event, on the basis of Mr. LaRoche's conduct, as well as the evidence pertaining to the merits of the two actions, and to their settlement, although in conflict in some areas, Mr. LaRoche has not satisfied me that it is more likely than not that his primary purpose is the recovery by HARS of fairly substantial sums in the actions, and that he is acting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turn again to the issue of whether Mr. LaRoche has demonstrated that proceeding with the two actions is prima facie in the interest of HARS. I have already determined that Mr. LaRoche has not met the onus upon him in this regard. The test I have applied is whether he has demonstrated a reasonable prospect of success, with emphasis on the word "reasonable", without further defining or refining the words used. I have concluded that because of the settlements the Petitioner cannot demonstrate a reasonable prospect of success. Put another way, he cannot show that the actions are not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at first began to consider the various factors which I must consider on this issue, on an alternative basis, assuming for the moment that the settlements had not been made. However, I quickly concluded that the factors leading to the settlement are inextricably entwined in the issue to be decided, since they really go to the merits. I concluded that there was little positive evidence in this regard, save perhaps for the opinions expressed by Mr. LaRoche and Mr. Blackstock; while the negative evidence was overwhelming, for example, the opinions of HARS' Counsel as to recovery, and particularly his opinion that a net settlement by HARS paying up to $300,000.00 to Mr. Wilderman and Northway, would be a good settlement of all of the actions, and Mr. Broadhurst's uncontradicted evidence that the actions were started for tactical purposes in the face of the pending actions to be brought by Mr. Wilderman and Northway.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am not persuaded on the evidence before me, or the lack of it, on the merits, that the Petitioner has established that it is prima facie in the interests of the company to proceed with the actions. And when I add in the settlement evidence factors, I am bolstered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Before concluding these Reasons, I should comment on the fact that it may well be said that in reaching these conclusions I have done what I am not supposed to do, that is, in effect try the case on conflicting evidence, including credibility issues. I protest that that is not the case. As I have endeavoured to make clear, I am satisfied on the document evidence, and the common and uncontradicted affidavit evidence, that the only reasonable inference to be drawn is that the two actions were settled along with the two Wilderman and Northway actions. Put in the words of the test, a reasonable prospect of success has not been made out. The actions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true that there is some conflicting evidence from Mr. LaRoche's side, but it is mainly evidence based on hearsay, and mostly opinion evidence, which really does not go to the narrow issue of settlement, but more to what is thought to have happened at the May 1, 1996 Board meeting, and the question of Board approval, which meeting Mr. Blackstock did not physically attend. And that evidence, such as it goes to the issue of settlement, as I say, is contrary to the documents which speak for themselves, the common evidence and the uncontradicted evidence of Mr. Broadhurst, to which I have referred, and which can only lead to the conclusion that the actions were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Finally, Mr. Keast's argument that the two actions were not settled really boils down to the lack of Releases executed by HARS, and of Consent Dismissal Orders filed in the actions, and a very narrow, out of context, interpretation of one portion of the May 1, 1996 Minute. The argument is not tenable. It does not have a reasonable prospect of success, no matter how liberal an approach is taken to the evidence. Applying the test referred to by Mr. Justice Cummings in Discovery Enterprises at 198, when considering the negative evidence, which I will refer to as HARS' versions of the facts, the reasonableness on its face of the Petitioner's version is wanting. And in my view, it would be a travesty to force HARS to proceed with the actions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Mr. McDonell pointed out, this is not a Rule 19(24) application. And it is not simply a matter of looking at assertions or pleadings. The Court must look at the evidence and weigh it in order to decide the issues, and if of necessity in doing so the Court also in effect decides the case, then so be it. When balancing the need for Directors to be accountable, and the rights of those who believe the company has been wronged, the Court must not overlook the person in between, the company, which easily may be wronged in the furtherance of a perhaps over zealous pursuit of the rights of a dissident Shareholder/Director engaged in a running battle with others in his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circumstances of this case, I am not prepared to exercise my discretion in favour of the Petitioner. And for the various reasons outlined above,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Mather v. Westfair Foods Ltd. (c.o.b. Extra Foods), [2004] B.C.J. No. 627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22 - 26,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S57383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627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2004 BCSC 449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129 A.C.W.S. (3d) 1250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Lyn Mather, plaintiff, and Westfair Foods Ltd. doing business as Extra Foods,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jc w:val="both"/>
        <w:rPr>
          <w:rFonts w:ascii="arial" w:eastAsia="arial" w:hAnsi="arial" w:cs="arial"/>
          <w:sz w:val="20"/>
          <w:lang w:val="en-US" w:eastAsia="en-US" w:bidi="ar-SA"/>
        </w:rPr>
      </w:pPr>
      <w:bookmarkStart w:id="145" w:name="Counsel_21"/>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Terry L. Napora, for the plaintiff. Peter Norell,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21"/>
      <w:bookmarkEnd w:id="146"/>
      <w:r>
        <w:pict>
          <v:line id="_x0000_s1134" style="position:absolute;z-index:251731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STEWART J."/>
            <w:bookmarkEnd w:id="147"/>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reads thus, in part:</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January 17, 2002 the plaintiff was 52 years of age. And she had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She was standing on the sidewalk on Baker Street in Nelson, British Columbia. It was a Thursday. It was about 2:40 p.m. And she was cold. She wanted to get to the Extra Foods store - a store operated by the defendant - to buy some grapes. But, as she perceived it, her way was temporarily blocked. To her eye the opening on Baker Street into the Extra Foods parking lot was blocked by cars. She waited. She knew that if she waited long enough the cars would sort themselves out. She could then walk through the opening into the Extra Foods parking lot and on to the Extra Foods building itself without having to worry about getting too close to moving cars. But she was getting colder.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So, the plaintiff made a decision. She decided to turn away from the Baker Street entrance and enter the Extra Foods parking lot by another route. She had a number of choices. She could have retraced her path along Baker, turned onto Hendryx Street and entered the parking lot in any of a number of places as she walked on Hendryx Street toward Vernon Street, the street that ran parallel to Baker Street. I note here that Baker Street was, effectively, the southern boundary of the Extra Foods premises and Vernon Street, the northern boundary. (Exhibit 3, Tab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But the plaintiff chose to neither wait for the cars to sort themselves out nor retrace her steps on Baker Street and enter off Hendryx, as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What she chose to do was to walk over what both counsel referred to at this trial as a "snow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its material part the snow bank ran parallel to Baker Street from Hendryx Street to where the entrance for cars on Baker - referred to above -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If you were on the Baker Street sidewalk - where the plaintiff stood on January 17, 2002, as above - and decided to enter the Extra Foods parking lot by going over the snow bank, you would have faced north, taken your first step onto the snow bank just off the sidewalk, walked slightly up and then down as you traversed the snow bank and then stepped off the snow bank at a point which put you hard by the snow bank and a few feet into the Extra Foods property, i.e.,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 that is what the plaintiff did. With one additional thing: she spotted footprints going up and over the snow bank. She followed those footprints. She walked in the footprints.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And she fell. She "suffered a low energy twisting type of fracture of the distal right tibia and proximal right fibula, which resulted in the need for operative fixation". (Report of Dr. Aitken June 10, 2002 page 5. Exhibit 1, Tab 1, page.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result the plaintiff points to the provisions of the Occupiers Liability Act noted above and claims damages against the defendant. The defendant accepts that it was the "occupier" of, amongst other things, the parking lot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defendant is, in my respectful view, correct when he says that the first task the trier of fact - me - should undertake is to decide just where it was that the plaintiff took her last, disastrous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Was she still on the snow bank? Was she off the snow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defendant is right in saying that the answer to that question sends the case down one or the other of two quite different paths, i.e., (1) consideration of the occupier's position in connection with the condition of the surface of the parking lot or (2) consideration of the occupier's position in connection with the presence of, and condition of, the snow bank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first path noted above involves consideration of the adequacy of the defendant's system for eliminating snow and ice hazards from the parking lot surface, and, if that system was adequate, whether at the material time the system was being followed by the defendant's employees. Consideration of the adequacy of, and, if adequate, the implementation of, the system the defendant had in place for guarding against snow and ice hazards on the parking lot surface itself is irrelevant if the case moves down the second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So, where did the plaintiff plant her foot when she took her last step? Did she plant it on the snow bank or off the snow bank and on the surface of the defendant's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is in conflict. The plaintiff's evidence on this point is the evidence of the only eyewitness. The rest of the evidence that bears on this issue of fact is circumstantial evidence. The circumstantial evidence includes the testimony of a number of people as to where the plaintiff was lying after she fell. And that body of testimony varies greatly.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Having considered the whole of the evidence together that bears on the issue of fact under discussion now I say, as the trier of fact: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by the end of her cross-examination - during which cross-examination she was taken to what she had said during an examination for discovery conducted on March 13, 2003 (pages 37, 38, 74) - the only sensible thing to take from the plaintiff's testimony is that her current recollection is that her last step was into three inches of snow and her present belief is that as she put her foot into that three inches of snow she was on the edge of the snow bank and stepping into "the last footprint in the snow bank before you got onto the actual area where there was just a bit of snow, and not higher snow...". (Examination for Discovery March 13, 2003, page 38).</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the plaintiff remained where she fell until she was lifted into an ambulance at approximately 3:16 p.m. And I also note that there is no evidence that "three inches of snow" was to be found anywhere of interest other than in the snow bank.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six people other than the plaintiff who testified as to where the plaintiff was lying - and their evidence varies wildly - the two witnesses whose evidence on this point carried the greatest weight with this particular trier of fact were the two firemen, Gordon Rae and Rick Maida. (I note here that a seventh witness, Diane Ethier, could not say where the plaintiff was in relation to the snow bank.)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know that firemen attend so many accident scenes that assuming lack of recall of a particular event is a good place for the trier of fact to begin. But I also find that not only are firemen dealing with an everyday occurrence when they arrive at an accident scene but also that they arrive at an accident scene with a plan. And, according to their plan, job one is to stop upon arrival, look at the scene and make sure it is safe for them and others who may be present.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firemen are the only witnesses who spoke of their training involving that first step: Where are we? Where are people? Where is the victim? What is around and about? I infer that that is the kind of thing that must be considered by them upon arriving at the scene. Otherwise their training is meaningless.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Next I turn to something that was striking to me as they testified. Both of the firemen drew a sharp line between things present at every accident scene - injury - and things peculiar to a given scene. The first - whether it was the right or left leg that was broken in the case at bar - they immediately acknowledge not remembering. But the latter - things peculiar to a given accident scene - throws up some things that they do remember.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was it here? For Gordon Rae it was: the lady, the plaintiff, being "up at the end of the lot with jackets over her"; her being "at the top end of the parking lot"; her head being within perhaps a foot of the snow bank; and her "lying on an angle, 45 degrees off the bank". To me that is all part of his step one, noted above. A step, on the evidence, peculiar to what the firemen did because of their training.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Rick Maida - the other fireman - also told me of the "scene evaluation" firemen do immediately upon arriving at the scene of an accident. He told me that his memory is of the plaintiff's head being partially on the snow bank with most of her body off the snow bank.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firemen - Gordon Rae and Rick Maida - put themselves, at times, in the snow bank as they did their work. In this connection I have taken into account that Gordon Rae said that as he "knelt in the snow bank" his knee came down on "wet dirty pavement". I find nothing inconsistent in that. Furthermore he was not challenged on the basis that if he knelt on the snow bank his knee would not have made contact with the pavement.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acknowledge (again) the existence of much testimony by other witnesses that is entirely inconsistent with the evidence of the firemen - Gordon Rae and Rick Maida - as to where the plaintiff was lying. I say as the trier of fact that having considered the whole of the evidence together I was impressed by the evidence of the two firemen - for the reasons noted above - in a way that was not replicated in connection with any of the other witnesses who testified as to where the plaintiff was lying after she came to rest.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sake of completeness I note that Ron McKilligan had the plaintiff "just in front of the snow bank", perhaps "five to six feet from it". Valerie Semeniuk, Debbie Morris (an ambulance attendant) and Heidi Henke had the plaintiff further from the snow bank than Ron McKilligan did. The plaintiff, who was in great pain at the material time and, in my respectful view, in no condition to calmly assess her situation, offered her evidence as to where she was lying. I did not lose sight of her evidence on that point.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recognize that looked at in isolation none of the following points is decisive on the issue of fact under discussion now: (1) the upshot of the plaintiff's evidence (see above); (2) my conclusion that the plaintiff remained where she landed after she fell; (3) the absence of evidence of three inches of snow being present anywhere other than on the snow bank; (4) the evidence of Gordon Rae and Rick Maida as to where the plaintiff was lying (see above).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having considered the whole of the relevant evidence together, and considered the cumulative effect of the four points just noted, I find on a balance of probabilities that the plaintiff's last step was into approximately three inches of snow and that she was stepping into a footprint on the snow bank when she took that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snow bank was the end result of the defendant's use of a contractor to clear snow from the parking lot surface. The presence of a snow bank is a neutral fact. In other words in doing what must be done to discharge its duty under the Occupiers Liability Act the defendant necessarily produced, through the contractor, at least one snow bank. In this case there were in fact two snow banks: one snow bank along Baker Street at the "top" of the parking lot and one along Vernon Street at the "bottom" of the parking lot. (The parking lot and the store were situated on an incline.) I pause here to note that there was a suggestion in the evidence of Diane Ethier and the plaintiff that there was a snow bank on the Hendryx Street end of the parking lot. I find that there was no such snow bank along Hendryx Street. The weight of the evidence is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Were there sufficient entrances into the Extra Foods parking lot so that the issue of the defendant's forcing or encouraging people to walk over the snow banks does not arise? The answer is Yes. The evidence is conflicting on even this point, but at a minimum there were two large entrances - one on Baker Street and one on Vernon Street - and the Hendryx Street side of the parking lot provided many places to enter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Is it a case where a reasonable person in the position of the defendant's employees would have concluded that, regardless of what the defendant might wish, the fact of the matter was that the defendant's customers had created a "danger", an inviting pathway over or through the snow bank on Baker, and the time had come to create an entranceway through the snow bank at that location or take steps to stop the defendant's customers from using what had become a recognized and favoured pathway? No. The evidence simply does not admit of any such conclusion. The description in the evidence is of a scene where one or more individuals had walked over the snow bank before the plaintiff made her decision to follow in the available footprints on January 17, 2002. But that is the end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Is there evidence in the case at bar of anything peculiar to the nature, shape, consistency, content or appearance of the snow bank on Baker Street that ought to have resulted in action being taken by an employee of the defendant to prevent, eliminate or warn of danger beyond that inherent in walking over a snow bank that exited onto a downhill slope? No. Nothing. And only binding authority from above could result in a ruling by me that an occupier must warn people about the "inherent" danger just noted. And no such binding authority was brought to my attention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the submission of counsel for the defendant that at this stage of the analysis the case ends. I find that the defendant has affirmatively established on a balance of probabilities that there is no platform for discussing even the possibility of a relevant breach by the defendant of its duty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action must, and does,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Is it a case for findings in the alternative? In other words is it a case for heading down the "first path" noted above in paragraphs 14 and 15? If so, what about considering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alternative"? Apart from those questions is it a case for assessing damages "in the alternative"? I exercise my discretion against making findings in the alternative. In doing so I apply the law as stated in Caplan Builders Limited, Caplan and Caplan v. Royal Bank of Canada, </w:t>
      </w:r>
      <w:hyperlink r:id="rId341" w:history="1">
        <w:r>
          <w:rPr>
            <w:rFonts w:ascii="arial" w:eastAsia="arial" w:hAnsi="arial" w:cs="arial"/>
            <w:i/>
            <w:color w:val="0077CC"/>
            <w:sz w:val="20"/>
            <w:u w:val="single"/>
            <w:shd w:val="clear" w:color="auto" w:fill="FFFFFF"/>
            <w:lang w:val="en-US" w:eastAsia="en-US" w:bidi="ar-SA"/>
          </w:rPr>
          <w:t>25 B.C.L.R. (2d) 335</w:t>
        </w:r>
      </w:hyperlink>
      <w:r>
        <w:rPr>
          <w:rFonts w:ascii="arial" w:eastAsia="arial" w:hAnsi="arial" w:cs="arial"/>
          <w:color w:val="000000"/>
          <w:sz w:val="20"/>
          <w:lang w:val="en-US" w:eastAsia="en-US" w:bidi="ar-SA"/>
        </w:rPr>
        <w:t xml:space="preserve"> (B.C.S.C., 1988). (Appeal dismissed, </w:t>
      </w:r>
      <w:hyperlink r:id="rId342" w:history="1">
        <w:r>
          <w:rPr>
            <w:rFonts w:ascii="arial" w:eastAsia="arial" w:hAnsi="arial" w:cs="arial"/>
            <w:i/>
            <w:color w:val="0077CC"/>
            <w:sz w:val="20"/>
            <w:u w:val="single"/>
            <w:shd w:val="clear" w:color="auto" w:fill="FFFFFF"/>
            <w:lang w:val="en-US" w:eastAsia="en-US" w:bidi="ar-SA"/>
          </w:rPr>
          <w:t>[1989] B.C.J. No. 1074</w:t>
        </w:r>
      </w:hyperlink>
      <w:r>
        <w:rPr>
          <w:rFonts w:ascii="arial" w:eastAsia="arial" w:hAnsi="arial" w:cs="arial"/>
          <w:color w:val="000000"/>
          <w:sz w:val="20"/>
          <w:lang w:val="en-US" w:eastAsia="en-US" w:bidi="ar-SA"/>
        </w:rPr>
        <w:t>, June 8, 1989. The Court of Appeal did not reach this issue.) On its facts that case dealt only with the question of assessing damages "in the alternative". But the logic that bottoms the discussion in that case has application everywhere.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action is dismissed. On the face of it costs follow the event,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7831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Mazur v. The Citadel General Assurance Company, [2005] I.L.R. para. I-4454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30,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Number S031659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[2005] I.L.R. para. I-4454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[2005] B.C.J. No. 2061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2005 BCSC 1371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Mazur v. The Citadel General Assurance Company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21"/>
      <w:bookmarkEnd w:id="148"/>
      <w:r>
        <w:rPr>
          <w:rFonts w:ascii="arial" w:eastAsia="arial" w:hAnsi="arial" w:cs="arial"/>
          <w:b/>
          <w:color w:val="000000"/>
          <w:sz w:val="20"/>
          <w:lang w:val="en-US" w:eastAsia="en-US" w:bidi="ar-SA"/>
        </w:rPr>
        <w:t xml:space="preserve">Automobile insurance — Underinsured motorist coverage — Three out-of-province policies covering claimants — Driver's policy was primary policy — Limit of coverage was a global limit for all claims — Insurance (Motor Vehicle) Regulation, </w:t>
      </w:r>
      <w:hyperlink r:id="rId351" w:history="1">
        <w:r>
          <w:rPr>
            <w:rFonts w:ascii="arial" w:eastAsia="arial" w:hAnsi="arial" w:cs="arial"/>
            <w:b/>
            <w:i/>
            <w:color w:val="0077CC"/>
            <w:sz w:val="20"/>
            <w:u w:val="single"/>
            <w:shd w:val="clear" w:color="auto" w:fill="FFFFFF"/>
            <w:lang w:val="en-US" w:eastAsia="en-US" w:bidi="ar-SA"/>
          </w:rPr>
          <w:t>B.C. Reg 447/83, s. 148.1</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18"/>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 special case for determination of questions of law. L had been killed in a motor vehicle accident, and his widow and children commenced actions against three out-of-province insurers. The driver of the vehicle in which L had been a passenger was covered by A, and the limits under that policy were $500,000. Since the plaintiffs claimed that their damages would exceed that amount, the driver was an underinsured motorist. Thus the plaintiffs sought compensation under the SEF 44 Family Protection Endorsement in the three policies. The B policy covered L's motor vehicle and L was an insured person as the occupant of the accident vehicle. L's widow was covered by the C policy, and she was entitled to coverage as his spouse. The B and C policies had limits of $1 million, and it was acknowledged that the plaintiffs were entitled to coverage under the SEF 44 endorsement under all three policies. The Court was asked to determine whether one of the policies was primary, and whether the limit of coverage under the endorsements was a global amount for all claims, or was available to each claimant.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0" w:name="Holdings of Court_17"/>
            <w:bookmarkEnd w:id="150"/>
            <w:r>
              <w:rPr>
                <w:rFonts w:ascii="arial" w:eastAsia="arial" w:hAnsi="arial" w:cs="arial"/>
                <w:color w:val="000000"/>
                <w:sz w:val="20"/>
                <w:lang w:val="en-US" w:eastAsia="en-US" w:bidi="ar-SA"/>
              </w:rPr>
              <w:t>HELD: The A policy, covering the driver of the accident vehicle, was held to be the primary policy.</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SEF 44 endorsement provided that where the insured person was an occupant of an automobile, the insurance on that automobile was first loss insurance. Although subsection 148.1(9) of the Insurance (Motor Vehicle) Regulation provided that underinsured motorist protection coverage provided by an out-of-province insurer was primary coverage, this section had no application where the insurance provided by all policies was out-of-province insurance. The insurers were not precluded from relying on the clear language of the SEF 44 endorsement which made A the primary insurer. B and C provided excess coverage only.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limit of coverage under the endorsement was held to be a global limit. Subsection 148.1(2) of Schedule 3 to the Regulation described the scope of the underinsured motorist coverage. The coverage was based on what the insured, the deceased L in this case, was entitled to recover. After L's death, the "insured" was a person entitled to maintain an action because of the death.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there could only be one action on behalf of L's beneficiaries, to be brought by L's personal representative. The underinsured motorist coverage limit was $1 million for the beneficiaries of the action, not $1 million for each beneficiary.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Counsel_22"/>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T.L. Robertson, Q.C., S. Davies and L.D. Sinclair for the plaintiffs; J.A. Dowler, D.S. Hwang, R.B. Killough and P.J. Stein for the defendants. .</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2" w:name="Judgment_22"/>
      <w:bookmarkEnd w:id="152"/>
      <w:r>
        <w:pict>
          <v:line id="_x0000_s1138" style="position:absolute;z-index:2517841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3" w:name="WEDGE J."/>
            <w:bookmarkEnd w:id="153"/>
            <w:r>
              <w:rPr>
                <w:rFonts w:ascii="arial" w:eastAsia="arial" w:hAnsi="arial" w:cs="arial"/>
                <w:b/>
                <w:color w:val="000000"/>
                <w:sz w:val="30"/>
                <w:lang w:val="en-US" w:eastAsia="en-US" w:bidi="ar-SA"/>
              </w:rPr>
              <w:t>WEDGE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Special Case, brought pursuant to Rule 33 of the Rules of Court, concerns two actions. Both arise from the death of Cameron Carl Lougheed in a single car accident, which occurred near Fernie, B.C. on June 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Nicole Marie Mazur, Mr. Lougheed's common law spouse, commenced an action against the three defendant insurers, Co-Operators, Citadel and Liberty. The plaintiffs Ian Fraser Lougheed and Scott Cameron Lougheed, Mr. Lougheed's children, also commenced an action against the three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agreed to have the Special Case in both actions heard at the same time because they involve the same defendants and coverage issues. They have also agreed to be bound by the Court's decision.</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facts are described in the Statement of Agreed Facts (Appendix A).</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seek determination of the following issues: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entitled to coverage under the Standard Endorsement Form ("SEF") 44 Family Protection Endorsement in the: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Co-Operators Policy;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Citadel Policy;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Liberty Policy?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more than one policy under which the plaintiffs are entitled to Family Protection Coverage, is one of the policies primary or is coverage apportioned among the policies on a pro-rata basis?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limit of coverage under each of the SEF 44 Family Protection Endorsements in the policies? Is that limit a global amount for all claims or is it available for each of the plaintiff's claims?</w:t>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entitled to coverage under the SEF 44 Family Protection Endorsement in the:</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Co-Operators Policy;</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Citadel Policy; and</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Liberty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three defendant insurers acknowledged at the outset of the hearing that the answer is "yes" with respect to (a), (b) and (c). They recognize the operation of s. 2 of the Insurance Company Motor Vehicle Liability Insurance Regulation, </w:t>
      </w:r>
      <w:hyperlink r:id="rId352" w:history="1">
        <w:r>
          <w:rPr>
            <w:rFonts w:ascii="arial" w:eastAsia="arial" w:hAnsi="arial" w:cs="arial"/>
            <w:i/>
            <w:color w:val="0077CC"/>
            <w:sz w:val="20"/>
            <w:u w:val="single"/>
            <w:shd w:val="clear" w:color="auto" w:fill="FFFFFF"/>
            <w:lang w:val="en-US" w:eastAsia="en-US" w:bidi="ar-SA"/>
          </w:rPr>
          <w:t>B.C. Reg. 84/91</w:t>
        </w:r>
      </w:hyperlink>
      <w:r>
        <w:rPr>
          <w:rFonts w:ascii="arial" w:eastAsia="arial" w:hAnsi="arial" w:cs="arial"/>
          <w:color w:val="000000"/>
          <w:sz w:val="20"/>
          <w:lang w:val="en-US" w:eastAsia="en-US" w:bidi="ar-SA"/>
        </w:rPr>
        <w:t xml:space="preserve">, pursuant to the Financial Institutions Act, </w:t>
      </w:r>
      <w:r>
        <w:rPr>
          <w:rFonts w:ascii="arial" w:eastAsia="arial" w:hAnsi="arial" w:cs="arial"/>
          <w:i/>
          <w:color w:val="000000"/>
          <w:sz w:val="20"/>
          <w:lang w:val="en-US" w:eastAsia="en-US" w:bidi="ar-SA"/>
        </w:rPr>
        <w:t>R.S.B.C. 1996, c. 141</w:t>
      </w:r>
      <w:r>
        <w:rPr>
          <w:rFonts w:ascii="arial" w:eastAsia="arial" w:hAnsi="arial" w:cs="arial"/>
          <w:color w:val="000000"/>
          <w:sz w:val="20"/>
          <w:lang w:val="en-US" w:eastAsia="en-US" w:bidi="ar-SA"/>
        </w:rPr>
        <w:t xml:space="preserve"> ("ICMVLI Regulation") which states,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Each of subsections (2) and (3) is a condition of every business authorization issued to, or held by, an insurance company or extraprovincial insurance company.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brought in British Columbia against an insurance company or its insured or an extraprovincial insurance corporation or its insured under a contract of automobile insurance made outside British Columbia the insurance company or extraprovincial corporation</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not set up any defence to the action, including a defence as to the limit or limits of liability under the contract made outside British Columbia that might not be set up if the contract were evidenced by a motor vehicle liability insurance policy issued in British Columbia,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Co-Operators, Citadel and Liberty are out-of-province insurers and all three fall within the scope of the above section. As such, none can raise in the actions a defence that would not be available had their insurance policies been issued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Revised Regulation (1984) under the Insurance (Motor Vehicle) Act, </w:t>
      </w:r>
      <w:hyperlink r:id="rId353"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(the "Regulations") sets out the universal compulsory automobile insurance scheme available in this province, and includes Part 10, Division 2, the Underinsured Motorist Protection ("UMP")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Lougheed, who was a passenger in the vehicle at the time of the accident, died as a result of injuries he suffered. The plaintiffs brought a tort action against the driver of the vehicle, who had third party motor vehicle liability coverage under the Co-Operators policy in the amount of $500,000. The plaintiffs say their claims collectively exceed $500,000, and, as a result, the driver is an underinsured motorist. Accordingly, they seek additional compensation under the SEF 44 Family Protection Endorsements of the three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SEF 44 issued by the three defendant insurers have identical terms. Clause 2 of the SEF 44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Insurer shall indemnify each eligible claimant for the amount that such eligible claimant is legally entitled to recover from an inadequately insured motorist as compensatory damages in respect of bodily injury or death sustained by an insured person by accident arising out of the use or operation of an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common ground that the three plaintiffs are "eligible claimants" under the wording of the SEF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"Insured person" is defined in the SEF 44 as: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named insured and his or her spouse if residing in the same dwelling premises and any dependant relative of either, while</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occupant of the described automobile ... [or]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occupant of any other automobile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Co-Operators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noted earlier, the driver of the vehicle involved in the accident had motor vehicle liability insurance coverage with Co-Operators, which included UMP coverage. However, Mr. Lougheed does not meet the definition of "insured person" under the Co-Operators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Lougheed is, however, an "insured person" under Part 10, Division 2 of the Regulations. Included in the definition of "insured" under s. 148.1(1) of the Regulations is "an occupant of a motor vehicle described in the owner's certificate". If the policy on the vehicle involved in the accident had been issued in British Columbia, it would have been evidenced by an owner's certificate. Thus Mr. Lougheed was, as a passenger in the vehicle at the time of the accident, an "occupant of a motor vehicle described in the owner's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Accordingly, by operation of s. 2(2)(b) of the ICMVLI Regulation and jurisprudence with respect to the Regulations, Co-Operators acknowledged that it is precluded from raising as a defence that Mr. Lougheed is not an "insured person" under its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Citadel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Lougheed held a motor vehicle insurance policy issued by Citadel. Under the SEF 44, Mr. Lougheed was a named insured who was an occupant of the vehicle, and is accordingly an "insured person". As such, the three plaintiffs are eligible claimants and entitled to UMP coverage under the Citadel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Liberty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Mazur held a policy of insurance issued by Liberty. Mr. Lougheed would have been an "insured person" under the Liberty policy if he had been Ms. Mazur's "spouse" as defined by that policy. However, to do so, Mr. Lougheed was required to live with Ms. Mazur "continuously for a period of not less than five years". As the two had cohabited for more than two years but less than five, he did not meet the definition of "spouse"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under British Columbia law, Mr. Lougheed would be considered a "spouse". Section 1(1) of the Regulations defines "spouse" as a person "... who is living in a marriage-like relationship ... for at least 2 years immediately preceding the date on which the right to claim benefits or insurance moneys arose ...". Thus, according to the Regulations, Mr. Lougheed was Ms. Mazur's spouse at the time of the accident and therefore an "insured person" under the SEF 44 of the Liberty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had the policy on Ms. Mazur's vehicle been issued in British Columbia, it would have been evidenced by an owner's certificate. As such, Mr. Lougheed was also an "insured" for UMP purposes under the Regulations as he was a member of the household of a person named as the owner in an owner's certificate, that being Ms. Mazur (in accordance with the definition of "insured" under s. 148.1(1)(b)(ii) of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of the foregoing, and as acknowledged by the defendant insurers, each of the three plaintiffs is entitled to coverage under the SEF 44 Family Protection Endorsement in the policies issued by all three of the defendant insurers.</w:t>
      </w:r>
      <w:r>
        <w:rPr>
          <w:rFonts w:ascii="arial" w:eastAsia="arial" w:hAnsi="arial" w:cs="arial"/>
          <w:sz w:val="20"/>
          <w:lang w:val="en-US" w:eastAsia="en-US" w:bidi="ar-SA"/>
        </w:rPr>
        <w:cr/>
      </w:r>
    </w:p>
    <w:p>
      <w:pPr>
        <w:numPr>
          <w:numId w:val="1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one policy primary, or is coverage apportioned on a pro-rata basis among the three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the plaintiffs are entitled to claim coverage under all three policies, the next question is whether any one policy is primary.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Citadel and Liberty argued that the Co-Operators policy is primary and their policies are excess. According to these two defendants, the SEF 44 clearly dictates this result and is not modified by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Co-Operators argued that the SEF 44 is modified by the Regulations such that none of the policies is primary. As such, coverage must be apportioned on a pro-rata basis among the three defendant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reasons that follow, I have concluded that the Co-Operators policy is primary and the Citadel and Liberty policies are excess.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Clause 7 of the SEF 44 provides as follows:</w:t>
      </w:r>
      <w:r>
        <w:rPr>
          <w:rFonts w:ascii="arial" w:eastAsia="arial" w:hAnsi="arial" w:cs="arial"/>
          <w:sz w:val="20"/>
          <w:lang w:val="en-US" w:eastAsia="en-US" w:bidi="ar-SA"/>
        </w:rPr>
        <w:cr/>
      </w:r>
    </w:p>
    <w:p>
      <w:pPr>
        <w:numPr>
          <w:numId w:val="15"/>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Coverages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provisions hereof, where an eligible claimant is entitled to payment under Family Protection Coverage under more than one policy and the insured person</w:t>
      </w:r>
    </w:p>
    <w:p>
      <w:pPr>
        <w:numPr>
          <w:numId w:val="1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occupant of an automobile, such insurance on the automobile in which the insured person is an occupant is first loss insurance and any other such insurance is excess;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applicable first loss Family Protection Coverage shall be apportioned on a pro rata basis but in no event shall the aggregate payment under all such insurances exceed the highest limit of coverage provided by any one of such first loss insurances. The applicable first loss insurance shall be exhausted before recourse is made to excess insurances. All applicable excess Family Protection Coverage shall be similarly apportioned on a pro rata basis but in no event shall the aggregate payment under all such insurances exceed the highest limit of coverage as defined in paragraph 3(b) thereof, provided by any one of such excess insurances.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Lougheed, the insured person, was an occupant of the vehicle involved in the accident. The vehicle was insured under the Co-Operators policy. Accordingly, pursuant to Clause 7 of the SEF 44, the Co-Operators policy is first loss insurance. It follows that under the SEF 44, the Citadel and Liberty policies are excess insurances.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question remains whether there are any provisions in the Regulations which modify that interpretation or preclude the applicability of Clause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noted earlier, by reason of ICMVLI Regulation s. 2(2)(b), the obligations of the defendant insurers are modified by the Regulations insofar as none can raise a defence that could not be raised had its insurance policy been issued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Co-Operators argued that s. 148.1(9) of the Regulations applies in the circumstances of this case, and operates to prevent Citadel and Liberty from relying on Clause 7 of the SEF 44. Section 148.1(9)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in the event of a claim, an insured has access to underinsured motorist protection coverage or similar insurance protection under a contract of automobile insurance of another jurisdiction, the benefits of that coverage are primary and any benefits provided under this Division are available only to the extent that the amount of benefits provided by the certificate exceeds the amount of benefits provided by the primary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operation of this subsection, UMP coverage provided by the Insurance Corporation of British Columbia ("I.C.B.C.") is excess to any policy available to an insured that was issued in another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 to Co-Operators, reliance by Citadel and Liberty on Clause 7 of SEF 44 is "an attempt to reduce or eliminate their liability" with respect to UMP coverage and, as such, amounts to a "defence" that could not be asserted if their policies were issued under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purpose of s. 2(2)(b) of the ICMVLI Regulation was examined by our Court of Appeal in Anderson (Guardian ad litem of) v. Co-Operators General Insurance Company </w:t>
      </w:r>
      <w:hyperlink r:id="rId354" w:history="1">
        <w:r>
          <w:rPr>
            <w:rFonts w:ascii="arial" w:eastAsia="arial" w:hAnsi="arial" w:cs="arial"/>
            <w:i/>
            <w:color w:val="0077CC"/>
            <w:sz w:val="20"/>
            <w:u w:val="single"/>
            <w:shd w:val="clear" w:color="auto" w:fill="FFFFFF"/>
            <w:lang w:val="en-US" w:eastAsia="en-US" w:bidi="ar-SA"/>
          </w:rPr>
          <w:t>(1990), 51 B.C.L.R. (2d) 93</w:t>
        </w:r>
      </w:hyperlink>
      <w:r>
        <w:rPr>
          <w:rFonts w:ascii="arial" w:eastAsia="arial" w:hAnsi="arial" w:cs="arial"/>
          <w:color w:val="000000"/>
          <w:sz w:val="20"/>
          <w:lang w:val="en-US" w:eastAsia="en-US" w:bidi="ar-SA"/>
        </w:rPr>
        <w:t>. In that case, the plaintiff was severely injured while a passenger in a car driven by his mother. The accident occurred in British Columbia, but his mother's car was insured by the defendant, Co-Operators, in Alberta. The Co-Operators policy provided coverage up to $5,000 for the plaintiff's medical expenses. In British Columbia, the plaintiff would be entitled to recover "no fault" benefits up to $100,000. The issue of whether the plaintiff was entitled to the latter benefits, or was limited to the $5,000 coverage, was before the Court in the form of a special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of Appeal held that the plaintiff was entitled to the British Columbia "no fault" benefits. Co-Operators, in relying on the limits under its policy, was setting up a defence not available to an insurer in British Columbia. Dealing with the legislative provision that is now s. 2(2)(b) of the ICMVLI Regulation, Legg J.A. stated as follows at p.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approach I have taken ... also achieves the purpose of the interprovincial legislative arrangements. They seek to provide that a person insured under a policy issued outside British Columbia, and who is involved in a motor vehicle accident in British Columbia, obtains the benefits of the universal compulsory automobile insurance scheme provided to a person insured under a motor vehicle liability insurance policy issued within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then considered whether s. 2(2)(b) was in harmony with the provisions of the legislative scheme governing insurance in the province of Alberta. It concluded at p. 8 that the purpose of the Alberta legislation was "to have an insured outside Alberta obtain insurance benefits to the same extent as if the insured was covered by a policy issued in that other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Anderson was followed in Park v. Insurance Corp. of British Columbia, </w:t>
      </w:r>
      <w:hyperlink r:id="rId355" w:history="1">
        <w:r>
          <w:rPr>
            <w:rFonts w:ascii="arial" w:eastAsia="arial" w:hAnsi="arial" w:cs="arial"/>
            <w:i/>
            <w:color w:val="0077CC"/>
            <w:sz w:val="20"/>
            <w:u w:val="single"/>
            <w:shd w:val="clear" w:color="auto" w:fill="FFFFFF"/>
            <w:lang w:val="en-US" w:eastAsia="en-US" w:bidi="ar-SA"/>
          </w:rPr>
          <w:t>[2004] B.C.J. No. 2632</w:t>
        </w:r>
      </w:hyperlink>
      <w:r>
        <w:rPr>
          <w:rFonts w:ascii="arial" w:eastAsia="arial" w:hAnsi="arial" w:cs="arial"/>
          <w:color w:val="000000"/>
          <w:sz w:val="20"/>
          <w:lang w:val="en-US" w:eastAsia="en-US" w:bidi="ar-SA"/>
        </w:rPr>
        <w:t xml:space="preserve"> (C.A.). In Park, the plaintiff was an Alberta resident who suffered severe injuries in a car accident in British Columbia. The car in which the plaintiff was a passenger and the other car involved in the accident were both insured by I.C.B.C. As well, the plaintiff had car insurance with respect to her own car issued by Royal &amp; Sun Alliance Insurance Company of Canada. Clause 7 of the SEF 44 in the Royal policy stipulated that the primary UMP coverage was the coverage provided by the contract insuring the car in which the insured was an occupant. Thus Clause 7 would have resulted in the I.C.B.C. UMP coverage being the primary coverage. However, under s. 148.1(9) of the Regulations, the Royal policy was primary.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Upholding the decision of the Court below, the Court of Appeal held that the UMP coverage provided by Royal was primary. Section 2(2)(b) of the ICMVLI Regulation operated to prevent Royal from relying on the provisions of its policy, which were in conflict with s. 148.1(9) of the Regulations. Mr. Justice Lowry stated the following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particular regard for the interpretation that was given to the wording of what is now s. 2(2) of the Regulation and the reasoning employed in Anderson and Potts, </w:t>
      </w:r>
      <w:hyperlink r:id="rId356" w:history="1">
        <w:r>
          <w:rPr>
            <w:rFonts w:ascii="arial" w:eastAsia="arial" w:hAnsi="arial" w:cs="arial"/>
            <w:i/>
            <w:color w:val="0077CC"/>
            <w:sz w:val="20"/>
            <w:u w:val="single"/>
            <w:shd w:val="clear" w:color="auto" w:fill="FFFFFF"/>
            <w:lang w:val="en-US" w:eastAsia="en-US" w:bidi="ar-SA"/>
          </w:rPr>
          <w:t>[1992] O.J. No. 1173</w:t>
        </w:r>
      </w:hyperlink>
      <w:r>
        <w:rPr>
          <w:rFonts w:ascii="arial" w:eastAsia="arial" w:hAnsi="arial" w:cs="arial"/>
          <w:color w:val="000000"/>
          <w:sz w:val="20"/>
          <w:lang w:val="en-US" w:eastAsia="en-US" w:bidi="ar-SA"/>
        </w:rPr>
        <w:t>, I consider Royal is precluded from raising clause 7 of its SEF 44 in defence to Dr. Park's petition. Clause 7 is inconsistent with the provisions of an automobile insurance contract made in British Columbia. The insurance required by law in this province is provided in the Insurance (Motor Vehicle) Act Regulations. No section of those regulations can be said to equate to Royal's priority clause. Section 148.1(9) of the regulations is a priority clause upon which ICBC can rely, but it affords a different defence on a factual basis to the defence Royal raises on clause 7 of its endorsement.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 similar analysis was undertaken by Williamson J. in Jevco Insurance Co. v. Drews, </w:t>
      </w:r>
      <w:hyperlink r:id="rId357" w:history="1">
        <w:r>
          <w:rPr>
            <w:rFonts w:ascii="arial" w:eastAsia="arial" w:hAnsi="arial" w:cs="arial"/>
            <w:i/>
            <w:color w:val="0077CC"/>
            <w:sz w:val="20"/>
            <w:u w:val="single"/>
            <w:shd w:val="clear" w:color="auto" w:fill="FFFFFF"/>
            <w:lang w:val="en-US" w:eastAsia="en-US" w:bidi="ar-SA"/>
          </w:rPr>
          <w:t>[2003] B.C.J. No. 1082</w:t>
        </w:r>
      </w:hyperlink>
      <w:r>
        <w:rPr>
          <w:rFonts w:ascii="arial" w:eastAsia="arial" w:hAnsi="arial" w:cs="arial"/>
          <w:color w:val="000000"/>
          <w:sz w:val="20"/>
          <w:lang w:val="en-US" w:eastAsia="en-US" w:bidi="ar-SA"/>
        </w:rPr>
        <w:t xml:space="preserve"> (S.C.). The injured insured, a resident of British Columbia and holder of a British Columbia driver's licence, was injured in an accident that occurred in New Brunswick. The motorcycle involved in the accident was registered in Quebec. Jevco, a Quebec insurer authorized to conduct business in British Columbia, was the insurer of the motorcycle. Its policy provided no UMP coverage. The insured claimed for underinsured motorist protection. An arbitrator concluded that Jevco was the primary insurer with respect to the claim for UMP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Justice Williamson considered the policy underpinnings of the Regulations. At para. 10 of his reasons, he cites the comments of Esson J.A. in Shannon v. Insurance Corporation of British Columbia, </w:t>
      </w:r>
      <w:hyperlink r:id="rId358" w:history="1">
        <w:r>
          <w:rPr>
            <w:rFonts w:ascii="arial" w:eastAsia="arial" w:hAnsi="arial" w:cs="arial"/>
            <w:i/>
            <w:color w:val="0077CC"/>
            <w:sz w:val="20"/>
            <w:u w:val="single"/>
            <w:shd w:val="clear" w:color="auto" w:fill="FFFFFF"/>
            <w:lang w:val="en-US" w:eastAsia="en-US" w:bidi="ar-SA"/>
          </w:rPr>
          <w:t>[1996] B.C.J. No. 2313</w:t>
        </w:r>
      </w:hyperlink>
      <w:r>
        <w:rPr>
          <w:rFonts w:ascii="arial" w:eastAsia="arial" w:hAnsi="arial" w:cs="arial"/>
          <w:color w:val="000000"/>
          <w:sz w:val="20"/>
          <w:lang w:val="en-US" w:eastAsia="en-US" w:bidi="ar-SA"/>
        </w:rPr>
        <w:t xml:space="preserve"> (C.A.)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enough to say that the general scheme of the legislation in the various provinces which have it is to the effect that, where the limits of coverage or other terms required by law are more favourable in the province in which the accident takes place, then the claimant, whether under a liability insurance policy or a no fault provision, will be entitled to those superior benefits even though they are not provided for in the coverage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Court in Jevco, following the trial decision in Park, </w:t>
      </w:r>
      <w:hyperlink r:id="rId359" w:history="1">
        <w:r>
          <w:rPr>
            <w:rFonts w:ascii="arial" w:eastAsia="arial" w:hAnsi="arial" w:cs="arial"/>
            <w:i/>
            <w:color w:val="0077CC"/>
            <w:sz w:val="20"/>
            <w:u w:val="single"/>
            <w:shd w:val="clear" w:color="auto" w:fill="FFFFFF"/>
            <w:lang w:val="en-US" w:eastAsia="en-US" w:bidi="ar-SA"/>
          </w:rPr>
          <w:t>[2002] B.C.J. No. 1741</w:t>
        </w:r>
      </w:hyperlink>
      <w:r>
        <w:rPr>
          <w:rFonts w:ascii="arial" w:eastAsia="arial" w:hAnsi="arial" w:cs="arial"/>
          <w:color w:val="000000"/>
          <w:sz w:val="20"/>
          <w:lang w:val="en-US" w:eastAsia="en-US" w:bidi="ar-SA"/>
        </w:rPr>
        <w:t>, concluded that Jevco "cannot set up a defence which would not be available to ICBC on a policy which it issued in this province." For that reason, the arbitrator was correct to conclude that the insurer must provide UMP coverage to the insured and that such coverage was primary.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I read the Park and Jevco decisions, the insurers in those cases were not permitted to raise defences that were inconsistent with the Regulations. In Park, the out-of-province insurer could not rely on a provision in its policy that was inconsistent with s. 148.1(9) of the Regulations, which made its coverage primary and I.C.B.C.'s coverage excess. In Jevco, the insurer could not deny the insured UMP coverage because it would not be open to I.C.B.C., in light of the provisions in the Regulations with respect to UMP coverage, to decline to extend UMP benefits to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Given the purpose of s. 2(2)(b) of the ICMVLI Regulation, the real issue in the present case is whether, as contended by Co-Operators, the other two defendant insurers are setting up a defence to an insured's claim that is inconsistent with the scheme of universal compulsory automobile insurance provided to insured persons in this province under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concluded that Citadel and Liberty, by relying on Clause 7 of the SEF 44, are not setting up a defence to the claims of the plaintiffs. Rather, they are relying on Clause 7 to determine the scope of their respective obligations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Section 148.1(9) has no application in this case because there is no I.C.B.C. coverage at issue. All three defendant insurers are out-of-province. All three provide UMP coverage, and that coverage is extended to the plaintiffs in this case. The only question is, as among the three policies, which policy (if any) is the primary coverage. The answer to that question does not affect the nature or extent of the coverage to which the plaintiffs are entitled, or coverage to which they would otherwise be entitled under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provision in the Regulations with respect to the priority of UMP coverage where I.C.B.C. is not an insurer or where there is coverage under more than one SEF 44. There are no provisions in the Regulations modifying or precluding the application of Clause 7 of the SEF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s. 148.1(9) is not engaged in this case, the question of which policy is primary can be answered solely by reference to Clause 7 of the SEF 44. Applying Clause 7, the Co-Operators policy is the primary insurance and the Liberty and Citadel policies are excess.</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amount of Family Protection Coverage under each of the three policies, and is that amount a global limit for all claims in respect of the accident?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 of Family Protection (UMP)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limit for Family Protection Coverage under the SEF 44 Co-Operators policy is $500,000, while the limit is $1 million under the SEF 44 of the Citadel and Liberty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Pursuant to the Regulations, in British Columbia a minimum of $1 million in UMP benefits must be provided under all policies. It was acknowledged by Co-Operators that s. 2(2)(b) of the ICMVLI Regulation precludes it from raising as a defence that the limit of coverage under its policy is only $500,000. In the result, the applicable limit for coverage under the policies of the three defendants is $1 million.</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Amount for All Claims or Each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insurers submit that the SEF 44 or UMP limit is the global amount available for all claims and not the limit for each claim. In other words, they say the plaintiffs are collectively entitled to a maximum of $1 million, rather than $1 million per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submit that under the Regulations, each of them is entitled to $1 million of UMP coverage. They rely on the definition of "insured" in s. 148.1(1)(c) and s. 13 of Schedule 3 to the Regulations. Section 148.1(1) provides,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"insured" means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occupant of a motor vehicle described in the owner's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 person who, in the jurisdiction in which the accident occurred, is entitled to maintain an action against the underinsured motorist for damages because of the death of a person described in paragraph (a)</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the purposes of the payment of compensation under this Division, includes the personal representative of a deceased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Section 13 of Schedule 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Division (2) of Part 10, the limit of coverage for underinsured motorist protection is $1 million per insured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Each of the plaintiffs is entitled to seek compensation for the death of Mr. Lougheed as a result of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(the "FCA"). The plaintiffs argue that because each of them may seek such compensation, each falls within the plain meaning of "insured" under the definition section of the Regulations. Thus, they say, each of them is entitled to UMP coverage in the amount of $1 million. Regardless of the coverage limits set by the defendants' policies, s. 2(2)(b) of the ICMVLI Regulation precludes reliance by the defendants on those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clear that under the SEF 44, the plaintiffs' entitlement would be limited to a global amount of $1 million. Clause 3, "Limit of Coverage Under this Endorsement", provides as follows: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Insurer's maximum liability under this endorsement, </w:t>
      </w:r>
      <w:r>
        <w:rPr>
          <w:rFonts w:ascii="arial" w:eastAsia="arial" w:hAnsi="arial" w:cs="arial"/>
          <w:i/>
          <w:color w:val="000000"/>
          <w:sz w:val="20"/>
          <w:lang w:val="en-US" w:eastAsia="en-US" w:bidi="ar-SA"/>
        </w:rPr>
        <w:t>regardless of the number of eligible claimants</w:t>
      </w:r>
      <w:r>
        <w:rPr>
          <w:rFonts w:ascii="arial" w:eastAsia="arial" w:hAnsi="arial" w:cs="arial"/>
          <w:color w:val="000000"/>
          <w:sz w:val="20"/>
          <w:lang w:val="en-US" w:eastAsia="en-US" w:bidi="ar-SA"/>
        </w:rPr>
        <w:t xml:space="preserve"> ... shall be the amount by which the Limit of Family Protection Coverage exceeds the total of all limits of motor vehicle liability insurance ... of the inadequately insured motorist ....</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this endorsement applies as excess, the Insurer's maximum liability under this endorsement is the amount determined in accordance with paragraph 3(a) less the amounts available to eligible claimants under any first loss insurance as referred to in paragraph 7 of this endorsement.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insurers submit there are no provisions under the Regulations modifying their obligation under the policies to provide a global amount of $1 million in UMP coverage. To the contrary, they say, on a purposive reading of the Regulations, their obligations under the policies are no different from those arising under the scheme of insurance provided by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There are no decisions of this Court dealing squarely with the issue. That is likely due to the operation of s. 148.2 of the Regulations, which provides that the amount of compensation to which a claimant is entitled under s. 148.1 must be submitted to arbitration under the Commercial Arbitration Act,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However, the plaintiffs referred to a recent decision of our Court of Appeal in McVea (Guardian ad litem of) v. British Columbia (A.G.), </w:t>
      </w:r>
      <w:hyperlink r:id="rId360" w:history="1">
        <w:r>
          <w:rPr>
            <w:rFonts w:ascii="arial" w:eastAsia="arial" w:hAnsi="arial" w:cs="arial"/>
            <w:i/>
            <w:color w:val="0077CC"/>
            <w:sz w:val="20"/>
            <w:u w:val="single"/>
            <w:shd w:val="clear" w:color="auto" w:fill="FFFFFF"/>
            <w:lang w:val="en-US" w:eastAsia="en-US" w:bidi="ar-SA"/>
          </w:rPr>
          <w:t>[2005] B.C.J. No. 363</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2005 BCCA 104</w:t>
        </w:r>
      </w:hyperlink>
      <w:r>
        <w:rPr>
          <w:rFonts w:ascii="arial" w:eastAsia="arial" w:hAnsi="arial" w:cs="arial"/>
          <w:color w:val="000000"/>
          <w:sz w:val="20"/>
          <w:lang w:val="en-US" w:eastAsia="en-US" w:bidi="ar-SA"/>
        </w:rPr>
        <w:t>. In that case, a woman was killed when her car was struck by a stolen car driven by a 14-year old. The stolen car was being pursued by a member of the R.C.M.P. when the accident occurred. The woman's family brought an action for compensation under the FCA. Following a summary trial on liability, the 14-year old driver was found 90% at fault and the R.C.M.P. officer 10%. The Attorney General of British Columbia (the "AGBC") paid the family 10% of the damages. The driver did not have a driver's licence and was not insured. The family applied for UMP benefits with respect to the remaining 90%, but was refused coverage. A chambers judge ruled that the AGBC was jointly and severally liable with the driver but also ruled that I.C.B.C. must indemnify the AGBC for a portion of the damages. Both rulings were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Court of Appeal upheld the ruling that the AGBC was jointly and severally liable, but concluded that I.C.B.C. was not required to indemnify the AGBC. That conclusion was based on the Court's reading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However, the Court went on to consider s. 148.1 of the Regulations because it was addressed in detail in the reasons of the chambers judge. Writing for the Court, Levine J.A. made the following comments at paras. 32 to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terms of mandatory UMP coverage are set out in ss. 148.1 to 148.7 of the Regulations.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There was no dispute that each member of the family was a "claimant" as defined in s. 20(1) of the Act and an "insured" as defined in s. 148.1 of the Regulations</w:t>
      </w:r>
      <w:r>
        <w:rPr>
          <w:rFonts w:ascii="arial" w:eastAsia="arial" w:hAnsi="arial" w:cs="arial"/>
          <w:color w:val="000000"/>
          <w:sz w:val="20"/>
          <w:lang w:val="en-US" w:eastAsia="en-US" w:bidi="ar-SA"/>
        </w:rPr>
        <w:t>. Nor is there any dispute that the AGBC is neither a "claimant" nor an "insured" and has no claim to compensation under either of the provisions.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do not find it necessary to expand on the interpretation of either of these provisions as they apply to the family</w:t>
      </w:r>
      <w:r>
        <w:rPr>
          <w:rFonts w:ascii="arial" w:eastAsia="arial" w:hAnsi="arial" w:cs="arial"/>
          <w:color w:val="000000"/>
          <w:sz w:val="20"/>
          <w:lang w:val="en-US" w:eastAsia="en-US" w:bidi="ar-SA"/>
        </w:rPr>
        <w:t>. The issue is whether the AGBC can maintain any claim under either of them. It is patently obvious that he cannot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is apparent from the above comments of the Court, the issue of whether each member of the deceased's family was an "insured" under the Regulations was not a matter the Court was required to determine. Nor does the decision deal with s. 148.1(2), the grant of coverage provision, and its relationship with the FCA and the definition of "insured" under the Regulations. The only issue before the Court was whether the AGBC could claim UMP coverage under the Regulations. Ultimately, the Court concluded that the AGBC was not entitled to the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there are no decisions of the Court directly on point, I was referred by the plaintiffs to an arbitration award concerning s. 148.1 of the Regulations, Koski et al. v. I.C.B.C. The award was rendered by G.R. Schmitt Q.C. pursuant to the jurisdiction granted an arbitrator under s. 148.2. It concerned issues of UMP coverage arising from a car accident in which the insured mother, who was the driver of the car, died. The insured's daughter, a passenger in the car, suffered catastrophic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main issue the arbitrator was required to determine in Koski was the extent of the coverage available to the daughter, who was an "insured" as an occupant of the vehicle and, in addition, an "insured" because she lost her mother in the accident. I.C.B.C. argued that the daughter was entitled to UMP coverage for her injuries and the loss of her mother, but only under her own $1 million coverage. Counsel for the daughter argued that she was entitled to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arbitrator was also asked to determine who, in addition to the daughter, was covered by the mother's insurance, and the limits of that coverage. The deceased was survived not only by her daughter, but her mother and common law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arbitrator referred to the wording of s. 148.1(5), the section concerning limits of coverage, and stated the following at pp.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definition of "occurrence" found in Section 1 of the Regulations is "a single happening or a series of happenings arising from a single event," which in this case would be the deaths and injuries resulting from the accident .... The applicable amount set out in Section 13 of Schedule 3 is "$1 million per insured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ICBC argues that a "clear reading of Section 148.1(5) tells us that the total upper limit of UMP coverage available to any insured person is one million dollars".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there were two persons insured as occupants of the car, Coti and the Mother, and in addition two others were insured, viz Sylvia Koski, the Mother's mother and also Jeffrey Holloway if he has a claim under the Family Compensation Act. It therefore appears there are four insureds, so the total under Section 13 of Schedule 3 is $4,000,000, but the limit is $1,000,000 per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arbitrator then applied the provisions of s. 148.1(2) (the grant of coverage provision) to each of the insured persons. As a result, he concluded that the daughter was entitled to a limit of $1,000,000 in UMP coverage. He also concluded that the deceased's mother and common law spouse (in the event each was in fact entitled to seek compensation under the FCA) were entitled to coverage up to $1,000,000 each, as was the estate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decision of the arbitrator in Koski concerning the central issue of the coverage available to the infant daughter is not applicable to the present case. However, his decision with respect to the coverage available to the deceased's beneficiaries is on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mindful that the arbitrator in Koski has a wealth of experience in insurance matters and has dealt extensively with issues arising under the Regulations. Having said that, it does not appear that he was asked to consider the relationship between the grant of coverage provision, s. 148.1(2), and the definition of "insured" in s. 148.1. Nor, it appears, was he asked to consider the nature and extent of the FCA claim available to surviving dependants of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narrow issue in the present case is whether each of the plaintiffs, as a beneficiary of the deceased Lougheed, is an "insured" under the definition in the Regulations. If so, the grant of coverage provision (s. 148.1(2)) ought to apply to each of them, and each is entitled to up to $1 million in UMP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the UMP coverage provisions are not without ambiguity as they relate to the limits of coverage available to insured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must construe the legislation as being remedial, and give it "such fair, large and liberal construction and interpretation as best ensures the attainment of its objects" (Interpretation Act, </w:t>
      </w:r>
      <w:hyperlink r:id="rId361" w:history="1">
        <w:r>
          <w:rPr>
            <w:rFonts w:ascii="arial" w:eastAsia="arial" w:hAnsi="arial" w:cs="arial"/>
            <w:i/>
            <w:color w:val="0077CC"/>
            <w:sz w:val="20"/>
            <w:u w:val="single"/>
            <w:shd w:val="clear" w:color="auto" w:fill="FFFFFF"/>
            <w:lang w:val="en-US" w:eastAsia="en-US" w:bidi="ar-SA"/>
          </w:rPr>
          <w:t>R.S.B.C. 1996, c. 238, s. 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purposive approach to statutory interpretation is summarized in Sullivan and Driedger on the Construction of Statutes, 4th Ed., as follows at pp. 195-196: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Propositions underlying purposive analysis. A purposive analysis of legislative texts is based on the following propositions:</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legislation is presumed to have a purpose. It is possible for courts to discover or adequately reconstruct this purpose through interpretation.</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Legislative purpose should be taken into account in every case and at every stage of interpretation, including the determination of a text's meaning.</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 far as the language of the text permits, interpretations that are consistent with or promote legislative purpose should be adopted, while interpretations that defeat or undermine legislative purpose should be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approach to statutory interpretation does not necessarily make purpose the most important consideration in interpreting legislation. It merely ensures that purpose - both the purpose of the Act as a whole and the purpose of the particular provision to be interpreted - are identified and taken into account in every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manifest purpose of UMP coverage under the Regulations is to "protect an innocent' claimant who is not able to receive compensation from liable tortfeasors" (McVea, supra, at para. 38). Unfortunately, consideration of that purpose does not assist a great deal with respect to the interpretation of "insured" as it is used in s. 148.1(1) and s. 148.1(2).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view, the analysis must begin with s. 148.1(2), the grant of coverage clause, which describes the scope of UMP coverage granted to any insured person. For purposes of the present case, the relevant portions of s. 148.1(2)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w:t>
      </w:r>
      <w:r>
        <w:rPr>
          <w:rFonts w:ascii="arial" w:eastAsia="arial" w:hAnsi="arial" w:cs="arial"/>
          <w:i/>
          <w:color w:val="000000"/>
          <w:sz w:val="20"/>
          <w:lang w:val="en-US" w:eastAsia="en-US" w:bidi="ar-SA"/>
        </w:rPr>
        <w:t>death or injury</w:t>
      </w:r>
      <w:r>
        <w:rPr>
          <w:rFonts w:ascii="arial" w:eastAsia="arial" w:hAnsi="arial" w:cs="arial"/>
          <w:color w:val="000000"/>
          <w:sz w:val="20"/>
          <w:lang w:val="en-US" w:eastAsia="en-US" w:bidi="ar-SA"/>
        </w:rPr>
        <w:t xml:space="preserve"> of an insured is caused by an accident that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arises out of the use or operation of a vehicle by an underinsured motorist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corporation shall, subject to subsections (1), (5) and (6) and section 148.4, </w:t>
      </w:r>
      <w:r>
        <w:rPr>
          <w:rFonts w:ascii="arial" w:eastAsia="arial" w:hAnsi="arial" w:cs="arial"/>
          <w:i/>
          <w:color w:val="000000"/>
          <w:sz w:val="20"/>
          <w:lang w:val="en-US" w:eastAsia="en-US" w:bidi="ar-SA"/>
        </w:rPr>
        <w:t>compensate the insured, or a person who has a claim in respect of the death of the insured, for any amount he is entitled to recover</w:t>
      </w:r>
      <w:r>
        <w:rPr>
          <w:rFonts w:ascii="arial" w:eastAsia="arial" w:hAnsi="arial" w:cs="arial"/>
          <w:color w:val="000000"/>
          <w:sz w:val="20"/>
          <w:lang w:val="en-US" w:eastAsia="en-US" w:bidi="ar-SA"/>
        </w:rPr>
        <w:t xml:space="preserve"> from the underinsured motorist as damages for the injury or 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entitlement to UMP coverage is triggered by the death of, or injury to, the insured person. In other words, the triggering event is the death or injury of the individual who has been granted the coverage under the Regulations. At the moment of the accident which gave rise to UMP coverage in this case, the insured person was Mr. Lougheed. He was entitled to $1 million in UMP coverage. On the plain grammatical meaning of the section, either the insured (that is, Lougheed) is entitled to his UMP coverage, or a person who "has a claim in respect of the death of the insured" is entitled to that coverage. The coverage, however, is that to which the insured - Lougheed - is (or was) entitled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One must then have regard to s. 148.1(5) of the Regulations, which provides:</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liability of the corporation ... for payment under an </w:t>
      </w:r>
      <w:r>
        <w:rPr>
          <w:rFonts w:ascii="arial" w:eastAsia="arial" w:hAnsi="arial" w:cs="arial"/>
          <w:i/>
          <w:color w:val="000000"/>
          <w:sz w:val="20"/>
          <w:lang w:val="en-US" w:eastAsia="en-US" w:bidi="ar-SA"/>
        </w:rPr>
        <w:t>owner's certificate or driver's certificate of all claims arising out of the same occurrence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not exceed</w:t>
      </w:r>
    </w:p>
    <w:p>
      <w:pPr>
        <w:numPr>
          <w:numId w:val="2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amount of damages awarded in respect of the accident to all persons insured under that owner's certificate or driver's certificate,</w:t>
      </w:r>
    </w:p>
    <w:p>
      <w:pPr>
        <w:numPr>
          <w:numId w:val="2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determined under section 148.2(1), or</w:t>
      </w:r>
    </w:p>
    <w:p>
      <w:pPr>
        <w:numPr>
          <w:numId w:val="2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applicable amount set out in section 13 of Schedule 3</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whichever is least, minus the sum of the applicable deductible amounts.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It is common ground that the plaintiffs fall only within s-s. (f), such that the coverage is the "applicable amount set out in section 13 of Schedule 3". That amount is $1 million </w:t>
      </w:r>
      <w:r>
        <w:rPr>
          <w:rFonts w:ascii="arial" w:eastAsia="arial" w:hAnsi="arial" w:cs="arial"/>
          <w:i/>
          <w:color w:val="000000"/>
          <w:sz w:val="20"/>
          <w:lang w:val="en-US" w:eastAsia="en-US" w:bidi="ar-SA"/>
        </w:rPr>
        <w:t>per insured person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definition of "insured" under s. 148.1(1) includes Mr. Lougheed by operation of sub-paragraph (a) (as he was an occupant of the motor vehicle involved in the accident). However, as noted earlier, the definition of "insured" also includes:</w:t>
      </w:r>
      <w:r>
        <w:rPr>
          <w:rFonts w:ascii="arial" w:eastAsia="arial" w:hAnsi="arial" w:cs="arial"/>
          <w:sz w:val="20"/>
          <w:lang w:val="en-US" w:eastAsia="en-US" w:bidi="ar-SA"/>
        </w:rPr>
        <w:cr/>
      </w:r>
    </w:p>
    <w:p>
      <w:pPr>
        <w:numPr>
          <w:numId w:val="27"/>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in the jurisdiction in which the accident occurred, is entitled to maintain an action against the underinsured motorist for damages because of the death of a person described in paragraph (a)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Central to the plaintiffs' argument is that each plaintiff is an "insured" under the definition because each is "entitled to maintain an action" under the FCA. That being the case, say the plaintiffs, each of them is entitled to the $1 million limit provided by section 13 of Schedule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question is whether each plaintiff is an "insured" as defined in s. 148.1(1)(c). As I have already noted, that question cannot be answered without examining the grant of coverage provision. Nor, in my view, can it be answered without examining the nature of the right accruing to "a person" in s. 148.1(1)(c) to maintain an action as a result of the death of an "insured" as defined in s. 148.1(a).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"action" referred to in s. 148.1(1)(c), at least as it applies to the plaintiffs in the present case, is an action under the FCA. It is clear that each of the plaintiffs is entitled to </w:t>
      </w:r>
      <w:r>
        <w:rPr>
          <w:rFonts w:ascii="arial" w:eastAsia="arial" w:hAnsi="arial" w:cs="arial"/>
          <w:i/>
          <w:color w:val="000000"/>
          <w:sz w:val="20"/>
          <w:lang w:val="en-US" w:eastAsia="en-US" w:bidi="ar-SA"/>
        </w:rPr>
        <w:t>seek compensation</w:t>
      </w:r>
      <w:r>
        <w:rPr>
          <w:rFonts w:ascii="arial" w:eastAsia="arial" w:hAnsi="arial" w:cs="arial"/>
          <w:color w:val="000000"/>
          <w:sz w:val="20"/>
          <w:lang w:val="en-US" w:eastAsia="en-US" w:bidi="ar-SA"/>
        </w:rPr>
        <w:t xml:space="preserve"> under the FCA. In my view, however, it is less clear that each of the plaintiffs is a person entitled to "</w:t>
      </w:r>
      <w:r>
        <w:rPr>
          <w:rFonts w:ascii="arial" w:eastAsia="arial" w:hAnsi="arial" w:cs="arial"/>
          <w:i/>
          <w:color w:val="000000"/>
          <w:sz w:val="20"/>
          <w:lang w:val="en-US" w:eastAsia="en-US" w:bidi="ar-SA"/>
        </w:rPr>
        <w:t>maintain an action</w:t>
      </w:r>
      <w:r>
        <w:rPr>
          <w:rFonts w:ascii="arial" w:eastAsia="arial" w:hAnsi="arial" w:cs="arial"/>
          <w:color w:val="000000"/>
          <w:sz w:val="20"/>
          <w:lang w:val="en-US" w:eastAsia="en-US" w:bidi="ar-SA"/>
        </w:rPr>
        <w:t>" (as stipulated in s. 148.1(1)(c)).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purposes of this issue, s. 2 of the FCA is relevant. It provides,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for death by wrongful act, neglect or default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If the death of a person is caused by wrongful act, neglect or default, and the act, neglect or default is such as would, if death had not resulted, have entitled the party injured to maintain an action and recover damages for it, any person ... [who] would have been liable if death had not resulted is liable in an action for damages, despite the death of the person injured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Section 2 ensures that the cause of action of a claimant, whose death is the result of the wrongful act of another, survives the claimant's death. The wrongdoer remains liable in an action for damages despite the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Section 3 of the FCA then describes the manner in which such an action for damages must be brought, and provides,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Procedures for bringing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action must be for the benefit of the spouse, parent or child of the person whose death has been caused, and must be brought by and in the name </w:t>
      </w:r>
      <w:r>
        <w:rPr>
          <w:rFonts w:ascii="arial" w:eastAsia="arial" w:hAnsi="arial" w:cs="arial"/>
          <w:i/>
          <w:color w:val="000000"/>
          <w:sz w:val="20"/>
          <w:lang w:val="en-US" w:eastAsia="en-US" w:bidi="ar-SA"/>
        </w:rPr>
        <w:t>of the personal representative of the deceased</w:t>
      </w:r>
      <w:r>
        <w:rPr>
          <w:rFonts w:ascii="arial" w:eastAsia="arial" w:hAnsi="arial" w:cs="arial"/>
          <w:color w:val="000000"/>
          <w:sz w:val="20"/>
          <w:lang w:val="en-US" w:eastAsia="en-US" w:bidi="ar-SA"/>
        </w:rPr>
        <w:t>.</w:t>
      </w:r>
    </w:p>
    <w:p>
      <w:pPr>
        <w:numPr>
          <w:numId w:val="2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 jury may give damages proportioned to the injury resulting from the death to the parties respectively for whose benefit the action has been brought.</w:t>
      </w:r>
    </w:p>
    <w:p>
      <w:pPr>
        <w:numPr>
          <w:numId w:val="2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recovered ... must be divided among the parties in shares as the court or jury by their judgment or verdict directs.</w:t>
      </w:r>
    </w:p>
    <w:p>
      <w:pPr>
        <w:numPr>
          <w:numId w:val="2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no personal representative of the deceased, or, there is a personal representative but no action has been brought within 6 months after the death of the deceased person by the personal representative, </w:t>
      </w:r>
      <w:r>
        <w:rPr>
          <w:rFonts w:ascii="arial" w:eastAsia="arial" w:hAnsi="arial" w:cs="arial"/>
          <w:i/>
          <w:color w:val="000000"/>
          <w:sz w:val="20"/>
          <w:lang w:val="en-US" w:eastAsia="en-US" w:bidi="ar-SA"/>
        </w:rPr>
        <w:t>the action may be brought by and in the name or names of all or any of the persons for whose benefit the action would have been if it had been brought by the personal representative</w:t>
      </w:r>
      <w:r>
        <w:rPr>
          <w:rFonts w:ascii="arial" w:eastAsia="arial" w:hAnsi="arial" w:cs="arial"/>
          <w:color w:val="000000"/>
          <w:sz w:val="20"/>
          <w:lang w:val="en-US" w:eastAsia="en-US" w:bidi="ar-SA"/>
        </w:rPr>
        <w:t>.</w:t>
      </w:r>
    </w:p>
    <w:p>
      <w:pPr>
        <w:numPr>
          <w:numId w:val="2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action brought must be for the benefit of the same person or persons </w:t>
      </w:r>
      <w:r>
        <w:rPr>
          <w:rFonts w:ascii="arial" w:eastAsia="arial" w:hAnsi="arial" w:cs="arial"/>
          <w:i/>
          <w:color w:val="000000"/>
          <w:sz w:val="20"/>
          <w:lang w:val="en-US" w:eastAsia="en-US" w:bidi="ar-SA"/>
        </w:rPr>
        <w:t>as if it were brought in the name of the personal representative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By operation of s. 3, only one cause of action arises from the wrongful death. The person entitled to bring the action is the personal representative of the deceased. Where the action is not brought by the personal representative, family members may bring it, but it is for the benefit of family members "as if ... brought in the name of the personal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Skelding (Guardian ad litem of) v. Skelding </w:t>
      </w:r>
      <w:hyperlink r:id="rId362" w:history="1">
        <w:r>
          <w:rPr>
            <w:rFonts w:ascii="arial" w:eastAsia="arial" w:hAnsi="arial" w:cs="arial"/>
            <w:i/>
            <w:color w:val="0077CC"/>
            <w:sz w:val="20"/>
            <w:u w:val="single"/>
            <w:shd w:val="clear" w:color="auto" w:fill="FFFFFF"/>
            <w:lang w:val="en-US" w:eastAsia="en-US" w:bidi="ar-SA"/>
          </w:rPr>
          <w:t>(1994), 95 B.C.L.R. (2d) 201</w:t>
        </w:r>
      </w:hyperlink>
      <w:r>
        <w:rPr>
          <w:rFonts w:ascii="arial" w:eastAsia="arial" w:hAnsi="arial" w:cs="arial"/>
          <w:color w:val="000000"/>
          <w:sz w:val="20"/>
          <w:lang w:val="en-US" w:eastAsia="en-US" w:bidi="ar-SA"/>
        </w:rPr>
        <w:t xml:space="preserve"> (C.A.), leave to appeal to S.C.C. refused, </w:t>
      </w:r>
      <w:hyperlink r:id="rId363" w:history="1">
        <w:r>
          <w:rPr>
            <w:rFonts w:ascii="arial" w:eastAsia="arial" w:hAnsi="arial" w:cs="arial"/>
            <w:i/>
            <w:color w:val="0077CC"/>
            <w:sz w:val="20"/>
            <w:u w:val="single"/>
            <w:shd w:val="clear" w:color="auto" w:fill="FFFFFF"/>
            <w:lang w:val="en-US" w:eastAsia="en-US" w:bidi="ar-SA"/>
          </w:rPr>
          <w:t>[1994] S.C.C.A. No. 463</w:t>
        </w:r>
      </w:hyperlink>
      <w:r>
        <w:rPr>
          <w:rFonts w:ascii="arial" w:eastAsia="arial" w:hAnsi="arial" w:cs="arial"/>
          <w:color w:val="000000"/>
          <w:sz w:val="20"/>
          <w:lang w:val="en-US" w:eastAsia="en-US" w:bidi="ar-SA"/>
        </w:rPr>
        <w:t>, the Court of Appeal addressed the issue of whether the proper measure of damages in fatal accident claims is the same as in tort claims. Mr. Justice Gibbs, writing for the majority, answered the question in the affirmative. In the course of doing so, Gibbs J.A. stated the following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matter of analogy, as a matter of precedent, and in terms of the cause of action there does not appear to be any justification for distinguishing between motor vehicle claims where the putative claimant is dead and those where the claimant has survived. </w:t>
      </w:r>
      <w:r>
        <w:rPr>
          <w:rFonts w:ascii="arial" w:eastAsia="arial" w:hAnsi="arial" w:cs="arial"/>
          <w:i/>
          <w:color w:val="000000"/>
          <w:sz w:val="20"/>
          <w:lang w:val="en-US" w:eastAsia="en-US" w:bidi="ar-SA"/>
        </w:rPr>
        <w:t>In each case it is the claimant's cause of action which is being pursued</w:t>
      </w:r>
      <w:r>
        <w:rPr>
          <w:rFonts w:ascii="arial" w:eastAsia="arial" w:hAnsi="arial" w:cs="arial"/>
          <w:color w:val="000000"/>
          <w:sz w:val="20"/>
          <w:lang w:val="en-US" w:eastAsia="en-US" w:bidi="ar-SA"/>
        </w:rPr>
        <w:t>, in the latter case by the claimant directly and in the former indirectly by the statutory vesting in the survivors of what would have been the claimant's cause of action if there had been no fatality.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While not directed to s. 148.1(2) of the Regulations - the grant of coverage provision - the comments of Gibbs J.A. could apply equally to that provision. For ease of reference, I will again reproduce the relevant parts of s. 148.1(2):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Where death or injury of an insured is caused by an accident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shall ... compensate the insured, or a person who has a claim in respect of the death of the insured, for any amount he is entitled to recover from the underinsured motorist as damages for the injury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noted earlier, the grant of coverage appears to be designed to indemnify the injured insured, or, should the death of the insured ensue, the person who has a cause of action arising from his or her death. Whether the insured suffers injury or death, the amount of coverage is the same as is apparent from the section's closing words "for any amount he is entitled to recover ... as damages for the injury or death" [emphasis mine]. "He" must refer to the injured or deceased insured. The section appears to statutorily vest in the personal representative of the survivors, or the representative plaintiff, the cause of action that would have accrued to the insured but for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issue, then, is how one ought to read the definition of "insured" in s. 148.1(1)(c), bearing in mind the scope of coverage granted by s. 148.1(2). But for his death, Mr. Lougheed would have received UMP coverage by operation of s. 148.1(1)(a). As a result of his death, the "insured" is "a person who ... is entitled to maintain an action" because of Mr. Lougheed's death. The "action" refers to the family compensation claim that may be commenced under the FCA by the personal representative on behalf of all of the beneficiaries, or by the beneficiaries if it is not commenced by the personal representative. In either case, however, the action must be treated as though it had been brought by the personal representative. It is a single cause of action brought on behalf of all of Mr. Lougheed's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follows, in my view, that the "insured" in s. 148.1(1)(c) must be the personal representative, who is the individual entitled, either directly or indirectly, to maintain a family compensation action as a result of the death of the primary insured, Mr. Lougheed. That interpretation is consistent with the grant of coverage provision, which limits the recovery of benefits to those otherwise accruing to the deceased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result, the UMP coverage limit is not $1 million for each beneficiary of a family compensation action, but $1 million for the beneficiaries of the action as a whole. The plaintiffs, all beneficiaries, are entitled collectively to the $1 million of UMP coverage that would otherwise have been available to the deceased, Mr. Lougheed.</w:t>
      </w:r>
      <w:r>
        <w:rPr>
          <w:rFonts w:ascii="arial" w:eastAsia="arial" w:hAnsi="arial" w:cs="arial"/>
          <w:sz w:val="20"/>
          <w:lang w:val="en-US" w:eastAsia="en-US" w:bidi="ar-SA"/>
        </w:rPr>
        <w:cr/>
      </w:r>
    </w:p>
    <w:p>
      <w:pPr>
        <w:numPr>
          <w:numId w:val="2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summary, my conclusions are as follows: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three plaintiffs is entitled to coverage under the SEF 44 Family Protection Endorsement in the policies of each of the three defendant insurers.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Co-Operators policy is primary, and the policies of Citadel and Liberty are excess.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 of coverage is $1 million. That is the global amount available to satisfy the claims of the three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402pt;height:534.75pt">
            <v:imagedata r:id="rId364" o:title=""/>
          </v:shape>
        </w:pict>
      </w:r>
      <w:r>
        <w:rPr>
          <w:rFonts w:ascii="arial" w:eastAsia="arial" w:hAnsi="arial" w:cs="arial"/>
          <w:sz w:val="20"/>
          <w:lang w:val="en-US" w:eastAsia="en-US" w:bidi="ar-SA"/>
        </w:rPr>
        <w:t xml:space="preserve">  </w:t>
      </w:r>
      <w:r>
        <w:pict>
          <v:shape id="_x0000_i1140" type="#_x0000_t75" style="width:414pt;height:575.25pt">
            <v:imagedata r:id="rId365" o:title=""/>
          </v:shape>
        </w:pict>
      </w:r>
      <w:r>
        <w:pict>
          <v:shape id="_x0000_i1141" type="#_x0000_t75" style="width:418.5pt;height:581.25pt">
            <v:imagedata r:id="rId366" o:title=""/>
          </v:shape>
        </w:pict>
      </w:r>
      <w:r>
        <w:pict>
          <v:shape id="_x0000_i1142" type="#_x0000_t75" style="width:410.25pt;height:519pt">
            <v:imagedata r:id="rId367"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Miller v. Darwel, [2005] B.C.J. No. 1175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Bernard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22,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24, 2005.</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S89883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1175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759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140 A.C.W.S. (3d) 474</w:t>
      </w:r>
    </w:p>
    <w:p>
      <w:pPr>
        <w:spacing w:before="120" w:line="260" w:lineRule="atLeast"/>
        <w:rPr>
          <w:lang w:val="en-US" w:eastAsia="en-US" w:bidi="ar-SA"/>
        </w:rPr>
      </w:pPr>
      <w:r>
        <w:rPr>
          <w:rFonts w:ascii="arial" w:eastAsia="arial" w:hAnsi="arial" w:cs="arial"/>
          <w:color w:val="000000"/>
          <w:sz w:val="20"/>
          <w:lang w:val="en-US" w:eastAsia="en-US" w:bidi="ar-SA"/>
        </w:rPr>
        <w:t>Between Rachel Hall Miller, plaintiff, and Joanne Darwel,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4"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4" w:name="Keywords_22"/>
      <w:bookmarkEnd w:id="154"/>
      <w:r>
        <w:rPr>
          <w:rFonts w:ascii="arial" w:eastAsia="arial" w:hAnsi="arial" w:cs="arial"/>
          <w:b/>
          <w:color w:val="000000"/>
          <w:sz w:val="20"/>
          <w:lang w:val="en-US" w:eastAsia="en-US" w:bidi="ar-SA"/>
        </w:rPr>
        <w:t xml:space="preserve">Civil procedure — Appeals — Grounds for review — Standard of review — Damages — Physical injuries — Body injuries — Back — Neck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Causation — Causal connection — Evidence and proof.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5" w:name="Case Summary_19"/>
            <w:bookmarkEnd w:id="15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Miller from a judgment that dismissed her damages action that resulted from a motor vehicle accident. Liability was admitted by the defendant Darwel. The accident was a low-impact collision. Darwel's car struck Miller's vehicle from behind. The day after the accident Miller complained of neck and back discomfort to her physician. There was scant evidence regarding causation because Miller had a pre-accident history of neck and back pain that was caused by a 1994 motor vehicle accident. Miller attempted to prove causation from a standard form document completed by her physician. It bore little resemblance to an expert report. The trial judge found there was no evidence of causation. Miller claimed that the judge erred in considering the force of the impact of the collision on the issue of liability. </w:t>
            </w:r>
            <w:r>
              <w:rPr>
                <w:lang w:val="en-US" w:eastAsia="en-US" w:bidi="ar-SA"/>
              </w:rPr>
              <w:cr/>
            </w:r>
          </w:p>
          <w:p>
            <w:pPr>
              <w:spacing w:before="120" w:line="260" w:lineRule="atLeast"/>
              <w:ind w:left="240"/>
              <w:jc w:val="both"/>
              <w:rPr>
                <w:lang w:val="en-US" w:eastAsia="en-US" w:bidi="ar-SA"/>
              </w:rPr>
            </w:pPr>
            <w:bookmarkStart w:id="156" w:name="Holdings of Court_18"/>
            <w:bookmarkEnd w:id="156"/>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impact of the collision was very minor. It was within the bounds of reason that this raised a question of causation, especially since Miller had a similar pre-existing complaint. The judge's reasons showed that Miller failed to prove that the accident caused her injuries. He was not wrong and did not make any overriding or palpable errors that would warrant appellate intervention. </w:t>
            </w:r>
            <w:r>
              <w:rPr>
                <w:lang w:val="en-US" w:eastAsia="en-US" w:bidi="ar-SA"/>
              </w:rPr>
              <w:cr/>
            </w:r>
          </w:p>
          <w:p>
            <w:pPr>
              <w:rPr>
                <w:lang w:val="en-US" w:eastAsia="en-US" w:bidi="ar-SA"/>
              </w:rPr>
            </w:pPr>
          </w:p>
        </w:tc>
      </w:tr>
    </w:tbl>
    <w:p>
      <w:pPr>
        <w:jc w:val="both"/>
        <w:rPr>
          <w:lang w:val="en-US" w:eastAsia="en-US" w:bidi="ar-SA"/>
        </w:rPr>
      </w:pPr>
      <w:bookmarkStart w:id="157" w:name="Counsel_23"/>
      <w:bookmarkEnd w:id="15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5"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T.N. Grier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G.G. Gibb</w:t>
      </w:r>
      <w:r>
        <w:rPr>
          <w:lang w:val="en-US" w:eastAsia="en-US" w:bidi="ar-SA"/>
        </w:rPr>
        <w:cr/>
      </w:r>
    </w:p>
    <w:p>
      <w:pPr>
        <w:spacing w:after="240"/>
        <w:rPr>
          <w:lang w:val="en-US" w:eastAsia="en-US" w:bidi="ar-SA"/>
        </w:rPr>
      </w:pPr>
      <w:bookmarkStart w:id="158" w:name="Judgment_23"/>
      <w:bookmarkEnd w:id="158"/>
      <w:r>
        <w:pict>
          <v:line id="_x0000_s1146" style="position:absolute;z-index:25178521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9" w:name="BERNARD J."/>
            <w:bookmarkEnd w:id="159"/>
            <w:r>
              <w:rPr>
                <w:rFonts w:ascii="arial" w:eastAsia="arial" w:hAnsi="arial" w:cs="arial"/>
                <w:b/>
                <w:color w:val="000000"/>
                <w:sz w:val="30"/>
                <w:lang w:val="en-US" w:eastAsia="en-US" w:bidi="ar-SA"/>
              </w:rPr>
              <w:t>BERNARD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brief reasons the learned trial judge dismissed Ms. Miller's claim for damages allegedly arising from a motor vehicle accident. Ms. Miller now appeals that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issue at the trial were causation and quantum. Liability was admitted.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in question was a low-impact collision. The unchallenged evidence at trial was that Ms. Darwel's vehicle struck Ms. Miller's vehicle from behind while both vehicles were stopped at an intersection. Ms. Darwel briefly lifted her foot from the brake pedal while reaching for something in the rear seat area. Her vehicle moved forward and her bumper made contact with the bumper of Ms. Miller's vehicle. There was no damage caused to the Darwel vehicle; the Miller vehicle sustained some damage described as "cosmetic" and costing $1,065.54 to repair. (The evidence was that, in spite of minor damage to the bumper, replacement was necessary because it was comprised of brittle irreparable plastic.) There were no apparent injuries to the occupants of the vehicles but, the next day, Ms. Miller complained of neck and back discomfort to her physician.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relation to damages, there was considerable evidence of the post-accident pain and suffering of Ms. Miller and the treatments she received in relation to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relation to causation, there was a dearth of evidence. The issue was controversial due to evidence of Ms. Miller's pre-accident history of neck and back pain (apparently caused by an earlier motor vehicle accident in 1994), subsisting chronic back pain, and the minor nature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To prove causation, the claimant relied upon evidence of her complaints shortly after the accident, and a document prepared by her physician which was tendered as an expert report. The latter was problematic in that it bore little resemblance to an expert report; rather, it was in a "standard form" on which the physician had filled in the blanks. It included an iteration of Ms. Miller's symptoms and a diagnosis. It was silent in relation to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his reasons for judgment, the learned trial judge said, inter alia: "Here, this case is marked more by what I do not know than anything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context of this remark reveals that the trial judge was referring, primarily, to the lack of evidence in relation to causation; in particular the absence of evidence in relation to the force of the impact from the claimant's perspective.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appeal, the claimant argues that the trial judge erred in considering the force of the impact of the collision on the issue of liability. In support of this position the claimant relies upon the case of Gordon v. Palmer </w:t>
      </w:r>
      <w:hyperlink r:id="rId375"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(B.C.S.C.) in which Thackray J. (as he then was) said at para. 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This is a philosophy that the Insurance Corporation of British Columbia may follow, but it has not application in court. It is not a legal principle of which I am aware and I have never heard it endorsed as a medical principle.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other judges who have considered this passage have already said, these words should not be taken to mean that the extent of damage in a collision is irrelevant to causation. It is some evidence of impact, which is not logically unrelated to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agree with Taylor J. in Yeh v. Ford Credit Canada Ltd., </w:t>
      </w:r>
      <w:hyperlink r:id="rId376" w:history="1">
        <w:r>
          <w:rPr>
            <w:rFonts w:ascii="arial" w:eastAsia="arial" w:hAnsi="arial" w:cs="arial"/>
            <w:i/>
            <w:color w:val="0077CC"/>
            <w:sz w:val="20"/>
            <w:u w:val="single"/>
            <w:shd w:val="clear" w:color="auto" w:fill="FFFFFF"/>
            <w:lang w:val="en-US" w:eastAsia="en-US" w:bidi="ar-SA"/>
          </w:rPr>
          <w:t>[1996] B.C.J. No. 1400</w:t>
        </w:r>
      </w:hyperlink>
      <w:r>
        <w:rPr>
          <w:rFonts w:ascii="arial" w:eastAsia="arial" w:hAnsi="arial" w:cs="arial"/>
          <w:color w:val="000000"/>
          <w:sz w:val="20"/>
          <w:lang w:val="en-US" w:eastAsia="en-US" w:bidi="ar-SA"/>
        </w:rPr>
        <w:t xml:space="preserve"> (B.C.S.C.), when he said at para. 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Such evidence is therefore relevant with respect to what injuries resulted from the impact and to the issue of the credibility of the plaintiff who asserts such injuries, by reason of the fact that such injuries often do not have objective symptoms. Such evidence may, depending upon the extent of the property damage, either contradict or corroborate evidence of personal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And at para. 39: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While common sense dictates close scrutiny of injuries arises out of otherwise apparently inconsequential impacts between motor vehicles; likewise, common sense does not foreclose the causation of injury from such impacts.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instant case, the impact of the collision was very minor. While this does not preclude a finding that it caused injury, it is well within the bounds of reason that it raised a question of causation; this is particularly so when the claimant has a similar pre-existing complaint. It follows that, if causation is not admitted, then the trial judge must making a finding in this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evident from his Reasons that the learned trial judge was not satisfied that Ms. Miller had proved that the collision caused the discomfort of which she complained. The onus fell to her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well-settled test on appeal is whether the trial judge was "clearly wrong." Substituting the opinion of this court in the absence of overriding or palpable error is not permitted.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carefully considered the transcript of evidence, the Reasons for Judgment, the able submissions of counsel, and the cases submitted by each in support thereof. Having done so, I am unable to conclude that the learned trial judge, in dismissing the claimant's case, made reversible error.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the learned trial judge's reasons are brief I am satisfied that, when read as a whole, they show that he found that the claimant had failed to prove, on the civil standard, that the accident in question caused the alleged injuries. Causation was an issue at trial, and the trial judge's finding on this issue is supported by the evidence or, in this case, a lack thereof. No error is disclosed.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While the brief reasons may not patently disclose that there was a careful and reasoned analysis of the issues, I adopt the words of Cole J., in Sears Canada Inc. v. Bartram, </w:t>
      </w:r>
      <w:hyperlink r:id="rId377" w:history="1">
        <w:r>
          <w:rPr>
            <w:rFonts w:ascii="arial" w:eastAsia="arial" w:hAnsi="arial" w:cs="arial"/>
            <w:i/>
            <w:color w:val="0077CC"/>
            <w:sz w:val="20"/>
            <w:u w:val="single"/>
            <w:shd w:val="clear" w:color="auto" w:fill="FFFFFF"/>
            <w:lang w:val="en-US" w:eastAsia="en-US" w:bidi="ar-SA"/>
          </w:rPr>
          <w:t>[2004] B.C.J. No. 751</w:t>
        </w:r>
      </w:hyperlink>
      <w:r>
        <w:rPr>
          <w:rFonts w:ascii="arial" w:eastAsia="arial" w:hAnsi="arial" w:cs="arial"/>
          <w:color w:val="000000"/>
          <w:sz w:val="20"/>
          <w:lang w:val="en-US" w:eastAsia="en-US" w:bidi="ar-SA"/>
        </w:rPr>
        <w:t xml:space="preserve"> (S.C.B.C.) in which he said at para. 34: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My comments concerning the fact that the reasons for judgment could be more comprehensive is [sic] not to be taken as a criticism of the learned Provincial Court judge . . . To expect a Provincial Court judge in these circumstances to reserve and provide more comprehensive reasons is, in my respectful view, to expect too much. The Provincial Court would grind to a halt is more detailed reasons were required on every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all the foregoing reasons, I am not satisfied that there is reversible error. The appeal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Costs will follow the event.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BERNARD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Moore v. Zapalski, [2003] B.C.J. No. 742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3 - 7,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25932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742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596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Gordon Moore, plaintiff, and Henry Zapalski,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23"/>
      <w:bookmarkEnd w:id="16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Duty to pay attention — Damage awards — Injury and death — Leg injuries — Knee — General damages for personal injury — Future loss of income — Pain and suffering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20"/>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Moore for damages for personal injuries. Moore was injured in a near head-on motor vehicle collision during poor winter weather. There was conflicting evidence as to how the accident occurred. Moore claimed to be travelling some distance behind a cloud of snow caused by a large vehicle ahead of him. Zapalski's vehicle, travelling in the opposite direction, appeared from behind the cloud of snow and was angled across the centre of the road such that the collision was inevitable. Zapalski claimed that it was Moore's vehicle which had crossed the centre line. Moore was 50 years old and worked as a truck driver. He sustained a major injury to his right knee which resulted in moderate to severe pain at the end of his work day. He also experienced episodic neck and back pain which was likely caused by changes in his gait due to the injured knee. The injury also affected Moore's recreational activities. There was evidence that the condition in the knee was progressive and would deteriorate, causing Moore reduced capacity for work. Moore sought non-pecuniary damages and an award for future loss of income.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2" w:name="Holdings of Court_19"/>
            <w:bookmarkEnd w:id="16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more likely that Zapalski became disoriented while travelling in the cloud of snow and crossed the centre line. Moore was not required to assume that an oncoming vehicle might emerge from the cloud of snow on the wrong side of the road. Zapalski was 100 per cent responsible for the accident, as he failed to drive his vehicle in a careful and prudent manner and was negligent. Moore would likely be required to stop driving trucks within three to four years. Given his age, it was likely that he would retire early or accept less remunerative employment. A fair and adequate award for non-pecuniary damages was $60,000. Given his training and medical condition, Moore was less capable overall of earning income than he would have been if the accident had not occurred. He was awarded $100,000 for future loss of earnings. This amount represented somewhat over two years earnings, which was fair to both sides.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Legislation Cited_19"/>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9"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ss. 144, 150, 155.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24"/>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J.B. Carter and D.A. Paulsen, for the plaintiff. J.B. Doyle,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4"/>
      <w:bookmarkEnd w:id="165"/>
      <w:r>
        <w:pict>
          <v:line id="_x0000_s1151"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MACAULAY J._0"/>
            <w:bookmarkEnd w:id="166"/>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1997, in poor winter weather, the parties were involved in a near head-on motor vehicle collision on Highway 5 about 25 kilometres south of Valemount, British Columbia. Each driver maintained that the other was at fault for the accident. As I will set out below, I conclude that the defendant was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Additional issues arose respecting the assessment of non-pecuniary damages, particularly for the injury to the plaintiff's right knee, which was badly injured. The plaintiff also sustained other less serious injuries, primarily soft tissue in nature, the details of which will be set out later. The narrower question in determining the award for non-pecuniary damages related to the progression and future course of degenerative changes in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also seeks an award for future loss of income. Mr. Moore is now age 50 and employed full-time as a truck driver. He has successfully avoided any past income loss, but contends that the knee injury, in particular, will impact his ability to earn income in the future. The plaintiff also presented a modest claim for special damages, which was not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convenience, I will set out my awards under the relevant heads now and provide the basis for them later in my reasons under the appropriate headings: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$60,000;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2195"/>
        <w:gridCol w:w="1046"/>
        <w:gridCol w:w="58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$495.52</w:t>
            </w:r>
          </w:p>
        </w:tc>
        <w:tc>
          <w:tcPr>
            <w:tcW w:w="573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Total, excluding court order interest, if applicable to item 3: $160,495.52.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Both parties testified. There was, however, no independent direct evidence respecting the circumstances of the accident. The circumstantial evidence and the expert evidence available was of limited assistance in resolving the material conflicts in the evidence of the parties. For the most part, I will set out the evidence of the parties before referring to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on March 9, 1997. At the time, the plaintiff, Mr. Moore, then age 44, was driving to Louis Creek in British Columbia where he and his wife then lived. He was returning from Clinton, Alberta, where he had been working. The two communities are usually about five to six hours driving time apart, depending on road and weather conditions. Valemount is situated at about the half-way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the defendant contended that Mr. Moore was fatigued at the time of the accident and suggested that this fatigue may have been a contributing factor. Mr. Moore denied any fatigue. He had, however, been awake since about 3:30 to 4:00 p.m. Alberta time the previous day and had worked the night shift. By the time of the accident, he had been awake for about twenty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work, Mr. Moore drove to his apartment in Clinton, showered, returned to his vehicle, drove to a local restaurant for coffee and breakfast and then started his drive home. He also stopped for coffee and a short break in Valemount. All these steps were consistent with the plaintiff's typical pattern in returning home following each four day shift, a pattern he had maintained for at least one and one-half years before the accident. I am satisfied that the plaintiff's ability to drive safely was not impaired by fatigue and that any tiredness on his part was not a contributing factor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Instead, the weather was the genesis for this unfortunate accident. By the time Mr. Moore reached Valemount, it was snowing. Snow had accumulated on the road and the lines were no longer visible except where the road had been freshly snow-ploughed. The road was not ploughed in the immediate area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highway was straight both at the accident site and immediately before the site on either side, with one lane of travel for each direction. None of the road markings were visible by that point due to the accumulation of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the plaintiff, he maintained his lane position as he drove south from Valemount. He did so by positioning the passenger side of his vehicle about eight feet from the right side snow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Shortly before reaching the accident site, Mr. Moore came up behind a large vehicle also travelling south. That vehicle was throwing up a large cloud of snow that the plaintiff and other witnesses described as a whiteout.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Constable Collins, the RCMP officer who attended the accident site, provided a useful description of a whiteout, which I accept. Large vehicles, such as semi-trailers or snow ploughs, dust up very fine dry snow. In his experience, driving through a whiteout is a very disorientating, eerie experience because you do not know what is happening around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that he slowed to about 70 kilometres per hour upon becoming aware of the whiteout ahead and then maintained his position in his lane about two to three hundred feet behind the edge of the cloud, a distance he considered safe. The whiteout completely obliterated the plaintiff's view of both the vehicle ahead of him and of the northbound lane, except for the distance between him and the edge of the cloud.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Moore first observed the defendant's vehicle, a pick-up truck, as it emerged from the cloud travelling north. At that point, according to the plaintiff, the defendant's vehicle was angled across the centre of the road towards his side of the highway. He was able to see the front and part of the passenger side of the vehicle. Mr. Moore concluded that he could not avoid a collision by moving towards the snow bank on the right side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Instead, the plaintiff attempted to steer to his left so that the impact would be to the passenger side of his own vehicle rather than the driver's side. The vehicles collided anyway. The point of impact was principally to the front passenger side of both vehicles. Mr. Moore estimated that the collision occurred on his side of the centre line, although, of course, he could not see the line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Mr. Zapalski, described the accident quite differently. According to him, he was driving his half-ton pick up home to the Edmonton area after picking up landscape and garden centre materials near Vancouver. His common law wife accompanied him. Mr. Zapalski estimated that the load in the back of his truck weighed "somewhere under one thousand pounds." Judging by the displacement of objects shown by the photographs, most of that load must have been unsecured.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Mr. Zapalski, the weather was snowy and windy as he drove north. It was getting worse as he approached the eventual accident scene. He estimated that there was about two inches of snow on the road. He also could not see the lines and was positioning himself on the highway relative to the right side in a similar manner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three occasions, the defendant encountered large semi-trailers coming in the opposite direction and slowed each time as a result. Each of these trucks threw up a cloud of snow which the defendant drove through. Mr. Zapalski navigated by the first two semi-trailers without incident. The accident happened immediately after he passed the third semi-trailer.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Zapalski testified that the accident happened as follows. First, he described seeing the third truck as it approached. Snow was falling off the roof and from the windows. Snow was swirling on both sides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 to the defendant, he drove into the whiteout area which was turbulent. He was unable to see anything beyond the hood of his vehicle. Mr. Zapalski admitted in cross-examination that he was apprehensive and clamped the steering wheel with his hands, but insisted that he maintained his lane position. He testified that after he came out of the far side of the cloud, he saw the plaintiff's vehicle oncoming entirely in the defendant's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stated that he looked to the right but did not have room to avoid the vehicle, so he turned his wheel sharply to his left, that is, towards the southbound lane, to avoid the collision. He then described the actual collision and aftermath in terms generally similar to the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apparent that the significant differences in the evidence give rise to very different possibilities. Did the plaintiff remain in the southbound lane or did he change to the northbound lane, presumably to pass the vehicle ahead of him, in spite of the complete blockage of his view? Did the defendant stray across the centre line unwittingly while in the whiteout, leaving the plaintiff with no better choice in the agony of the moment than to try to pass the oncoming vehicle by moving into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satisfied that the plaintiff did not move into the northbound lane before the defendant emerged from the cloud of snow. I consider it more likely that the defendant became disorientated while in the whiteout and steered across the centre line partially into the oncoming lane. At that point, the collision became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it significant that the attending officer spoke to Mr. Zapalski and, shortly thereafter, recorded in his notes that the defendant "experienced whiteout and crossed [the] centre line striking" the other vehicle. While the officer could not recall the defendant's exact words at trial, I am satisfied that Mr. Zapalski admitted that he had crossed the centre line as a result of the whiteout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no objective physical evidence from which the officer could have inferred the point of impact relative to the centre line and no suggestion that the officer received the information from some other source. Mr. Zapalski did not directly challenge the evidence of the officer on this point but simply claimed that he could not remember what he said. I find that both curious and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Zapalski was not a satisfactory witness. He was unnecessarily absolute but demonstrably wrong about some matters in cross-examination. Two examples are illustrative. When presented with the photographs of the aftermath, the defendant denied that the truck in those photographs was his because of the appearance of the load in the rear. He was unable, or unwilling, to consider the obvious shifting of the loose load during the spinning of his vehicle after the collision, so he simply denied that the picture was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well, Mr. Zapalski insisted that his vehicle spun in a counter-clockwise direction even though it would have been impossible for it to have done so having regard to the point and angle of contact between the vehicles. While nothing material turns on these mistakes, the defendant displayed an intransigence that reflected adversely on the general reliability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did not observe any similar intransigence, nor did counsel for the defendant identify any inconsistencies, in the evidence of the plaintiff. Where the evidence of the two parties was in dispute respecting the events immediately before the impact, I prefer that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 foregoing is sufficient to dispose of the issue of liability, I propose also to discuss the conflicting expert evidence respecting the probable point of impact relative to the centre line. There was no physical evidence available to demonstrate the precise location of the point of impact. If the opinion evidence had been persuasive, it might have assisted in determining whether to accept the evidence of one party over the other. In my view, the opinion evidence was, for the most part, neither persuasive nor reliable and I accept very little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experts based significant reliance on the content, or perceived content, of various scene photographs and assumed necessary facts that were never satisfactorily proven in evidence. Before turning to their evidence more specifically, I propose to set out the scene as demonstrated by the photos taken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resting position of the vehicles after the collision and the areas of heavy damage in each case were evident from various photographs, some taken by the police and others by the print media. These photographs showed the front of the plaintiff's vehicle, a sedan, angled into the snow on the east side of the northbound lane. The vehicle was very heavily damaged on the right side from the passenger door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truck, a much larger vehicle, came to rest on the west side of the highway angled with the rear near the snow bank and the front on the travelled portion of the highway facing more to the north than the east. The defendant's vehicle sustained extensive damage to the front and passenger side back to the passenger door. The vehicle frame appeared partially collapsed to ground level on the right side. The load, as I have already indicated, appears to have shifted considerably, based on the contrast between the content of photographs and the defendant's description of how he had packed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retained Mr. Huberdeau, an engineer qualified in accident reconstruction and analysis. Mr. Huberdeau conducted only a preliminary investigation and analysis. A review of his report and evidence at trial reveals that the information available to him was incomplete or inadequate. The necessary factual underpinnings for his opinion were not established in evidence. As a result, Mr. Huberdeau's conclusion, based on a computer simulation, that the accident happened as described by the defendant is, in my view,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do not mean this as a criticism of Mr. Huberdeau who was an eminently qualified witness. After all, his investigation and analysis were clearly meant to be preliminary.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computer simulation was intended to determine the point of impact relative to the centre line of the highway by working back from what the engineer stated were known parameters. These were described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several certain parameters are known, such as the environmental conditions, and the approximate point of rest of the vehicles. The points of rest provide a definitive separation trajectory, post-collision, and can be correlated with the spread of debris noted in the police photographs. Several assumptions can then be made regarding the friction values between the vehicles and the road surface, and the assumed pre-collision travel speeds. These conditions can be "simulated" to provide a solution that comes close to the real dynamics of the event. The outcome of the accident is known, the premise is to determine the initial conditions such as point of impact and a range of impact velocities that fit the model being tested. ... (Ex. 9, p. 16, 2nd para.)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Two of the critical assumptions related, first, to the loaded weight and centre of gravity of each vehicle and, second, to the distances between the vehicles in their respective rest positions, measured both along and across the highway. None of that information was available from the photographs or the police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first assumption was not reliably established in evidence. Without accurate information as to the weight of the load in the rear of the pickup and the extent to which it had shifted while the vehicle was spinning, the conclusions in the report represented little more than a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Huberdeau guessed at the payload and did not take into account at all the likely weight of the passenger. The defendant's own evidence as to the weight of the payload was too vague to be relied on. Finally, there was no evidence as to how the weight of the payload was distributed or how it shifted following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second assumption was also not established in evidence. Because no measurements were taken at the scene, Mr. Huberdeau relied instead on information provided several months after the accident by a witness who had attended the original accident scene. That person paced off and then estimated the relevant distances based on her recollection of where the vehicles had been situated. She did not testify at trial, so her estimates, even if accurate, were not established in evidence and cannot be relied on. Mr. Huberdeau agreed that he could not complete the simulation without that information, absent other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retained Mr. Sdoutz, another qualified engineer, to critique Mr. Huberdeau's report and to offer his own opinion as to the location of the point of impact. Although I agreed with one of the criticisms of the Huberdeau report, as set out below, I did not otherwise find Mr. Sdoutz's evidence reliable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Sdoutz reviewed the photographs taken at the accident scene and concluded that they showed three significant factors: the presence of a large amount of debris in the southbound lane just to the north of the resting place for Mr. Moore's vehicle; a distinct furrow through the snow on the side of the road to the left front tire of that vehicle; and a furrow left in compact snow on the southbound shoulder in the same location as a gouge in the pavement identified by photos taken several months after the event. According to Mr. Sdoutz, the gouge and furrow ran in a line and for a distance consistent with the gouge being caused by the right front tire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one exception, I found the evidence of Mr. Sdoutz to be largely speculative, as it was based on his interpretation of the photographs rather than on clear photographic evidence or facts otherwise proven. Starting with the engineer's first point, namely the presence of debris in the southbound lane, the photos are not of a quality that permits the viewer to identify the nature or source of this debris. In cross-examination, Mr. Sdoutz variously suggested that the items might be the front bumper, or parts thereof, from the plaintiff's vehicle, the running board of the pickup, if it had one, or just a piece of debris sitting in the snow. I can make nothing of the content of the photos myself in this regard and cannot accept any of the characterizations offered by the witness, absent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regard, I also considered, but did not find helpful, the evidence of the plaintiff about finding debris associated with his vehicle several months after the accident over the bank on the same side of the roadway. Mr. Sdoutz agreed that the location of items months afterward does not provide any reliable indicator as to where the items were originally located or how they got to their eventual position. I am of the same view. Without knowing when and how the area was snow-ploughed, I find it impossible to form any conclusions about where the items originated.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the photographs demonstrate that sand had been dropped on the travelled portion of the roadway some time after the collision. According to the attending officer, large sand trucks are used to deposit sand in that manner at accident sites. I cannot say what effect, if any, that process would have had on any debris in the travelled portion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also do not accept Mr. Sdoutz's opinion respecting the inter-relationship between the gouges and the supposed furrow, shown in the photographs, leading to the rear of the defendant's vehicle. At least one of the photographs shows what appears to be an unidentified long object rather than a furrow, as described. Nothing in the photographs demonstrated any deflation or loss of tire that would explain the creation of such a gouge. Nor was there any visible evidence in the photos of other metal, either heavy enough or in apparent contact with the roadway, sufficient to explain the presence of the gouge.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any event, it is difficult to understand what the significance of a linear gouge lined up with the resting position of a previously spinning vehicle would be. Finally, I am not satisfied that the pictures of the furrow and the gouge can be overlaid with sufficient accuracy to justify a conclusion that they represent aspects of the same event or that either even extends to the front passenger tire area, as suggested by Mr. Sdoutz.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result, I accept only one aspect of the report. I agree with Mr. Sdoutz's description of the photos of the areas around the left front wheel of the plaintiff's vehicle. The presence of the single furrow in the snow suggests that most of the rotation of that vehicle occurred before it reached the shoulder on the east side of the highway. If impact had occurred in the northbound lane, one would expect to see some other signs of snow disturbance on the shoulder immediately north of the vehicle's final resting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Apparently Mr. Huberdeau never saw the better quality picture of this particular area. I do not accept his view, based on the poorer photograph, that there was other disturbance of the snow, apart from the furrow, consistent with the plaintiff's vehicle rotating as shown in his simulation. This reinforces my finding that the conclusions represented by the simulation were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set out earlier, I accept the evidence of the plaintiff over that of the defendant. I find that the plaintiff exercised the necessary care in the circumstances by slowing and maintaining his position far enough behind the vehicle in front of him that he could react to the hazard presented by the whiteout. It is significant that he maintained his position about two to three hundred feet behind the snow cloud, not the rear of the vehicle. I accept that he was following at a prudent distance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was not required to assume that an oncoming vehicle might emerge from the cloud on the wrong side of the road. I find that the plaintiff remained in his lane until after the defendant's vehicle began to cross the centre line. At that point, the collision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the defendant 100 per cent responsible for the accident. Having regard to all the circumstances, the defendant failed to drive his vehicle in a careful and prudent manner and was negligent. This is illustrated by his breach of the following sections of the Motor Vehicle Act. In crossing the centre line into the path of oncoming traffic, the defendant drove without due care and attention and without reasonable consideration for other persons using the highway, contrary to s. 144 of the Act. The defendant also breached sections 150 and 155 of the Act. Respectively, those two sections require a driver to confine the course of his vehicle to the right-hand half of the roadway and to the right of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turn next to the evidence respecting the plaintiff's injuries and their impact on his life and work as a truck driver. The plaintiff sustained a major injury to his right knee in the accident. Dr. Sundby, an orthopaedic surgeon, examined the knee on the day after the accident. The knee area was grossly swollen and the plaintiff was holding his knee in 30 degrees of flexion for comfort. X-rays demonstrated a minimally displaced fracture of the inferior pole of the right patella without apparent involvement of the articular surface but affecting the attachment point for the patellar tendon.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March 11, 1997, Dr. Sundby operated and found a comminuted fracture of the distal pole, which was irreparable. In his report dated October 21, 1997, the doctor described his findings and repairs,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had a comminuted fracture of the distal pole of his patella. This refers to the fact that it was in numerous small pieces. It was deemed actually irreparable and the small bony fragments were therefore excised. An unfortunate finding was the fact that the fracture did extend to involve a large fragment of articular surface on the lower pole of his patella. Four to 5 loose fragments of articular cartilage and there (sic) associated subchondral bone were found floating freely within the knee joint. Inspection of the joint showed a 1/2 by 1 cm full thickness lesion in the articular cartilage of his medial femoral condyle. This involves the area of weight bearing when the knee was (sic) full (sic) extended. The cartilage in the trochlea, or groove into which the patella articulates, was also injured as a result of the direct blow to his knee. In total I estimated a loss of approximately 30% of the articular surface on the inferior pole of his patella. We performed a repair of his patellar tendon, securing this to his remaining patella. He was then placed in an immobilization device to protect this repair. (Ex. 1 [8] at p.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injury remains the most serious of those sustained in the accident. I will return to the other injuries after reviewing the course of recovery respecting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Moore was released from hospital on crutches and wearing a knee brace. Over the next few weeks, he graduated to using a cane. By the sixth week, he could fully extend the knee and flex it to 130 degrees. By August 1997, the plaintiff still reported mild irritation to the knee as well as trouble with stairs and walking on uneven ground. There was a catching sensation in the knee if he sat with the knee flexed for a long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By the time of his report in October 1997, Dr. Sundby opined that some further improvement was possible but that the plaintiff would continue to have pain in his patellofemoral joint. The doctor described the injuries as permanent and Mr. Moore's function "somewhat limited as a result," particularly in high quadriceps demanding activities, which he listed as including "stairs, climbing, squatting, lifting from a squat, and pushing."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Sundby expressed his prognosis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These problems will be progressive with aging, although I think he will have a good grace period over the next 5 to 10 years, as long as his muscle development is maintained. I believe there is a good possibility of Mr. Moore requiring further surgery in the future as a result of these injuries. It is difficult to predict with absolute certainty as to whether a joint will continue to deteriorate and require definitive reconstructive surgery. The general activity level and muscle development possible, the weight and general fitness, and the genetic predisposition, can all influence the degree of degenerative joint disease that can result from an injury of this nature. The worse scenario would show a progression of arthritic changes within the joint commencing in the patellofemoral compartment department and spreading elsewhere with pain and dysfunction limiting activities sufficiently to require a joint replacement at 10 to 15 years down the road. A favorable scenario would be recurrent patellofemoral pain with over activity and patellofemoral pain exacerbated by any knee injury contributing to quadriceps weakness but correctable with anti-inflammatory medications and proper therapy. (p.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July 2002, counsel for the plaintiff retained Dr. Calder, a specialist in Physical Medicine and Rehabilitation, to assess the plaintiff. In her report, Dr. Calder also discussed the knee. She pointed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key point about Mr. Moore's knee pain, is that he will be relatively comfortable in full stance. The moment he bends and compresses the patella, especially in the first 25-45 degrees, as in a partial squat - he will have pain and crepitus and produce "water on the knee" which will prevent full knee extension hours later. While he might "get away" with an activity, he will monitor that the knee was in the compressive range a few hours later. The typical pain pattern is to have pain when changing position having sat with a set degree of knee flexion for a while. The driving profession would be particularly difficult, despite the fact that it is "light" and does not involving (sic) weight bearing or stance activities. (Ex. 1 [10] at pp.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doctor's prognosis for the knee was somewhat gloomier than that of the orthopaedic surgeon. She said this in regard to the knee: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will undoubtedly have a progression in degenerative joint disease of articular surfaces, and gradually progress to producing more knee effusions ("water on the knee") and range restrictions. There are few options to adapt his work demand for this right knee. He is at the point now of limiting leisure activities to a point, and as this disease process progresses, he will have to do more of this type of leisure and extracurricular limitation. The exact time course of this type of limitation is not exact, but I would suggest that over the next three to five years, this gentleman will have difficulties in maintaining his full capacity at work. He will, however, maintain the capacity to work in lighter and sedentary activities avoiding the crouched or stooped postures. (pp.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Calder concluded that the plaintiff would have difficulty maintaining his full capacity at work within three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number of questions arose respecting the evidence of Dr. Calder. First, there was an issue as to whether the doctor relied on the plaintiff's alleged reports of ongoing problems or set out her own views. Next, the content of the report had to be contrasted to the plaintiff's evidence at trial, both about his difficulties and about the specific information that he gave to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key to resolving the apparent discrepancies is that Mr. Moore is a stoic who tended to under-report his symptoms to the doctor and again at trial. The plaintiff's wife described him as someone who does not complain. I came to similar conclusions during the course of Mr. Moore's evidence. He tends to use descriptors like "stiffness" and "discomfort" in circumstances that would justify most people describing pain. In my view, Dr. Calder sometimes described the plaintiff's condition more objectively and accurately than he did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Under the heading "History" in her report, Dr. Calder stated that the plaintiff had "marked", meaning moderate to severe, knee pain at the end of his work day and on weekends. Although this was reported as information provided by Mr. Moore, his own description of his level of discomfort on the point differed. In my view, the difference was not real, but arose, as I set out above, because the plaintiff tends to minimize his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also testified in chief to ongoing stiffness in the knee, particularly after driving, and, at times, feeling like there was some swelling in the area of the kneecap. He was cross-examined extensively about whether he had pain in the area after the first three months following the accident. He described the discomfort as a locking and grinding sensation and also as stiffness, but said, as well, that after five and one-half years, it no longer seemed like pain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was clear, on the whole of Mr. Moore's evidence, that his most significant knee problems were associated with stiffness from holding the leg in one position for long periods and from grinding and swelling associated with the outer ranges of extension and flexion. Although the plaintiff described these difficulties as "not too bad", I consider that to be an understatement.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the plaintiff's knee discomfort continues to be significantly aggravated by driving, sitting in one spot and walking, particularly on uneven terrain. The medical evidence of Dr. Sundby supports this finding, as does the evidence of Dr. Calder respecting the nature of the damage to the knee, which is supported by her objective findings on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recognize that Mr. Moore has not sought any further assistance from his family doctor for his knee since July 1998, but that does not demonstrate that he has recovered. Rather, the plaintiff believes that nothing more can be done to alleviate the discomfort apart from a treatment regimen of exercises, rest and non-prescription muscle relaxants or anti-inflammatories. He has continued with this treatment and there would have been little point in returning to the family doctor. I also have the benefit of Dr. Calder's objective medical findings which indicate ongoing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examining the right knee in July 2002, Dr. Calder heard and found marked crepitus on palpation. The doctor noted some crepitus present throughout the majority of the range of motion. Although she did not find obvious effusion, there was marked tenderness with sustained end range extension. In cross-examination, Dr. Calder testified that she elicited a pain response from the plaintiff near full extension and flexion. I find the plaintiff's evidence that he continues to have discomfort at the time of trial consistent with the clinical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effect of the foregoing, as Dr. Calder pointed out in her report, is that Mr. Moore is relatively comfortable at full stance, but that as soon as he bends and compresses the patella, he endures pain and crepitus which, in turn, produces water on the knee. The water on the knee then acts, hours later, to prevent full extension. In my view, the positioning and use of the right leg while driving for extended periods aggravates the discomfort, notwithstanding the comparatively light force involved, similar to that required to walk recreationally.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addition to the foregoing, I am satisfied that the plaintiff has low back pain associated with changes in his stance and gait due to the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Mr. Moore never sought medical attention for any soft tissue injuries other than the knee area in the period immediately following the accident, about one month later, he began noticing tightness between his shoulder blades along with a burning sensation radiating up his neck and headaches. He did not seek any medical attention for these symptoms from his family doctor until early June 1997. X-rays taken at that time did not disclose any trauma-related injury to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doctor initially recommended a regimen of massage therapy, which provided short-term relief, but the plaintiff continued to have problems. In the fall of 1997, the doctor referred Mr. Moore to a physiotherapist. The plaintiff then embarked on a seven month course of passive and active therapy. During that process, Mr. Moore regained full neck movement and functional strength, but the therapist opined that full recovery could take up to two years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spite of that prognosis, the plaintiff continues to complain of episodic neck pain dependent on his activities. In particular, the neck discomfort is aggravated by driving, particularly on rough roads, or otherwise sitting in one spot. He now rarely gets headaches. The neck discomfort does not prevent activities but affects how long the plaintiff can do them. Dr. Calder found objective signs of tenderness and muscle spasm when she examined the plaintiff in July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that the accident caused the neck pain described by the plaintiff and that it continues, even though the injuries were to soft tissues only. I categorize this injury as moderately severe in nature, having regard to the length of time that the symptoms have persisted. As there is no evidence of bony injury or degenerative change, I expect that the symptoms will gradually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addition to the foregoing, the plaintiff suffered other minor injuries from the accident, all of which resolved within a relatively short time. These were as follows: scratches and bruises to the nose associated with the deploying of the airbag; seatbelt bruising in the left shoulder and mid-chest areas; and, finally, intermittent numbness and paraesthesia of the left fingers, likely associated with the soft tissue injuries described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is now 50 years old. What impact have the injuries had on his lifestyle and work life? To answer this question, it is necessary to review some of his pre-accident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Moore has a Grade 12 education and, since completing high school about thirty years ago, has worked variously as a labourer, apprentice millwright, heavy equipment operator and truck driver. From 1990 to 1998, Mr. Moore was a surface pit foreman at a large coal mine at Gregg River, Alberta. The mine site was about 20 square miles in area and, before the accident, the plaintiff used to drive throughout it in a pick-up truck to perform his daily duties. He rarely ever worked in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returned to his work as a foreman about two and one-half months after the accident. He found that the driving aggravated his knee and neck. Walking on slopes also aggravated the knee. In spite of this discomfort, Mr. Moore continued to work until 1998 when he accepted a one year severance package because he thought the mine was likely to shut down. In fact, the mine did not close until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time of termination, the plaintiff's wife had been operating a small convenience store near their home for about three years. They thought the plaintiff would be able to assist in the store, but, unfortunately, the business failed within a year. Following that, the plaintiff worked part-time as a spare board school bus driver, briefly as a bull dozer operator and as a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Fortunately, in the mid-1980s, Mr. Moore obtained his class one license which permitted him to operate vehicles with air brakes. The plaintiff has since renewed this license at five year intervals. He has extensive experience driving tractor trailers and pulling multi-axle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Since leaving his employment at the mine in 1998, the plaintiff also worked as a spare driver transferring dry goods to Vancouver, but that work was only available about once a week. He next obtained full-time work for about eight months driving long-haul loads for a Kamloops firm, but he found that work hard as he was on the road for five days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Since January 2001, Mr. Moore has been employed full-time driving truck for a fuel distributor operating out of Kamloops. His deliveries take him about 300 kilometres both to the north and the south out of Kamloops. Including pre-trip inspections, driving to the loading facility, loading fuel and then delivering to the furthest points, round trips can take up to fourteen hours. On shorter hauls, the plaintiff frequently does two trips in a day. Depending on whether he drives a morning or afternoon shift, Mr. Moore starts work at either 3:00 a.m. or 1:00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Moore currently operates a Kenworth 18 speed tractor unit and pulls a Super B Train trailer. Each has five axles. The driver reaches the seat by climbing up about seven feet. While Mr. Moore can do everything necessary to fulfil his employment responsibilities, he regularly becomes stiff in the neck and right knee areas during his shift, particularly after driving for several hours. With a full load on, the plaintiff must apply ongoing pressure to the accelerator, sometimes for extended periods. This action triggers discomfort in the knee area with it stiffening or locking up. Sometimes, Mr. Moore feels like there is swelling in the knee joint area as well. In spite of these difficulties, the plaintiff plans to continue driving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addition to the impact on Mr. Moore's employment, the accident has also affected his recreational pursuits. Before the accident, he golfed, curled and water skied. The plaintiff continues to golf, although he now rarely walks around the course. He has been hesitant to try water skiing, although no doctor has advised him not to. Curling is possible, but he has lost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wife described his pre-accident health as good. It was apparent from her description that, before the accident, the plaintiff was athletic and enjoyed his recreational pursuits. According to her, the plaintiff is currently handling the demands of his work but is frequently tired. Although the plaintiff still plays golf and walks with her, he now tends to spend his recreational time resting in front of the television.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According to counsel for the plaintiff, the range for non-pecuniary damages is $70,000 to $90,000 having particular regard to the serious knee injury. In support, he referred to the following cases: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Werner v. Rocks, </w:t>
      </w:r>
      <w:hyperlink r:id="rId385" w:history="1">
        <w:r>
          <w:rPr>
            <w:rFonts w:ascii="arial" w:eastAsia="arial" w:hAnsi="arial" w:cs="arial"/>
            <w:i/>
            <w:color w:val="0077CC"/>
            <w:sz w:val="20"/>
            <w:u w:val="single"/>
            <w:shd w:val="clear" w:color="auto" w:fill="FFFFFF"/>
            <w:lang w:val="en-US" w:eastAsia="en-US" w:bidi="ar-SA"/>
          </w:rPr>
          <w:t>[1994] B.C.J. No. 767</w:t>
        </w:r>
      </w:hyperlink>
      <w:r>
        <w:rPr>
          <w:rFonts w:ascii="arial" w:eastAsia="arial" w:hAnsi="arial" w:cs="arial"/>
          <w:color w:val="000000"/>
          <w:sz w:val="20"/>
          <w:lang w:val="en-US" w:eastAsia="en-US" w:bidi="ar-SA"/>
        </w:rPr>
        <w:t xml:space="preserve"> (S.C.);</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Lawson v. Vu, </w:t>
      </w:r>
      <w:hyperlink r:id="rId386" w:history="1">
        <w:r>
          <w:rPr>
            <w:rFonts w:ascii="arial" w:eastAsia="arial" w:hAnsi="arial" w:cs="arial"/>
            <w:i/>
            <w:color w:val="0077CC"/>
            <w:sz w:val="20"/>
            <w:u w:val="single"/>
            <w:shd w:val="clear" w:color="auto" w:fill="FFFFFF"/>
            <w:lang w:val="en-US" w:eastAsia="en-US" w:bidi="ar-SA"/>
          </w:rPr>
          <w:t>[2000] B.C.J. No. 230</w:t>
        </w:r>
      </w:hyperlink>
      <w:r>
        <w:rPr>
          <w:rFonts w:ascii="arial" w:eastAsia="arial" w:hAnsi="arial" w:cs="arial"/>
          <w:color w:val="000000"/>
          <w:sz w:val="20"/>
          <w:lang w:val="en-US" w:eastAsia="en-US" w:bidi="ar-SA"/>
        </w:rPr>
        <w:t>;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Kmetyko v. Harrison, </w:t>
      </w:r>
      <w:hyperlink r:id="rId387" w:history="1">
        <w:r>
          <w:rPr>
            <w:rFonts w:ascii="arial" w:eastAsia="arial" w:hAnsi="arial" w:cs="arial"/>
            <w:i/>
            <w:color w:val="0077CC"/>
            <w:sz w:val="20"/>
            <w:u w:val="single"/>
            <w:shd w:val="clear" w:color="auto" w:fill="FFFFFF"/>
            <w:lang w:val="en-US" w:eastAsia="en-US" w:bidi="ar-SA"/>
          </w:rPr>
          <w:t>[1998] B.C.J. No. 2918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According to counsel for the defendant, the range for non-pecuniary loss is $40,000 to $50,000. He relied on the following cases:</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Brown v. Golaiy, </w:t>
      </w:r>
      <w:hyperlink r:id="rId38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Catalano v. Donald, </w:t>
      </w:r>
      <w:hyperlink r:id="rId389" w:history="1">
        <w:r>
          <w:rPr>
            <w:rFonts w:ascii="arial" w:eastAsia="arial" w:hAnsi="arial" w:cs="arial"/>
            <w:i/>
            <w:color w:val="0077CC"/>
            <w:sz w:val="20"/>
            <w:u w:val="single"/>
            <w:shd w:val="clear" w:color="auto" w:fill="FFFFFF"/>
            <w:lang w:val="en-US" w:eastAsia="en-US" w:bidi="ar-SA"/>
          </w:rPr>
          <w:t>[2002] B.C.J. No. 1944</w:t>
        </w:r>
      </w:hyperlink>
      <w:r>
        <w:rPr>
          <w:rFonts w:ascii="arial" w:eastAsia="arial" w:hAnsi="arial" w:cs="arial"/>
          <w:color w:val="000000"/>
          <w:sz w:val="20"/>
          <w:lang w:val="en-US" w:eastAsia="en-US" w:bidi="ar-SA"/>
        </w:rPr>
        <w:t xml:space="preserve"> (S.C.);</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Whitmore v. Arens, </w:t>
      </w:r>
      <w:hyperlink r:id="rId390" w:history="1">
        <w:r>
          <w:rPr>
            <w:rFonts w:ascii="arial" w:eastAsia="arial" w:hAnsi="arial" w:cs="arial"/>
            <w:i/>
            <w:color w:val="0077CC"/>
            <w:sz w:val="20"/>
            <w:u w:val="single"/>
            <w:shd w:val="clear" w:color="auto" w:fill="FFFFFF"/>
            <w:lang w:val="en-US" w:eastAsia="en-US" w:bidi="ar-SA"/>
          </w:rPr>
          <w:t>[1999] B.C.J. No. 313</w:t>
        </w:r>
      </w:hyperlink>
      <w:r>
        <w:rPr>
          <w:rFonts w:ascii="arial" w:eastAsia="arial" w:hAnsi="arial" w:cs="arial"/>
          <w:color w:val="000000"/>
          <w:sz w:val="20"/>
          <w:lang w:val="en-US" w:eastAsia="en-US" w:bidi="ar-SA"/>
        </w:rPr>
        <w:t xml:space="preserve"> (S.C.); and</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Ahlgren v. Guildford Cab Ltd., </w:t>
      </w:r>
      <w:hyperlink r:id="rId391" w:history="1">
        <w:r>
          <w:rPr>
            <w:rFonts w:ascii="arial" w:eastAsia="arial" w:hAnsi="arial" w:cs="arial"/>
            <w:i/>
            <w:color w:val="0077CC"/>
            <w:sz w:val="20"/>
            <w:u w:val="single"/>
            <w:shd w:val="clear" w:color="auto" w:fill="FFFFFF"/>
            <w:lang w:val="en-US" w:eastAsia="en-US" w:bidi="ar-SA"/>
          </w:rPr>
          <w:t>[1996] B.C.J. No. 2505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considered all of these cases. They are of general assistance in that they identify, once adjusted for inflation where necessary, a broad range of award dependent on my findings as to the likely progression of deterioration in the knee joint from this point forward. There are, however, in my view, significant differences as to matters such as the relative age of the plaintiff and the seriousness of the injury, including the progressive nature of the deterioration, which makes any direct comparisons futile.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Counsel for the defendant agreed that the knee injury is significant and that the plaintiff continues to suffer from the soft tissue injury to the neck but contended that the plaintiff's level of physical recovery is better than in any of those cases relied on by the plaintiff. In particular, counsel contended that an objective assessment of Mr. Moore's current knee problems supports the conclusion that the recovery has surpassed the best case prognosis outlined by Dr. Sundby. Put another way, he suggested that the anticipated deterioration has been less progressive than Dr. Sundby predicted. I agree with the identification of the key issue but do not accept counsel's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Sundby clearly identified the progressive nature of the knee problems, although he anticipated in 1997 that Mr. Moore could have a grace period of 5 to 10 years with a good possibility of requiring further surgery thereafter, probably within 15 years. Six years post-accident, the plaintiff continues to have significant discomfort, pain and, sometimes, swelling in the knee joint. I accept that there remains a good possibility that surgery will be required, although it is impossible to predict how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also find that the condition is progressive and will continue to deteriorate. As it does, the plaintiff will be less able to work as a truck driver or to enjoy his recreational pursuits. As Dr. Calder observed, the progression will likely make it difficult for Mr. Moore to maintain his full capacity at work even though the nature of his work does not itself accelerate the degenerative process. As work already exacerbates the discomfort, the plaintiff may well find himself unable to work even before he requires further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all the circumstances, I find that the plaintiff will likely stop driving truck within three to four years, consistent with the time frame set out by Dr. Calder in her report of July 2002. As the plaintiff is now age 50, the likelihood is that he will retire earlier or accept less remunerative employment than would have been the case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Returning to the award for non-pecuniary loss, I find that a fair and adequate award is $60,000. I turn next to the claim for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principles applicable to a claim for future loss of income are not in doubt. Two non-exclusive approaches are available. Either may justify an award for future loss of income. Where the evidence indicates a real or substantial possibility of a future event leading to loss of income, an award may be made. Alternatively, if the plaintiff's earning capacity has been diminished by his injuries, an award may be made for the loss of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Either approach could be employed in the case at bar. I have found that that Mr. Moore will likely retire early or accept less remunerative employment due to his injuries within a period of three to four years. I consider that scenario to be more than just a substantial possibility. Having regard to the plaintiff's current age, training and medical condition, he is, in my view, less capable overall of earning income than he would have been if the accident had not occurred. It is only through the plaintiff's diligence and uncomplaining nature that he has been able to avoid an actual loss of income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Moore currently earns about $47,000 a year as a truck driver. He has a general high school education and has been employed throughout his life in labouring, mining, heavy equipment operating and trucking. The plaintiff could not reasonably expect, having regard to his education and experience, to find other work as remunerative as his present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Counsel for the plaintiff suggested an award for diminished capacity of $100,000 to $150,000. Counsel for the defendant suggested that there are negative contingencies to be taken into account to avoid the risk of overcompensation, such that the final award should only be about half the plaintiff's annual salary. For convenience I round that figure off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contingencies referred to by counsel for the defendant were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of the economy makes finding employment in the trucking industry difficult in any event.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reported other health issues, independently of the accident, including complaints of low back and left knee pain, that could impact on his ability to drive truck.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considered the possibility of early retirement since before the accident but, due to financial setbacks unrelated to the accident, cannot afford to take early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I have considered each of these contingencies, I do not find them to be significant offsets. I will address them in the order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First, notwithstanding the economy and his initial lack of success, Mr. Moore has been able to find full-time employment as a driver with two companies since 2000. Second, I have found that Mr. Moore's complaints of low back pain are related to stance and gait changes associated with the right knee injury. Further, I do not consider the reports of left knee pain significant enough to impact on employability. Third, while I accept that Mr. Moore planned for early retirement, that plan was always contingent on him continuing to earn enough money. If the plaintiff had been unable to do so, for example because of business reverses, he would have returned, in my opinion, to driving, as it pays relatively well. I do accept the generalized negative contingency that individuals in their fifties are more at risk of losing their employment for non-accident related health problems than younger individuals and that many people in that age bracket actively seek out early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Taking into account all the factors, including the negative contingencies set out above, I award $100,000 for future loss of earnings. That figure represents somewhat over two years earnings and, in my view, is fair to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This leaves only the question of special damages, which the parties have agreed are $495.52. The award will be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may provide written submissions on the matter of costs if they are not 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very pleased to be able to conclude my reasons by complimenting counsel on their excellent work in preparing and presenting the evidence and arguments. I found their approach to be focussed, co-operative and most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Parker v. Vancouver (City), [2001] B.C.J. No. 2701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Thackray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3 - 7,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19,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C996135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2701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1784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110 A.C.W.S. (3d) 378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52 W.C.B. (2d) 201</w:t>
      </w:r>
    </w:p>
    <w:p>
      <w:pPr>
        <w:spacing w:before="120" w:line="260" w:lineRule="atLeast"/>
        <w:rPr>
          <w:lang w:val="en-US" w:eastAsia="en-US" w:bidi="ar-SA"/>
        </w:rPr>
      </w:pPr>
      <w:r>
        <w:rPr>
          <w:rFonts w:ascii="arial" w:eastAsia="arial" w:hAnsi="arial" w:cs="arial"/>
          <w:color w:val="000000"/>
          <w:sz w:val="20"/>
          <w:lang w:val="en-US" w:eastAsia="en-US" w:bidi="ar-SA"/>
        </w:rPr>
        <w:t>Between Rhoda Parker, David Parker and Navana Parker by her Guardian Ad Litem Rhoda Parker, plaintiffs, and The Corporation of the City of Vancouver,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3"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7" w:name="Keywords_24"/>
      <w:bookmarkEnd w:id="167"/>
      <w:r>
        <w:rPr>
          <w:rFonts w:ascii="arial" w:eastAsia="arial" w:hAnsi="arial" w:cs="arial"/>
          <w:b/>
          <w:color w:val="000000"/>
          <w:sz w:val="20"/>
          <w:lang w:val="en-US" w:eastAsia="en-US" w:bidi="ar-SA"/>
        </w:rPr>
        <w:t xml:space="preserve">Police — Actions against police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During custody of person — For false arrest — Defence of justification — For assault — Excessive force — Defences, justification of force.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8" w:name="Case Summary_21"/>
            <w:bookmarkEnd w:id="16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Parkers, husband and wife, for damages for injuries allegedly suffered in alleged unlawful detentions and assaults by members of the Vancouver Police Department. The Parkers claimed that they were followed by a police vehicle but that it did not signal flashing lights until it pulled in behind them in the lane behind their home. Mr. Parker detailed his arrest claiming that he did not ignore the orders of the police officer and did not try to get away. He claimed that he was not advised that he was under arrest or why he was being detained. He claimed that the police officer kicked his legs out from under him and that he suffered injuries while being held on the ground and during his transportation to the station. Mrs. Parker gave similar evidence and claimed that she too was assaulted by an officer. The evidence of the police officers and a witness, Hawes, who had approached the Parkers' vehicle before the officer began to follow, differed substantially from that of the Parkers. The officers and Hawes indicated that Mr. Parker was aggressive and struggled during his arrest. They further indicated that Mr. Parker's injuries were largely self-inflicted as he was banging and rubbing his head on the pavement and banging his head against the side of the police van during transportation to the station. Mr. Parker was on probation and prohibited from driving at the time of the incident. </w:t>
            </w:r>
            <w:r>
              <w:rPr>
                <w:lang w:val="en-US" w:eastAsia="en-US" w:bidi="ar-SA"/>
              </w:rPr>
              <w:cr/>
            </w:r>
          </w:p>
          <w:p>
            <w:pPr>
              <w:spacing w:before="120" w:line="260" w:lineRule="atLeast"/>
              <w:ind w:left="240"/>
              <w:jc w:val="both"/>
              <w:rPr>
                <w:lang w:val="en-US" w:eastAsia="en-US" w:bidi="ar-SA"/>
              </w:rPr>
            </w:pPr>
            <w:bookmarkStart w:id="169" w:name="Holdings of Court_20"/>
            <w:bookmarkEnd w:id="169"/>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credibility of the witnesses was the essential ingredient of the case. Mr. Parker was a good witness with impressive demeanour; however, his evidence conflicted in material respects with that of Hawes and the officers. Hawes' testimony was internally consistent and consistent with the 911 call he made at the time of the incident. His demeanour, frankness and objectivity made his evidence very credible. The police officers' evidence was consistent with that of Hawes and a radio message received during the incident indicated that Mr. Parker was banging his head on the ground and scraping himself. The fact that Mr. Parker was on probation at the time of the incident was consistent with his failure to stop earlier and his aggressive behaviour. The Parkers' testimony lacked logic and credibility. Wherever their evidence conflicted with that of the other witnesses, the evidence of the other witnesses was preferred. The officer had acted within his authority and was authorized to use as much force as was necessary. No determination of damages was made as it was not clear what injuries were caused by the struggle with the officer and Hawes as opposed to those that were self-inflicted. </w:t>
            </w:r>
            <w:r>
              <w:rPr>
                <w:lang w:val="en-US" w:eastAsia="en-US" w:bidi="ar-SA"/>
              </w:rPr>
              <w:cr/>
            </w:r>
          </w:p>
          <w:p>
            <w:pPr>
              <w:rPr>
                <w:lang w:val="en-US" w:eastAsia="en-US" w:bidi="ar-SA"/>
              </w:rPr>
            </w:pPr>
          </w:p>
        </w:tc>
      </w:tr>
    </w:tbl>
    <w:p>
      <w:pPr>
        <w:jc w:val="both"/>
        <w:rPr>
          <w:lang w:val="en-US" w:eastAsia="en-US" w:bidi="ar-SA"/>
        </w:rPr>
      </w:pPr>
      <w:bookmarkStart w:id="170" w:name="Legislation Cited_20"/>
      <w:bookmarkEnd w:id="17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4"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Criminal Code, s. 25.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Motor Vehicle Act, s. 73.</w:t>
      </w:r>
      <w:r>
        <w:rPr>
          <w:lang w:val="en-US" w:eastAsia="en-US" w:bidi="ar-SA"/>
        </w:rPr>
        <w:cr/>
      </w:r>
    </w:p>
    <w:p>
      <w:pPr>
        <w:keepNext/>
        <w:spacing w:before="240" w:line="340" w:lineRule="atLeast"/>
        <w:rPr>
          <w:lang w:val="en-US" w:eastAsia="en-US" w:bidi="ar-SA"/>
        </w:rPr>
      </w:pPr>
      <w:bookmarkStart w:id="171" w:name="Counsel_25"/>
      <w:bookmarkEnd w:id="17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5" style="position:absolute;z-index:2517872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R.P. Campbell, for the plaintiffs. T.M. Zworski, for the defendant</w:t>
      </w:r>
      <w:r>
        <w:rPr>
          <w:lang w:val="en-US" w:eastAsia="en-US" w:bidi="ar-SA"/>
        </w:rPr>
        <w:cr/>
      </w:r>
    </w:p>
    <w:p>
      <w:pPr>
        <w:spacing w:after="240"/>
        <w:rPr>
          <w:lang w:val="en-US" w:eastAsia="en-US" w:bidi="ar-SA"/>
        </w:rPr>
      </w:pPr>
      <w:bookmarkStart w:id="172" w:name="Judgment_25"/>
      <w:bookmarkEnd w:id="172"/>
      <w:r>
        <w:pict>
          <v:line id="_x0000_s1156" style="position:absolute;z-index:2518374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3" w:name="THACKRAY J."/>
            <w:bookmarkEnd w:id="173"/>
            <w:r>
              <w:rPr>
                <w:rFonts w:ascii="arial" w:eastAsia="arial" w:hAnsi="arial" w:cs="arial"/>
                <w:b/>
                <w:color w:val="000000"/>
                <w:sz w:val="30"/>
                <w:lang w:val="en-US" w:eastAsia="en-US" w:bidi="ar-SA"/>
              </w:rPr>
              <w:t>THACKRAY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as a result of alleged injuries suffered in alleged unlawful detentions and assaults by members of the Vancouver Police Department.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ROUTE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Mr. David Parker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Parker testified that he and his wife had been to Spanish Banks on August 16, 1997. They consumed no alcohol. Mr. Parker drove his wife's red Dodge motor vehicle east on 41st Avenue and turned left on Rupert Street. When he was north of 29th Avenue he saw a police vehicle behind. It was not displaying any emergency signals. He continued north on Rupert Street but at no time on Rupert Street did the police vehicle display or sound emergency signals.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Parker turned right on 23rd Avenue, left into a lane and then right into the lane between East 22nd and East 23rd Avenues. Mr. Parker saw the emergency lights on the police vehicle but given that he could not get out of the way to let it pass, he pulled partially off the lane behind the garage of their house at 3363 East 23rd Avenue. Mrs. Parker immediately exited the vehicle and went into the house.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Mrs. Rhoda Parker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Mrs. Parker is a High School teacher. She testified that she and her husband were at the beach where they talked in the car and went for a walk. She recalls going to a store for beer, going to a gas station and phoning her daughter on a cellular phone. She said they travelled on 41st Avenue and then north on Rupert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North of 29th Avenue she saw, through a rear view mirror, a police vehicle. She said that it caused her no concern. In cross-examination she denied seeing any emergency lights on the vehicle. When they were in the lane behind their home she saw the flashing light from the police car.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Mr. T. Hawes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Hawes, an accountant and a reserve officer with the R.C.M.P., worked late at his office on August 16, 1997. He testified that he left his office on Marine Drive at about 6:30 p.m. to drive home to Port Moody. He was "speeding" along Marine Drive. At about Victoria Drive he saw a car behind that was overtaking him at a high speed. It passed him but was going so fast that "it was not prudent for me to keep up." At the traffic light at Kerr Street the car signalled a left turn. Mr. Hawes stopped behind it and turned with it when the light changed.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cars went north on Kerr Street but the plaintiff's car "was going too fast for me to keep up." At either 54th Avenue or 49th Avenue the plaintiff stopped for a red light. Mr. Hawes pulled up alongside. He testified that there was a man and a woman in the car. Through his open window he asked the driver, "how's it going?" The man told him to "fuck off." When the light turned green the plaintiff drove through the intersection and Mr. Hawes followed. Mr. Hawes said that he kept the red vehicle in sight during this whole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cross-examination counsel for the plaintiff suggested to Mr. Hawes that he saw the red car for the first time at a point north of 41st Avenue. Mr. Hawes replied, "You are dead wrong." Counsel then suggested that the plaintiff's car came onto Rupert Street at 41st Avenue. Mr. Hawes replied, "Plain wrong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the exchange of words at either 49th or 54th Avenues, Mr. Hawes dialled 911 on his cellular phone. Mr. Hawes testified that, "by the time I got through I was close to Kingsway." The call was recorded. Relevant parts are as follows:</w:t>
      </w:r>
      <w:r>
        <w:rPr>
          <w:lang w:val="en-US" w:eastAsia="en-US" w:bidi="ar-SA"/>
        </w:rPr>
        <w:cr/>
      </w:r>
    </w:p>
    <w:p>
      <w:pPr>
        <w:spacing w:line="260" w:lineRule="atLeast"/>
        <w:ind w:left="1080"/>
        <w:rPr>
          <w:lang w:val="en-US" w:eastAsia="en-US" w:bidi="ar-SA"/>
        </w:rPr>
      </w:pPr>
      <w:r>
        <w:rPr>
          <w:rFonts w:ascii="arial" w:eastAsia="arial" w:hAnsi="arial" w:cs="arial"/>
          <w:color w:val="000000"/>
          <w:sz w:val="20"/>
          <w:lang w:val="en-US" w:eastAsia="en-US" w:bidi="ar-SA"/>
        </w:rPr>
        <w:t>THE CALLER: I'm following a car here that he's either totally intoxicated or crazy.</w:t>
      </w:r>
    </w:p>
    <w:p>
      <w:pPr>
        <w:spacing w:before="120" w:line="260" w:lineRule="atLeast"/>
        <w:ind w:left="720"/>
        <w:rPr>
          <w:lang w:val="en-US" w:eastAsia="en-US" w:bidi="ar-SA"/>
        </w:rPr>
      </w:pPr>
      <w:r>
        <w:rPr>
          <w:rFonts w:ascii="arial" w:eastAsia="arial" w:hAnsi="arial" w:cs="arial"/>
          <w:color w:val="000000"/>
          <w:sz w:val="20"/>
          <w:lang w:val="en-US" w:eastAsia="en-US" w:bidi="ar-SA"/>
        </w:rPr>
        <w:t>THE CALLER: I'm northbound on Kerr.</w:t>
      </w:r>
    </w:p>
    <w:p>
      <w:pPr>
        <w:spacing w:before="120" w:line="260" w:lineRule="atLeast"/>
        <w:ind w:left="1080"/>
        <w:rPr>
          <w:lang w:val="en-US" w:eastAsia="en-US" w:bidi="ar-SA"/>
        </w:rPr>
      </w:pPr>
      <w:r>
        <w:rPr>
          <w:rFonts w:ascii="arial" w:eastAsia="arial" w:hAnsi="arial" w:cs="arial"/>
          <w:color w:val="000000"/>
          <w:sz w:val="20"/>
          <w:lang w:val="en-US" w:eastAsia="en-US" w:bidi="ar-SA"/>
        </w:rPr>
        <w:t>THE CALLER: I'm just going to be getting up to Kingsway pretty quick here.</w:t>
      </w:r>
    </w:p>
    <w:p>
      <w:pPr>
        <w:spacing w:before="120" w:line="260" w:lineRule="atLeast"/>
        <w:ind w:left="720"/>
        <w:rPr>
          <w:lang w:val="en-US" w:eastAsia="en-US" w:bidi="ar-SA"/>
        </w:rPr>
      </w:pPr>
      <w:r>
        <w:rPr>
          <w:rFonts w:ascii="arial" w:eastAsia="arial" w:hAnsi="arial" w:cs="arial"/>
          <w:color w:val="000000"/>
          <w:sz w:val="20"/>
          <w:lang w:val="en-US" w:eastAsia="en-US" w:bidi="ar-SA"/>
        </w:rPr>
        <w:t>THE OPERATOR: And what's the licence plate?</w:t>
      </w:r>
    </w:p>
    <w:p>
      <w:pPr>
        <w:spacing w:before="120" w:line="260" w:lineRule="atLeast"/>
        <w:ind w:left="720"/>
        <w:rPr>
          <w:lang w:val="en-US" w:eastAsia="en-US" w:bidi="ar-SA"/>
        </w:rPr>
      </w:pPr>
      <w:r>
        <w:rPr>
          <w:rFonts w:ascii="arial" w:eastAsia="arial" w:hAnsi="arial" w:cs="arial"/>
          <w:color w:val="000000"/>
          <w:sz w:val="20"/>
          <w:lang w:val="en-US" w:eastAsia="en-US" w:bidi="ar-SA"/>
        </w:rPr>
        <w:t>THE CALLER: KCC637</w:t>
      </w:r>
    </w:p>
    <w:p>
      <w:pPr>
        <w:spacing w:before="120" w:line="260" w:lineRule="atLeast"/>
        <w:ind w:left="720"/>
        <w:rPr>
          <w:lang w:val="en-US" w:eastAsia="en-US" w:bidi="ar-SA"/>
        </w:rPr>
      </w:pPr>
      <w:r>
        <w:rPr>
          <w:rFonts w:ascii="arial" w:eastAsia="arial" w:hAnsi="arial" w:cs="arial"/>
          <w:color w:val="000000"/>
          <w:sz w:val="20"/>
          <w:lang w:val="en-US" w:eastAsia="en-US" w:bidi="ar-SA"/>
        </w:rPr>
        <w:t>THE CALLER: And he's just turning east on 41st.</w:t>
      </w:r>
    </w:p>
    <w:p>
      <w:pPr>
        <w:spacing w:before="120" w:line="260" w:lineRule="atLeast"/>
        <w:ind w:left="720"/>
        <w:rPr>
          <w:lang w:val="en-US" w:eastAsia="en-US" w:bidi="ar-SA"/>
        </w:rPr>
      </w:pPr>
      <w:r>
        <w:rPr>
          <w:rFonts w:ascii="arial" w:eastAsia="arial" w:hAnsi="arial" w:cs="arial"/>
          <w:color w:val="000000"/>
          <w:sz w:val="20"/>
          <w:lang w:val="en-US" w:eastAsia="en-US" w:bidi="ar-SA"/>
        </w:rPr>
        <w:t>THE OPERATOR: From Kerr?</w:t>
      </w:r>
    </w:p>
    <w:p>
      <w:pPr>
        <w:spacing w:before="120" w:line="260" w:lineRule="atLeast"/>
        <w:ind w:left="720"/>
        <w:rPr>
          <w:lang w:val="en-US" w:eastAsia="en-US" w:bidi="ar-SA"/>
        </w:rPr>
      </w:pPr>
      <w:r>
        <w:rPr>
          <w:rFonts w:ascii="arial" w:eastAsia="arial" w:hAnsi="arial" w:cs="arial"/>
          <w:color w:val="000000"/>
          <w:sz w:val="20"/>
          <w:lang w:val="en-US" w:eastAsia="en-US" w:bidi="ar-SA"/>
        </w:rPr>
        <w:t>THE CALLER: Yeah.</w:t>
      </w:r>
    </w:p>
    <w:p>
      <w:pPr>
        <w:spacing w:before="120" w:line="260" w:lineRule="atLeast"/>
        <w:ind w:left="1080"/>
        <w:rPr>
          <w:lang w:val="en-US" w:eastAsia="en-US" w:bidi="ar-SA"/>
        </w:rPr>
      </w:pPr>
      <w:r>
        <w:rPr>
          <w:rFonts w:ascii="arial" w:eastAsia="arial" w:hAnsi="arial" w:cs="arial"/>
          <w:color w:val="000000"/>
          <w:sz w:val="20"/>
          <w:lang w:val="en-US" w:eastAsia="en-US" w:bidi="ar-SA"/>
        </w:rPr>
        <w:t>THE CALLER: He went straight through the light. Sorry. He's really driving like a real idiot.</w:t>
      </w:r>
    </w:p>
    <w:p>
      <w:pPr>
        <w:spacing w:before="120" w:line="260" w:lineRule="atLeast"/>
        <w:ind w:left="720"/>
        <w:rPr>
          <w:lang w:val="en-US" w:eastAsia="en-US" w:bidi="ar-SA"/>
        </w:rPr>
      </w:pPr>
      <w:r>
        <w:rPr>
          <w:rFonts w:ascii="arial" w:eastAsia="arial" w:hAnsi="arial" w:cs="arial"/>
          <w:color w:val="000000"/>
          <w:sz w:val="20"/>
          <w:lang w:val="en-US" w:eastAsia="en-US" w:bidi="ar-SA"/>
        </w:rPr>
        <w:t>THE OPERATOR: Is it a red Dodge?</w:t>
      </w:r>
    </w:p>
    <w:p>
      <w:pPr>
        <w:spacing w:before="120" w:line="260" w:lineRule="atLeast"/>
        <w:ind w:left="720"/>
        <w:rPr>
          <w:lang w:val="en-US" w:eastAsia="en-US" w:bidi="ar-SA"/>
        </w:rPr>
      </w:pPr>
      <w:r>
        <w:rPr>
          <w:rFonts w:ascii="arial" w:eastAsia="arial" w:hAnsi="arial" w:cs="arial"/>
          <w:color w:val="000000"/>
          <w:sz w:val="20"/>
          <w:lang w:val="en-US" w:eastAsia="en-US" w:bidi="ar-SA"/>
        </w:rPr>
        <w:t>THE CALLER: Yeah.</w:t>
      </w:r>
    </w:p>
    <w:p>
      <w:pPr>
        <w:spacing w:before="120" w:line="260" w:lineRule="atLeast"/>
        <w:ind w:left="1080"/>
        <w:rPr>
          <w:lang w:val="en-US" w:eastAsia="en-US" w:bidi="ar-SA"/>
        </w:rPr>
      </w:pPr>
      <w:r>
        <w:rPr>
          <w:rFonts w:ascii="arial" w:eastAsia="arial" w:hAnsi="arial" w:cs="arial"/>
          <w:color w:val="000000"/>
          <w:sz w:val="20"/>
          <w:lang w:val="en-US" w:eastAsia="en-US" w:bidi="ar-SA"/>
        </w:rPr>
        <w:t>THE CALLER: ... we're still northbound now. He went through the light, and he had his signal on there but he went through the lights, straight ahead.</w:t>
      </w:r>
    </w:p>
    <w:p>
      <w:pPr>
        <w:spacing w:before="120" w:line="260" w:lineRule="atLeast"/>
        <w:ind w:left="720"/>
        <w:rPr>
          <w:lang w:val="en-US" w:eastAsia="en-US" w:bidi="ar-SA"/>
        </w:rPr>
      </w:pPr>
      <w:r>
        <w:rPr>
          <w:rFonts w:ascii="arial" w:eastAsia="arial" w:hAnsi="arial" w:cs="arial"/>
          <w:color w:val="000000"/>
          <w:sz w:val="20"/>
          <w:lang w:val="en-US" w:eastAsia="en-US" w:bidi="ar-SA"/>
        </w:rPr>
        <w:t>THE CALLER: We're at Kingsway now.</w:t>
      </w:r>
    </w:p>
    <w:p>
      <w:pPr>
        <w:spacing w:before="120" w:line="260" w:lineRule="atLeast"/>
        <w:ind w:left="1080"/>
        <w:rPr>
          <w:lang w:val="en-US" w:eastAsia="en-US" w:bidi="ar-SA"/>
        </w:rPr>
      </w:pPr>
      <w:r>
        <w:rPr>
          <w:rFonts w:ascii="arial" w:eastAsia="arial" w:hAnsi="arial" w:cs="arial"/>
          <w:color w:val="000000"/>
          <w:sz w:val="20"/>
          <w:lang w:val="en-US" w:eastAsia="en-US" w:bidi="ar-SA"/>
        </w:rPr>
        <w:t>THE CALLER: ... We just passed Kingsway. We're going northbound still. We're on Rupert actually. It turned into Rupert.</w:t>
      </w:r>
    </w:p>
    <w:p>
      <w:pPr>
        <w:spacing w:before="120" w:line="260" w:lineRule="atLeast"/>
        <w:ind w:left="1080"/>
        <w:rPr>
          <w:lang w:val="en-US" w:eastAsia="en-US" w:bidi="ar-SA"/>
        </w:rPr>
      </w:pPr>
      <w:r>
        <w:rPr>
          <w:rFonts w:ascii="arial" w:eastAsia="arial" w:hAnsi="arial" w:cs="arial"/>
          <w:color w:val="000000"/>
          <w:sz w:val="20"/>
          <w:lang w:val="en-US" w:eastAsia="en-US" w:bidi="ar-SA"/>
        </w:rPr>
        <w:t>THE CALLER: ... there's a police vehicle straight ahead here, a paddy wagon ...</w:t>
      </w:r>
    </w:p>
    <w:p>
      <w:pPr>
        <w:spacing w:before="120" w:line="260" w:lineRule="atLeast"/>
        <w:ind w:left="720"/>
        <w:rPr>
          <w:lang w:val="en-US" w:eastAsia="en-US" w:bidi="ar-SA"/>
        </w:rPr>
      </w:pPr>
      <w:r>
        <w:rPr>
          <w:rFonts w:ascii="arial" w:eastAsia="arial" w:hAnsi="arial" w:cs="arial"/>
          <w:color w:val="000000"/>
          <w:sz w:val="20"/>
          <w:lang w:val="en-US" w:eastAsia="en-US" w:bidi="ar-SA"/>
        </w:rPr>
        <w:t>THE CALLER: That red Dodge, the guy's pissed.</w:t>
      </w:r>
    </w:p>
    <w:p>
      <w:pPr>
        <w:spacing w:before="120" w:line="260" w:lineRule="atLeast"/>
        <w:ind w:left="720"/>
        <w:rPr>
          <w:lang w:val="en-US" w:eastAsia="en-US" w:bidi="ar-SA"/>
        </w:rPr>
      </w:pPr>
      <w:r>
        <w:rPr>
          <w:rFonts w:ascii="arial" w:eastAsia="arial" w:hAnsi="arial" w:cs="arial"/>
          <w:color w:val="000000"/>
          <w:sz w:val="20"/>
          <w:lang w:val="en-US" w:eastAsia="en-US" w:bidi="ar-SA"/>
        </w:rPr>
        <w:t>THE CALLER: ... there's a female passenger.</w:t>
      </w:r>
    </w:p>
    <w:p>
      <w:pPr>
        <w:spacing w:before="120" w:line="260" w:lineRule="atLeast"/>
        <w:ind w:left="720"/>
        <w:rPr>
          <w:lang w:val="en-US" w:eastAsia="en-US" w:bidi="ar-SA"/>
        </w:rPr>
      </w:pPr>
      <w:r>
        <w:rPr>
          <w:rFonts w:ascii="arial" w:eastAsia="arial" w:hAnsi="arial" w:cs="arial"/>
          <w:color w:val="000000"/>
          <w:sz w:val="20"/>
          <w:lang w:val="en-US" w:eastAsia="en-US" w:bidi="ar-SA"/>
        </w:rPr>
        <w:t>THE CALLER: This member here is going to pull him 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Hawes testified that north of Kingsway he saw a police paddy wagon in a lane to his right. He shouted to it through his open window. The police vehicle pulled onto Rupert Street in front of him and behind the red car "just north of Kingsway on Rupert. The police vehicle had its emergency lights flashing but the red car did not stop." Plaintiff's counsel suggested to Mr. Hawes that it was sometime later, in an alley, that the emergency lights were first activated. Mr. Hawes replied, "Absolutely false."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Hawes said that the red car was "going at an ordinary speed" on Rupert Street when it was being followed by the police vehicle. The procession "made many turns" and eventually the plaintiff pulled into a spot adjacent to a garage. The female went into the house.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Police Constable Picard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Police Constable Picard was the sole occupant of the police paddy wagon. He was on Queen Street facing west when a motorist who was proceeding north on Rupert Street gained his attention. The motorist was using a cellular phone but there was an exchange of words between Mr. Hawes and Constable Picard. Mr. Hawes said that he had been following a red car since Victoria Drive and Marine Drive, that the car was being driven erratically, that it went through stop signs and red lights and that it was all over the road. Mr. Hawes pointed north to a red car at approximately 29th Avenue and identified it as the car he had been following.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Constable Picard informed the dispatcher that he would deal with the call. He pulled his vehicle onto Rupert Street. He closed the distance between his vehicle and the red car and "caught up about 25th" and activated the emergency lights and siren. There were no vehicles between the police van and the red car. The emergency signals remained on but the red car did not stop. Rather, it turned east on 23rd Avenue and then made an immediate turn to the left into a lane. It then made a right turn. Constable Picard said that he expected the vehicle to pull over but when it made "several turns" he thought it was trying to evade him or that the driver was going to "dump"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Constable Picard agreed with the plaintiffs' evidence that their car was brought to a stop at about a 45 degree angle behind a garage. A female immediately jumped out and went towards the house.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EVENTS AT THE SCENE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Mr. Parker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Parker testified that when he pulled up he thought that the police wanted to pass his vehicle. When his wife got out of the car he did likewise. A policeman yelled at him to "get out, turn around and put your hands on the car." According to Mr. Parker, he was immediately handcuffed, his legs were kicked out from under him and he fell onto the pavement.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Parker testified that at no time did he ignore the orders of the police officer, at no time was he tapped on the arm by the police officer and at no time did he say "don't touch me." Mr. Parker said he was not asked to identify himself, not told he was under arrest and was not Chartered. Mr. Parker denied the police officer told him about a potential impaired driving charge and said "at no time" did he try to get away. He denied that while on the ground he mentioned police brutality and that he would 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Parker testified that his wife came out through the gate and hollered at the police, asking what Mr. Parker had done. The police and Mrs. Parker then engaged in a shouting match. Mr. Parker then saw his wife's "feet leave the ground" and he heard something hit the garage door. Then a female police officer put a knee into the middle of his back. He stated that he tried again to get up but "they kept pushing me down" and cut his head. He said that a man, not the police officer, had a foot on his neck. In cross-examination Mr. Parker denied he intentionally rubbed his head on the asphalt.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Parker said he was then picked up and "thrown" into the paddy wagon and driven to the police station. He said he was on the floor and when the vehicle went quickly around corners he was thrown about and injured. Mr. Parker denied he banged his head on the floor of the paddy wagon to injure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was taken to the police station and put into a cement room. He testified that no one spoke to him. When he was released the next morning "no one had said anything to me." He denied that at the police station he tried to bang his head on the wall.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Mrs. Parker and Ms. Navana Parker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Parker testified that after exiting the car she immediately went to the bathroom in the house. From there she heard shouting from the lane so she called to her daughter to find out what was going on. She said she followed her daughter out of the house and went to the back gate. In her examination for discovery she deposed that she "got out" of the car, went into the house "and told the kids that the police were out the back and I quickly ran to the bathroom." She testified in cross-examination that her trial evidence is the correct sequence of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Navana Parker testified that she was watching television when her mother entered the house. She was in the living room at the front of the house. In her examination for discovery she said her mother "came through the back door, through the house, into the living room" and told Navana and her brother that "there was some cops out in the alley." Thereupon Navana and her brother "walked to the back to the gate and then we were just watching."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lane she asked a police officer what was going on. He started shouting at her and told her to stand aside. He then went to the plaintiffs' car and Mrs. Parker asked him what he was doing as she leaned on the car door. The constable squeezed her throat and pushed upwards forcing Mrs. Parker to her toes. He then threw her against the garage door.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Parker informed the Court that she fell onto the hood of the car, face down with the policeman's elbow in her neck. He pulled her left arm backwards and pulled it up. Mrs. Parker heard a "pop". She was then handcuffed. Mrs. Parker testified that she asked many times why they were being detained but did not receive any answer. She therefore asked her daughter to get a clipboard and write down what was happening. Ms. Navana Parker testified that neither her mother or her dad told her to get paper.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Mrs. Parker denied she approached a police officer and yelled at him and pushed on his chest. She said she did not touch him. She said the officer did not push her away and put her over the hood of the car. She said the officer threw her against the garage door, grabbed her by the throat with one hand and lifted her off the ground. She testified she did not yell at a female police officer and no one told her that she was obstructing a police officer in the execution of his or her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Parker observed an officer pulling on her husband's shirt. He was "dragging" Mr. Parker. She asked where they were taking him but received no reply. She asked what he was charged with but again received no information. She wanted to put her car in the garage but an officer told her that she had been drinking. Her handcuffs were removed and when everyone left she put the car away.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Mr. Hawes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Hawes testified that when the red car stopped both occupants emerged and the female went into the house. He said that the constable was yelling at the man but the man "seemed totally oblivious ... he did not seem to respond." The constable then shouted, "hey, I'm talking to you." The constable went over to Mr. Parker and "either slapped or grabbed his upper arm." Mr. Hawes said the man "still seemed not cognizant of what was happening." He added that Mr. Parker "did not even respond to the physical touch of the officer."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man finally turned and an altercation took place. When the man refused to obey the request of the officer or even acknowledge his presence, the police officer said something like "turn around." The officer "grabbed" the man's arm to handcuff him but the man became aggressive. He was struggling to break free. Mr. Hawes noted that the man was large compared to the officer and Mr. Hawes had the impression that the officer was not able to gain control of Mr. Parker. Mr. Hawes therefore came to his assistance. However, they had difficulty getting Mr. Parker to the ground. He said "it took a tremendous effort." They "finally" got Mr. Parker down. He noticed Mr. Parker's shirt was ripped and he had cuts on his forehead, knees and legs.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Hawes saw a woman come out "with a child." He said Mr. Parker was yelling at the child to make notes and Mrs. Parker was "being verbally abusive." He said she "got into the officer's face" and she pushed on his chest. In cross-examination Mr. Hawes said Mrs. Parker was "in the constable's face and pushing him." Mr. Hawes was trying to keep Mr. Parker on the ground but "without much success." Mr. Parker sustained more cuts during this struggle.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Hawes testified that the constable grabbed Mrs. Parker by the throat and put her against the garage door. He told her not to go to her husband. Subsequently, he held her face down on the hood of the car. In that Mr. Hawes was not able to control Mr. Parker, he told the police officer they should trade places. They did so and the officer had similar trouble controlling Mr. Parker.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Parker kept screaming and trying to kick Mr. Hawes between the legs. He told her that if she connected she "would pay." She stopped kicking.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Hawes heard the officer radio for help. "Finally, three or four police officers arrived." Mr. Parker walked to the police vehicle "under his own steam."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Vancouver City Police Constable Picard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Constable Picard testified that he stopped about two car lengths behind the plaintiffs' vehicle. He emerged and Mr. Parker began to do the same. The constable called to Mr. Parker but Mr. Parker made a turn "as though he was going to go south." The constable said "police" and told Mr. Parker to "hold on." This was to "no effect." When the constable came within an arm's length of Mr. Parker he reached and touched Mr. Parker. Mr. Parker "seemed to recognize my presence." He muttered "get your hands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Constable Picard asked Mr. Parker if he had seen the police motor vehicle. There was no response. Mr. Parker was getting more agitated. The constable told him he was under investigation for impaired driving. His agitation increased and he took a "fighter stance". Constable Picard said that Mr. Parker's stance, the look in his eyes and the tension in his jaw, led him to recognize Mr. Parker as an "assault accused." I took this to mean that the constable anticipated resistance.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Constable Picard decided to get "hands on." He ordered Mr. Parker to put his hands behind his back. The constable held one of his arms, Mr. Hawes "jumped in" and they pushed him against his motor vehicle. Mr. Parker was handcuffed. Mr. Parker's "walking" could not be controlled so the constable decided to put him down. He felled him with a leg sweep. He and Mr. Hawes held him down and in about two minutes Mr. Parker settled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Constable Picard, Mrs. Parker was hysterical and demanded to know what he was doing. She said she would call her lawyer. She "ranted and tried to poke at me." Then she was pointing and poking at his chest. In cross-examination the constable testified that Mrs. Parker pushed at him and "made contact."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Constable Picard said she gave him no opportunity to reply to her questions. He told her to get back but it "fell on deaf ears." He therefore physically moved her. Her response was to charge, swinging and flailing her arms. The constable grabbed her by the neck and pushed her back to the garage. He then put her over the hood of the motor vehicle with one arm behind her back. She continued to struggle and tried to kick the officer in the groin. When other officers arrived she was handcuffed.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the constable got the information about the probation order he decided to arrest Mr. Parker for a breach of probation. He advised him of his Charter rights and gave him the police warning. Mr. Parker "did not seem to want to acknowledge them." He rubbed and banged his head on the asphalt. Constable Picard walked Mr. Parker to the paddy wagon. Inside he "banged his head about." At the police station he attempted to bang his head on a cement wall. The constable said the abrasion to Mr. Parker's head was from rubbing his head on the asphalt.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Police Constable Duggan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Constable Duggan located Constable Picard in the lane. He had a civilian male with him and he had a female over the hood of a car. Constable Duggan said that he took the female away and positioned himself to render assistance if needed. He heard loud banging from the driver's side of the motor vehicle. He testified Mr. Parker was on his stomach banging his head on the vehicle and scraping his face on the asphalt. He said that at that moment no one was restraining Mr. Parker so he asked him what he was doing. Constable Duggan "was puzzled why he was inflicting injuries on himself."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Police Constable Mah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Constable Mah arrived at the scene when Constable Picard was dealing with Mr. Parker and Mr. Hawes was dealing with Mrs. Parker. Constable Mah handcuffed Mrs. Parker and led her away. Mrs. Parker was shouting and calling to her daughter to come out and witness what was going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Mr. Parker was in the paddy wagon he was "creating quite a commotion." This caused Mrs. Parker to be more agitated. She was given a full explanation as to why Mr. Parker was in the wagon and she calmed down and her handcuffs were removed. Constable Mah testified that it was after Mr. Parker was in the police vehicle that she explained the CPIC information to Constable Picard.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response to a question in cross-examination, Constable Mah said that she smelled alcohol on Mrs. Parker's breath. The constable's notes recorded, "slight smell of alcohol on breath at close range."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agreed that credibility is an essential ingredient in this case. In particular, the credibility of Constable Picard and of Mr. and Mrs. Parker.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Parker's credibility was put to the most severe test. He was a good witness and nothing in his demeanour diminished his credibility. In Faryna v. Chorny, </w:t>
      </w:r>
      <w:hyperlink r:id="rId39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it is said that a judge should not be overcome by the "personal demeanour of the particular witness" but rather should specify the "evidence of the witness he believes is in accordance with the preponderance of probabilities in the case." This is particularly applicable in the case at bar. There are several matters in the evidence that detract from Mr. Parker's impressive demeanour in the stand.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Parker testified he was never on Kerr Street but rather travelled east on 41st Avenue and turned north on Rupert Street. The sequence of the information conveyed in the 911 call and the location of the streets are important in this regard. The vehicles were northbound on Kerr Street. Mr. Hawes relayed the licence number of the red Dodge. That licence number has been identified in the evidence as the correct number for the plaintiffs'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doing so Mr. Hawes told the operator that the car was "turning east on 41st". Then the Dodge went through the light at 41st in spite of having had his signal on and it continued north before crossing Kingsway. Kingsway is north of 41st Avenue. This means that the plaintiffs did not travel along 41st Avenue to Rupert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Mr. Hawes testimony to be internally consistent and consistent with the information he relayed in the 911 call. It is also consistent with the testimony of Constable Picard. Mr. Hawes' demeanour, his frankness and his objectivity were impressive. I find his evidence credible.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conclude that Mr. Parker travelled the route detailed by Mr. Hawes. This rebuts Mr. Parker's contention that he was never on Kerr Street. It also puts into grave doubt his denial that he was never approached by anyone while driving on Kerr Street. The evidence of Mr. Hawes satisfies me that he did come alongside the plaintiffs' vehicle and speak to the occupants. The reply that came back suggests that Mr. Parker knew that his driving was being questioned.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However, these matters do not stand alone. Mr. Parker testified that he did not hear any siren or see any emergency lights on the police vehicle while travelling on Rupert Street. I am satisfied that at least the emergency lights were operating. In my opinion the likely reason that Mr. Parker was so acutely aware of the police vehicle was that it brought itself to his attention by its emergency signals.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Computer Aided Dispatch record is an accurate record of the chronology of events. It records that at 7:59 p.m. "male is banging his head on the ground and scraping himself/not sure why." This was a radio message from a police unit of Constables Bell and Wardrop. It is a contemporaneous record of observations of a police officer and was admitted in evidence within the "common book of documents." It seriously undermines Mr. Parker's evidence that his injuries were caused by the actions of Constable Picard and Mr. Hawes.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June 19, 1997, Mr. Parker was convicted of obstructing a police officer in Duncan. He was fined $200 and put under a driving suspension for three months. Mr. Parker testified that he had phoned his probation officer who said he was "finished" and did not have to check with him any longer. Mr. Parker was vague as to who he phoned regarding his probation and what he was told. However, when pressed in cross-examination, he agreed that at the time of this incident he was still on probation. Thus he was still prohibited from driving on the date of the incident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 Dreiger, a probation officer, testified he reviewed the probation order with Mr. Parker. He further testified he did not give Mr. Parker permission to drive. Mr. Dreiger denied he conveyed to Mr. Parker any suggestion that he could drive. That was certainly the impression Mr. Parker was trying to convey to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Parker also testified, when asked to agree that his conviction was for obstructing a police officer, that he could not recall what it was for. It is difficult to accept that Mr. Parker is telling the truth. It is inconceivable that he does not remember the incident, the charge, or his plea of guilty to obstructing a police officer.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testimony of Constable Picard and Mr. Hawes was consistent one with the other and with the evidence of the other constables. It conflicted in important points only with the evidence of the plaintiffs. Where the evidence of the plaintiffs conflicts with that of other witnesses, I accept the evidence of the other witnesses. The testimony of all witnesses in the case was preferable to that of the adult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However, it is not only the credibility of those persons that dictates that conclusion. The testimony of the plaintiffs was undermined by its lack of logic. There was no reason for Mr. Parker to ignore the police vehicle other than his own knowledge that he was under a driving suspension. He knew the potential consequences of a breach from what he had been told by Mr. Dreiger.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Furthermore, to accept that his aggressive behaviour was in response to the actions of the police constable would mean an acceptance that there was no reason for the constable's actions. This is not logical nor does is square with the majority of the evidence in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testimony of Mrs. Parker was weakened by the evidence of her daughter and by a lack of logic. Mrs. Parker did not, according to her daughter and according to her own discovery evidence, proceed directly to the bathroom upon entering the house. Rather, she informed her children that the police were in the lane. This would be the logical chronology only if Mrs. Parker knew the police had stopped in the lane and that, in some way, her husband was involved with them. It would not be the chronology if Mrs. Parker thought the police simply wanted to pass the plaintiffs'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This weakened the credibility of Mrs. Parker, as did the solicitation, by her own counsel, that she had a smell of alcohol on her breath.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Section 73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provides that a peace officer may require the driver of a vehicle to stop and that a driver when signalled to stop by an officer must immediately come to a safe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Parker was so signalled and failed to obey.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Section 25 of the Criminal Code, </w:t>
      </w:r>
      <w:hyperlink r:id="rId400"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provides that every peace officer is, if he acts on reasonable grounds, justified in doing what he is required to do and in using as much force as is necessary for that purpose.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of the opinion that Constable Picard was acting within his authority when he signalled Mr. Parker to stop his motor vehicle. I am also of the opinion that in carrying out his duties to investigate Mr. Parker for impaired driving he was authorized to use as much force as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carrying out those duties and responsibilities detention was the only course open to Constable Picard. In effecting the detention Constable Picard used no more force than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coming to that conclusion I did not take into account any of the opinions of Sgt. F. Querido. Sgt. Querido prepared a report detailing the force options available to Constable Picard. That portion of the report is admissible. However, the portion of his report entitled "Application of Theory to Facts" is not admissible. Unfortunately, it became an exhibit through its inclusion in a "common book of documents". This portion does not meet evidentiary rules of admissibility. The information relied upon was taken from examinations for discovery that did not become trial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Even if I held that this was not a fatal defect, I find that the report inadequately identified the source of what Sgt. Querido defined as "facts." Both counsel should have been alert to the possibility that this report might not meet the necessary standard to be admissible. Such reports should not be included in a "common book of documents." The Court, as well, should have reviewed the contents of the book and searched out from counsel the grounds upon which the report was being admitted.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will not make any determination of the damages should judgment have found liability. It is not clear what injuries were suffered as a result of the scuffles and, in the case of Mr. Parker, what injuries were self-inflicted.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case of the plaintiff, Navana Parker, causation is a major issue. It is arguable whether much of her present reclusive condition has anything to do with the incident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the damages claimed arise from alleged unlawful detention and assaults, and in that credibility is a major issue, I am of the opinion that it would be inappropriate for me to suggest the awards that would flow assuming a different decision on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action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THACKRAY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Patenaude v. Kamloops/Thompson School District No. 73, [2003] B.C.J. No. 3114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Brown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September 16, 2003.</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33206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3114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1984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130 A.C.W.S. (3d) 428</w:t>
      </w:r>
    </w:p>
    <w:p>
      <w:pPr>
        <w:spacing w:before="120" w:line="260" w:lineRule="atLeast"/>
        <w:rPr>
          <w:lang w:val="en-US" w:eastAsia="en-US" w:bidi="ar-SA"/>
        </w:rPr>
      </w:pPr>
      <w:r>
        <w:rPr>
          <w:rFonts w:ascii="arial" w:eastAsia="arial" w:hAnsi="arial" w:cs="arial"/>
          <w:color w:val="000000"/>
          <w:sz w:val="20"/>
          <w:lang w:val="en-US" w:eastAsia="en-US" w:bidi="ar-SA"/>
        </w:rPr>
        <w:t>Between Janice Patenaude, plaintiff, and The Board of School Trustees, School District No. 73 (Kamloops/Thompson),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8" style="position:absolute;z-index:2516858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4" w:name="Keywords_25"/>
      <w:bookmarkEnd w:id="174"/>
      <w:r>
        <w:rPr>
          <w:rFonts w:ascii="arial" w:eastAsia="arial" w:hAnsi="arial" w:cs="arial"/>
          <w:b/>
          <w:color w:val="000000"/>
          <w:sz w:val="20"/>
          <w:lang w:val="en-US" w:eastAsia="en-US" w:bidi="ar-SA"/>
        </w:rPr>
        <w:t>Tort law — Occupier's liability — Duty of occupier.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5" w:name="Case Summary_22"/>
            <w:bookmarkEnd w:id="17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Kamloops/Thompson School District No. 73 for summary judgment. Patenaude brought an action for damages suffered when she fell in the school yard of Parkcrest Elementary School. Patenaude claimed that the School District breached its obligations under the Occupier's Liability Act. </w:t>
            </w:r>
            <w:r>
              <w:rPr>
                <w:lang w:val="en-US" w:eastAsia="en-US" w:bidi="ar-SA"/>
              </w:rPr>
              <w:cr/>
            </w:r>
          </w:p>
          <w:p>
            <w:pPr>
              <w:spacing w:before="120" w:line="260" w:lineRule="atLeast"/>
              <w:ind w:left="240"/>
              <w:jc w:val="both"/>
              <w:rPr>
                <w:lang w:val="en-US" w:eastAsia="en-US" w:bidi="ar-SA"/>
              </w:rPr>
            </w:pPr>
            <w:bookmarkStart w:id="176" w:name="Holdings of Court_21"/>
            <w:bookmarkEnd w:id="176"/>
            <w:r>
              <w:rPr>
                <w:rFonts w:ascii="arial" w:eastAsia="arial" w:hAnsi="arial" w:cs="arial"/>
                <w:color w:val="000000"/>
                <w:sz w:val="20"/>
                <w:lang w:val="en-US" w:eastAsia="en-US" w:bidi="ar-SA"/>
              </w:rPr>
              <w:t>HELD: Application granted.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School District was an occupier under the Occupier's Liability Act, but it had taken reasonable steps to ensure that pedestrians entering the school could do so safely. The School District was not required to remove every possibility of danger and Patenaude accepted the risks involved in walking in the school yard. </w:t>
            </w:r>
            <w:r>
              <w:rPr>
                <w:lang w:val="en-US" w:eastAsia="en-US" w:bidi="ar-SA"/>
              </w:rPr>
              <w:cr/>
            </w:r>
          </w:p>
          <w:p>
            <w:pPr>
              <w:rPr>
                <w:lang w:val="en-US" w:eastAsia="en-US" w:bidi="ar-SA"/>
              </w:rPr>
            </w:pPr>
          </w:p>
        </w:tc>
      </w:tr>
    </w:tbl>
    <w:p>
      <w:pPr>
        <w:jc w:val="both"/>
        <w:rPr>
          <w:lang w:val="en-US" w:eastAsia="en-US" w:bidi="ar-SA"/>
        </w:rPr>
      </w:pPr>
      <w:bookmarkStart w:id="177" w:name="Legislation Cited_21"/>
      <w:bookmarkEnd w:id="17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9" style="position:absolute;z-index:2517370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Occupier's Liability Act, R.S.B.C. 1996.</w:t>
      </w:r>
      <w:r>
        <w:rPr>
          <w:lang w:val="en-US" w:eastAsia="en-US" w:bidi="ar-SA"/>
        </w:rPr>
        <w:cr/>
      </w:r>
    </w:p>
    <w:p>
      <w:pPr>
        <w:keepNext/>
        <w:spacing w:before="240" w:line="340" w:lineRule="atLeast"/>
        <w:rPr>
          <w:lang w:val="en-US" w:eastAsia="en-US" w:bidi="ar-SA"/>
        </w:rPr>
      </w:pPr>
      <w:bookmarkStart w:id="178" w:name="Counsel_26"/>
      <w:bookmarkEnd w:id="17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0" style="position:absolute;z-index:2517882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F. Proctor, agent for F.R. Scordo, for the plaintiff. J.D. Cotter, for the defendant.</w:t>
      </w:r>
      <w:r>
        <w:rPr>
          <w:lang w:val="en-US" w:eastAsia="en-US" w:bidi="ar-SA"/>
        </w:rPr>
        <w:cr/>
      </w:r>
    </w:p>
    <w:p>
      <w:pPr>
        <w:spacing w:after="240"/>
        <w:rPr>
          <w:lang w:val="en-US" w:eastAsia="en-US" w:bidi="ar-SA"/>
        </w:rPr>
      </w:pPr>
      <w:bookmarkStart w:id="179" w:name="Judgment_26"/>
      <w:bookmarkEnd w:id="179"/>
      <w:r>
        <w:pict>
          <v:line id="_x0000_s1161" style="position:absolute;z-index:25183846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0" w:name="BROWN J. (orally)"/>
            <w:bookmarkEnd w:id="180"/>
            <w:r>
              <w:rPr>
                <w:rFonts w:ascii="arial" w:eastAsia="arial" w:hAnsi="arial" w:cs="arial"/>
                <w:b/>
                <w:color w:val="000000"/>
                <w:sz w:val="30"/>
                <w:lang w:val="en-US" w:eastAsia="en-US" w:bidi="ar-SA"/>
              </w:rPr>
              <w:t>BROWN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the afternoon of January 8th, 2001, the plaintiff fell in the school yard of Parkcrest Elementary School. She injured her leg. She claims against the School District for breach of its obligations pursuant to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applies for dismissal of the action pursuant to Rule 18A. I have concluded that the action should be dismissed, that the school district has taken the care that is reasonable in the circumstances of this case to see that a person entering its premises would be reasonably safe.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Patenaude fell on the school yard at Parkcrest Elementary School in the afternoon of January 8th, 2001. She went to the school to meet her children. She approached the school by crossing a vacant lot, then entering the school yard through an opening in the chain link fence which surrounds the school yard. She made a few steps into the yard, then slipped on grass, snow or ice. She injured her leg in the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school yard at Parkcrest is surrounded by a chain link fence. There are many openings in the fence to allow access to and from the school yard. Mrs. Patenaude lives on Chateau Street which forms one of the boundaries of the school yard. Her house backs onto the school yard. Her back yard has a gate through the chain link fence into the school yard, as do many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was not in the habit of approaching the school through her gate, preferring to walk down Chateau Street toward the intersection with Parkcrest which runs along the front of the school. Mrs. Patenaude would stop before she reached Parkcrest, cut through an empty lot and into the school yard. It took her approximately three minutes to reach the school from her home following this route. If she continued to the corner of Parkcrest and Chateau, entered the school along a concrete walkway, it would take twenty seconds longer.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had been using this route as her usual route for some four to five years. She was aware that the empty lot was not maintained, and that the school yard was not shovelled, salted or sanded.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8th, 2001, there was some snow and ice on the ground with patches of grass showing. Mrs. Patenaude cannot say what she slipped on. She believes it to be ice or snow. She acknowledged that it could have been grass. For the purposes of this application, I will assume that she slipped on ice, packed snow or icy grass.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SUITABILITY FOR 18A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 says that it is not liable, that liability can be determined readily without the time and expense of a full trial. The plaintiff says that her injuries are serious, her claim significant. She says that there are issues of credibility,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says that the matter should be decided after a full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have concluded that it is appropriate to deal with this matter by way of Rule 18A. There is little conflict in the affidavits on the liability issue. I am able to find the facts necessary to decide the issue. I have concluded that it is not unjust to decide the matter by way of Rule 18A, and that it would not be appropriate to put the parties to the expense of a full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is no issue in this case that the School District is an occupier within the Act. The relevant law is summarized by Madam Justice Sinclair Prowse in Thuveson v. Robert Ash and Associates </w:t>
      </w:r>
      <w:hyperlink r:id="rId408" w:history="1">
        <w:r>
          <w:rPr>
            <w:rFonts w:ascii="arial" w:eastAsia="arial" w:hAnsi="arial" w:cs="arial"/>
            <w:i/>
            <w:color w:val="0077CC"/>
            <w:sz w:val="20"/>
            <w:u w:val="single"/>
            <w:shd w:val="clear" w:color="auto" w:fill="FFFFFF"/>
            <w:lang w:val="en-US" w:eastAsia="en-US" w:bidi="ar-SA"/>
          </w:rPr>
          <w:t>[1997] B.C.J. No. 1177</w:t>
        </w:r>
      </w:hyperlink>
      <w:r>
        <w:rPr>
          <w:rFonts w:ascii="arial" w:eastAsia="arial" w:hAnsi="arial" w:cs="arial"/>
          <w:color w:val="000000"/>
          <w:sz w:val="20"/>
          <w:lang w:val="en-US" w:eastAsia="en-US" w:bidi="ar-SA"/>
        </w:rPr>
        <w:t>, at paragraphs 4 to 6, where she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Pursuant to s. 3(1) and s. 6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(formerly R.S.B.C. 1979, c. 303), the defendant owed a duty to the plaintiff to take whatever steps were reasonable in the circumstances to ensure that she was reasonably safe when using the premises. This duty of care extends to the condition of the premises, the activities for which the premises were used, and the conduct of third parties on the premises (see s. 3(2) of the Act).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There is no dispute that the onus is on the plaintiff to prove on the balance of probabilities that the defendant breached this duty of care (Kayser v. Park Royal Shopping Centre, </w:t>
      </w:r>
      <w:hyperlink r:id="rId409" w:history="1">
        <w:r>
          <w:rPr>
            <w:rFonts w:ascii="arial" w:eastAsia="arial" w:hAnsi="arial" w:cs="arial"/>
            <w:i/>
            <w:color w:val="0077CC"/>
            <w:sz w:val="20"/>
            <w:u w:val="single"/>
            <w:shd w:val="clear" w:color="auto" w:fill="FFFFFF"/>
            <w:lang w:val="en-US" w:eastAsia="en-US" w:bidi="ar-SA"/>
          </w:rPr>
          <w:t>[1995] B.C.J. No. 2718</w:t>
        </w:r>
      </w:hyperlink>
      <w:r>
        <w:rPr>
          <w:rFonts w:ascii="arial" w:eastAsia="arial" w:hAnsi="arial" w:cs="arial"/>
          <w:color w:val="000000"/>
          <w:sz w:val="20"/>
          <w:lang w:val="en-US" w:eastAsia="en-US" w:bidi="ar-SA"/>
        </w:rPr>
        <w:t xml:space="preserve">, [1996] B.C.W.L.D. 307 (C.A.)). As the fact that she was injured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be able to point to some act or failure to act on the part of the defendant which resulted in her injury (Bauman v. Stein </w:t>
      </w:r>
      <w:hyperlink r:id="rId410"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 this act or failure to act being a breach of the defendant's positive duty to take reasonable care to ensure that the plaintiff was reasonably safe while she was using the premises (Malcolm v. Waldick,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Bains v. Hill </w:t>
      </w:r>
      <w:hyperlink r:id="rId411" w:history="1">
        <w:r>
          <w:rPr>
            <w:rFonts w:ascii="arial" w:eastAsia="arial" w:hAnsi="arial" w:cs="arial"/>
            <w:i/>
            <w:color w:val="0077CC"/>
            <w:sz w:val="20"/>
            <w:u w:val="single"/>
            <w:shd w:val="clear" w:color="auto" w:fill="FFFFFF"/>
            <w:lang w:val="en-US" w:eastAsia="en-US" w:bidi="ar-SA"/>
          </w:rPr>
          <w:t>(1989), 93 D.L.R. (4th) 117</w:t>
        </w:r>
      </w:hyperlink>
      <w:r>
        <w:rPr>
          <w:rFonts w:ascii="arial" w:eastAsia="arial" w:hAnsi="arial" w:cs="arial"/>
          <w:color w:val="000000"/>
          <w:sz w:val="20"/>
          <w:lang w:val="en-US" w:eastAsia="en-US" w:bidi="ar-SA"/>
        </w:rPr>
        <w:t xml:space="preserve"> (B.C.C.A.); and Weiss v. The Young Men's Christian Association of Greater Vancouver </w:t>
      </w:r>
      <w:hyperlink r:id="rId412"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Further, there is no dispute that this duty of care does not extend so far as to require the defendant to remove every possibility of danger (Gerak v. R. in Right of B.C. </w:t>
      </w:r>
      <w:hyperlink r:id="rId413" w:history="1">
        <w:r>
          <w:rPr>
            <w:rFonts w:ascii="arial" w:eastAsia="arial" w:hAnsi="arial" w:cs="arial"/>
            <w:i/>
            <w:color w:val="0077CC"/>
            <w:sz w:val="20"/>
            <w:u w:val="single"/>
            <w:shd w:val="clear" w:color="auto" w:fill="FFFFFF"/>
            <w:lang w:val="en-US" w:eastAsia="en-US" w:bidi="ar-SA"/>
          </w:rPr>
          <w:t>(1984), 59 B.C.L.R. 273</w:t>
        </w:r>
      </w:hyperlink>
      <w:r>
        <w:rPr>
          <w:rFonts w:ascii="arial" w:eastAsia="arial" w:hAnsi="arial" w:cs="arial"/>
          <w:color w:val="000000"/>
          <w:sz w:val="20"/>
          <w:lang w:val="en-US" w:eastAsia="en-US" w:bidi="ar-SA"/>
        </w:rPr>
        <w:t xml:space="preserve"> (C.A.) (leave to appeal to S.C.C. refused)). The test is one of reasonableness, not perfection (Carlson v. Canadian Safeway </w:t>
      </w:r>
      <w:hyperlink r:id="rId414"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Here the school has taken reasonable steps to ensure that pedestrians entering the school may do so safely. There are various concrete or asphalt pedestrian walkways to the entrances of the school. These were maintained, shovelled and salted. They are checked early in the day by the custodian and by the principal. These pedestrian pathways are separated from vehicular traffic by concrete barriers.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school discouraged parking on Parkcrest and encouraged the use of pedestrian walkways. The school newsletter of November, 1999, said under the heading, "Traffic News":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have made several changes to the traffic patterns at the school in order to address safety concerns and to clarify traffic rules. The entrance to the staff parking lot was moved this summer to get it away from the crosswalk. The bicycle racks and the guardrails have been moved to allow a direct pedestrian route from the crosswalk to the school doors. Children can now walk to all the entrance doors without going into the parking lot. Please encourage your children to use the walkways. The city has clarified the no stopping zones in front of the school. They have erected signs and will be monitoring the situation. Pick-up and drop-off of students can still be done in the church parking lot and on the church side of the school. Congestion at pick-up and drop-off times before and after school will always be a problem. I encourage everyone to continue to exercise caution and to watch for children who are not always cautious.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my mind the school district had taken reasonable steps to ensure that parents and children would be reasonably safe in entering the school during the winter when there would be snow and ice on the ground. Pedestrian walkways were provided, shovelled and salted, separated from vehicles by a concrete barrier. To enter the school on such a walkway, Mrs. Patenaude need only walk a few feet further to the corner of Chateau and Parkcrest, then a very short distance on Parkcrest. Instead, she chose to cut through the school yard.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school district is not required to be an insurer, nor to remove every possibility of danger. The school did not restrict access to the school yard to parents or children through the chain link fence. This, however, did not require the school district to salt, sand or shovel the school yard in winter months. It was reasonable in those conditions to shovel, sand or salt the asphalt or concrete walkways to the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in addition, that Mrs. Patenaude must be taken to have accepted the risks as her risks pursuant to Section 3(3) of the Act. She has lived in Kamloops for most of her life. She had three children attending Parkcrest. She had been walking her children to and from school, primarily using this route for several years. She knew that the empty lot was not maintained. She had never seen any indication that this part of the school yard was shovelled, sanded or salted.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Malcolm v. B.C. Transit </w:t>
      </w:r>
      <w:hyperlink r:id="rId415" w:history="1">
        <w:r>
          <w:rPr>
            <w:rFonts w:ascii="arial" w:eastAsia="arial" w:hAnsi="arial" w:cs="arial"/>
            <w:i/>
            <w:color w:val="0077CC"/>
            <w:sz w:val="20"/>
            <w:u w:val="single"/>
            <w:shd w:val="clear" w:color="auto" w:fill="FFFFFF"/>
            <w:lang w:val="en-US" w:eastAsia="en-US" w:bidi="ar-SA"/>
          </w:rPr>
          <w:t>[1988] B.C.J. No. 1945</w:t>
        </w:r>
      </w:hyperlink>
      <w:r>
        <w:rPr>
          <w:rFonts w:ascii="arial" w:eastAsia="arial" w:hAnsi="arial" w:cs="arial"/>
          <w:color w:val="000000"/>
          <w:sz w:val="20"/>
          <w:lang w:val="en-US" w:eastAsia="en-US" w:bidi="ar-SA"/>
        </w:rPr>
        <w:t>, a decision of the British Columbia Court of Appeal, Chief Justice McEachern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An adult person, without being warned, knows and accepts the risks of falling on a steep wet grassy slope.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Here I would say that an adult person cutting through an elementary school yard patchy with snow, ice and grass, accepts the risks of falling.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Indeed, Mrs. Patenaude, in her discovery evidence, said: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You said earlier that if the route was in the condition as depicted in those photographs, you would likely have gone a different route?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Would that be, then, walking out to Parkcrest Avenue and walking along the shoulder?</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I would've walked back the way I came and gone to the road.</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That's because the surface would have likely been cleared if there was, or would have been easier to walk?</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would hope it would be easier to walk on, but, yes, I assume that it would be.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Because it's asphalt?</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Rather than take that route, she chose to cut through the school yard, knowing that it may be slippery. She accepted the risk of slipping and falling on ground which she knew to be patchy with ice, snow and grass; which she knew was not sanded or shovelled.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action is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BROWN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Powell v. Insurance Corp. of British Columbia, [2000] B.C.J. No. 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Hood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11 - 13, 1999.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5,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C980322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 C.C.L.I. (3d) 215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93 A.C.W.S. (3d) 1106</w:t>
      </w:r>
    </w:p>
    <w:p>
      <w:pPr>
        <w:spacing w:before="120" w:line="260" w:lineRule="atLeast"/>
        <w:rPr>
          <w:lang w:val="en-US" w:eastAsia="en-US" w:bidi="ar-SA"/>
        </w:rPr>
      </w:pPr>
      <w:r>
        <w:rPr>
          <w:rFonts w:ascii="arial" w:eastAsia="arial" w:hAnsi="arial" w:cs="arial"/>
          <w:color w:val="000000"/>
          <w:sz w:val="20"/>
          <w:lang w:val="en-US" w:eastAsia="en-US" w:bidi="ar-SA"/>
        </w:rPr>
        <w:t>Between Suzanne Marie Powell, plaintiff, and Insurance Corporation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3"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1" w:name="Keywords_26"/>
      <w:bookmarkEnd w:id="18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Motor vehicle, evidence and burden of proof — Insurance — Automobile insurance, compulsory government schemes — Claims against party unknown — Efforts to identify unknown party.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82" w:name="Case Summary_23"/>
            <w:bookmarkEnd w:id="18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Powell for damages for personal injury. Powell claimed that she was struck by an unidentified motor vehicle that was backing through a crosswalk. She sued the Insurance Corporation of British Columbia as the nominal defendant. </w:t>
            </w:r>
            <w:r>
              <w:rPr>
                <w:lang w:val="en-US" w:eastAsia="en-US" w:bidi="ar-SA"/>
              </w:rPr>
              <w:cr/>
            </w:r>
          </w:p>
          <w:p>
            <w:pPr>
              <w:spacing w:before="120" w:line="260" w:lineRule="atLeast"/>
              <w:ind w:left="240"/>
              <w:jc w:val="both"/>
              <w:rPr>
                <w:lang w:val="en-US" w:eastAsia="en-US" w:bidi="ar-SA"/>
              </w:rPr>
            </w:pPr>
            <w:bookmarkStart w:id="183" w:name="Holdings of Court_22"/>
            <w:bookmarkEnd w:id="18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Powell was not credible and she failed to show that she made all reasonable efforts to establish the identity of the driver or owner of the vehicle. </w:t>
            </w:r>
            <w:r>
              <w:rPr>
                <w:lang w:val="en-US" w:eastAsia="en-US" w:bidi="ar-SA"/>
              </w:rPr>
              <w:cr/>
            </w:r>
          </w:p>
          <w:p>
            <w:pPr>
              <w:rPr>
                <w:lang w:val="en-US" w:eastAsia="en-US" w:bidi="ar-SA"/>
              </w:rPr>
            </w:pPr>
          </w:p>
        </w:tc>
      </w:tr>
    </w:tbl>
    <w:p>
      <w:pPr>
        <w:jc w:val="both"/>
        <w:rPr>
          <w:lang w:val="en-US" w:eastAsia="en-US" w:bidi="ar-SA"/>
        </w:rPr>
      </w:pPr>
      <w:bookmarkStart w:id="184" w:name="Legislation Cited_22"/>
      <w:bookmarkEnd w:id="18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64"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Insurance (Motor Vehicle) Act, </w:t>
      </w:r>
      <w:hyperlink r:id="rId423"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(5).</w:t>
      </w:r>
      <w:r>
        <w:rPr>
          <w:lang w:val="en-US" w:eastAsia="en-US" w:bidi="ar-SA"/>
        </w:rPr>
        <w:cr/>
      </w:r>
    </w:p>
    <w:p>
      <w:pPr>
        <w:keepNext/>
        <w:spacing w:before="240" w:line="340" w:lineRule="atLeast"/>
        <w:rPr>
          <w:lang w:val="en-US" w:eastAsia="en-US" w:bidi="ar-SA"/>
        </w:rPr>
      </w:pPr>
      <w:bookmarkStart w:id="185" w:name="Counsel_27"/>
      <w:bookmarkEnd w:id="18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5" style="position:absolute;z-index:2517893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R.D. Lee, for plaintiff. A. Tillquist, for the defendant.</w:t>
      </w:r>
      <w:r>
        <w:rPr>
          <w:lang w:val="en-US" w:eastAsia="en-US" w:bidi="ar-SA"/>
        </w:rPr>
        <w:cr/>
      </w:r>
    </w:p>
    <w:p>
      <w:pPr>
        <w:spacing w:after="240"/>
        <w:rPr>
          <w:lang w:val="en-US" w:eastAsia="en-US" w:bidi="ar-SA"/>
        </w:rPr>
      </w:pPr>
      <w:bookmarkStart w:id="186" w:name="Judgment_27"/>
      <w:bookmarkEnd w:id="186"/>
      <w:r>
        <w:pict>
          <v:line id="_x0000_s1166" style="position:absolute;z-index:2518394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7" w:name="HOOD J._0"/>
            <w:bookmarkEnd w:id="187"/>
            <w:r>
              <w:rPr>
                <w:rFonts w:ascii="arial" w:eastAsia="arial" w:hAnsi="arial" w:cs="arial"/>
                <w:b/>
                <w:color w:val="000000"/>
                <w:sz w:val="30"/>
                <w:lang w:val="en-US" w:eastAsia="en-US" w:bidi="ar-SA"/>
              </w:rPr>
              <w:t>HOOD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alleges that she suffered injuries in an accident which occurred at the intersection of Burrard Street and Dunsmuir Street in Vancouver on April 3, 1997, at about 4:30 p.m. during rush hour pedestrian and motor vehicle traffic. She says that she was crossing Dunsmuir Street, from south to north, in the marked crosswalk situate on the east side of Burrard Street, when a white motor vehicle, which had been westbound in the south lane of Dunsmuir Street, and had stopped for traffic after proceeding through the crosswalk, backed up into the crosswalk and came into contact with her left knee, hip, elbow and shoulder areas. She seeks non-pecuniary damages in the amount of $25,000.00; loss of income in the amount of $20,196.90; court order interest; and costs. She claims against the defendant as the nominal defendant pursuant to s. 24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agree that the two main issues are the credibility of the plaintiff, and whether the plaintiff made all reasonable efforts to ascertain the identity of the unknown driver of the white car, as she is required to do by s. 24(5) of the Act. If she did not do so judgment cannot be given against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many concerns about the evidence of the plaintiff in numerous areas, including whether the very minor accident happened as described, the nature and extent of any injuries which could have been suffered and the necessity of her making all reasonable effort to ascertain the identity of the unknown driver, and her efforts in that regard, on the day of the accident. I see no benefit to anyone to elaborate on my findings in these and other areas. In my view it is suffice to say that the plaintiff was not a good historian.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provisions of s. 24(5) of the Act are clear. If there is any doubt see Leggett v. Insurance Corporation of British Columbia </w:t>
      </w:r>
      <w:hyperlink r:id="rId424" w:history="1">
        <w:r>
          <w:rPr>
            <w:rFonts w:ascii="arial" w:eastAsia="arial" w:hAnsi="arial" w:cs="arial"/>
            <w:i/>
            <w:color w:val="0077CC"/>
            <w:sz w:val="20"/>
            <w:u w:val="single"/>
            <w:shd w:val="clear" w:color="auto" w:fill="FFFFFF"/>
            <w:lang w:val="en-US" w:eastAsia="en-US" w:bidi="ar-SA"/>
          </w:rPr>
          <w:t>(1992), 72 B.C.L.R. (2d) 201</w:t>
        </w:r>
      </w:hyperlink>
      <w:r>
        <w:rPr>
          <w:rFonts w:ascii="arial" w:eastAsia="arial" w:hAnsi="arial" w:cs="arial"/>
          <w:color w:val="000000"/>
          <w:sz w:val="20"/>
          <w:lang w:val="en-US" w:eastAsia="en-US" w:bidi="ar-SA"/>
        </w:rPr>
        <w:t>, where Taylor, JA., speaking for the Court, had this to say at pg. 205: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Corporation's exposure under this section is limited to claims brought by those who could not have ascertained the identity of the parties responsible. It does not, in my view, extend to claims by those who have chosen not to do so.</w:t>
      </w:r>
    </w:p>
    <w:p>
      <w:pPr>
        <w:spacing w:before="120" w:line="260" w:lineRule="atLeast"/>
        <w:ind w:left="720"/>
        <w:rPr>
          <w:lang w:val="en-US" w:eastAsia="en-US" w:bidi="ar-SA"/>
        </w:rPr>
      </w:pPr>
      <w:r>
        <w:rPr>
          <w:rFonts w:ascii="arial" w:eastAsia="arial" w:hAnsi="arial" w:cs="arial"/>
          <w:color w:val="000000"/>
          <w:sz w:val="20"/>
          <w:lang w:val="en-US" w:eastAsia="en-US" w:bidi="ar-SA"/>
        </w:rPr>
        <w:t>I do not think the words "not ascertainable" should be strictly interpreted, so as to mean "could not possibly have been ascertained". I think they are to be interpreted with reference to subsection (5) so at to mean "could not have been ascertained had the claimant made all reasonable efforts, having regard to the claimant's position, to discover them". Where a person knows that he or she has been involved in a motor vehicle accident, but refrains even from recording the license number of the other vehicle, when that number is visible and the claimant could, had he or she wished, reasonably have recorded it, such a claimant must, in my view, find it particularly difficult, and probably impossible, to establish that he or she made all reasonable efforts to discover the identity of the owner and driver of that vehicle for the purposes of this 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Upon a consideration of the whole of the evidence before me, I am satisfied that the plaintiff has not, and cannot, establish that she made all reasonable efforts to establish the identity of the driver, or of the owner, for the purposes of s. 24(5) of the Act. She chose not to do so. Even accepting, for the moment, what she now says she did in this regard, she could not reasonably rely upon the driver of the vehicle to understand her gestures, let alone to proceed across the intersection and to stop and await discussion with her, and her conduct in effect running away from the vehicle, and in relation to the other pedestrians in the area, cannot be said to be reasonable. All she had to do was to record the license plate number when she was within inches of it, and she was not incapacitated from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action must be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HOOD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Prowal v. Buttar, [2005] B.C.J. No. 403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M021186 and M015676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403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B.C.L.R. (4th) 366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633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444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288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 Prowal, plaintiff, and Manjit Buttar, W.S. Leasing Ltd., and Erana Boire as representative of Raymond Douglas Boire, Deceased, defendants, and Insurance Corporation of British Columbia, third party (Vancouver Registry No. M021186) And between Erana Boire as representative of Raymond Douglas Boire, Deceased, plaintiff, and Manjit Buttar and W.S. Leasing Ltd., defendants, and Insurance Corporation of British Columbia, third party (Vancouver Registry No. M015676)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8" w:name="Keywords_27"/>
      <w:bookmarkEnd w:id="188"/>
      <w:r>
        <w:rPr>
          <w:rFonts w:ascii="arial" w:eastAsia="arial" w:hAnsi="arial" w:cs="arial"/>
          <w:b/>
          <w:color w:val="000000"/>
          <w:sz w:val="20"/>
          <w:lang w:val="en-US" w:eastAsia="en-US" w:bidi="ar-SA"/>
        </w:rPr>
        <w:t xml:space="preserve">Commercial law — Conditional sales — Elements of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owner — Determination of ownership.</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9" w:name="Case Summary_24"/>
            <w:bookmarkEnd w:id="1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W.S. Leasing Ltd., to dismiss the claims against it. The plaintiff Prowall commenced an action for damages for personal injury arising from a motor vehicle accident. The plaintiff Boire, as the widow of one of the passengers who died in the accident, commenced an action under the Family Compensation Act. W.S. Leasing was named as a defendant in both actions. The defendant Buttar was driving a vehicle that had been leased to him by W.S. Leasing. W.S. Leasing submitted that it was not vicariously liable as an owner of the vehicle, because the lease was a conditional sale agreement.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0" w:name="Holdings of Court_23"/>
            <w:bookmarkEnd w:id="19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lease agreement did not expressly state that the lessee had an option to purchase. However, the agreement established a fixed amount payable by the lessee to the lessor on the expiration of the term, representing an estimate of the fair market value plus applicable taxes. The lessee also had the option to have the vehicle sold and split the proceeds with the lessor. As such, the essential element of an option to purchase was present. The lease was a conditional sale agreement, so W.S. Leasing was not vicariously liable as an owner.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1" w:name="Legislation Cited_23"/>
      <w:bookmarkEnd w:id="1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9"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432" w:history="1">
        <w:r>
          <w:rPr>
            <w:rFonts w:ascii="arial" w:eastAsia="arial" w:hAnsi="arial" w:cs="arial"/>
            <w:i/>
            <w:color w:val="0077CC"/>
            <w:sz w:val="20"/>
            <w:u w:val="single"/>
            <w:shd w:val="clear" w:color="auto" w:fill="FFFFFF"/>
            <w:lang w:val="en-US" w:eastAsia="en-US" w:bidi="ar-SA"/>
          </w:rPr>
          <w:t>R.S.B.C. 1996, c. 318, s. 86</w:t>
        </w:r>
      </w:hyperlink>
      <w:r>
        <w:rPr>
          <w:rFonts w:ascii="arial" w:eastAsia="arial" w:hAnsi="arial" w:cs="arial"/>
          <w:color w:val="000000"/>
          <w:sz w:val="20"/>
          <w:lang w:val="en-US" w:eastAsia="en-US" w:bidi="ar-SA"/>
        </w:rPr>
        <w:t>(1), 86(3).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Sale of Goods on Condition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2" w:name="Counsel_28"/>
      <w:bookmarkEnd w:id="1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Paul Prowal: D. Cave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W.S. Leasing Ltd. and the Third Party, I.C.B.C.: R.F. Hungerford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Defendant/Plaintiff, Erana Boire: R. Gibbens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3" w:name="Judgment_28"/>
      <w:bookmarkEnd w:id="193"/>
      <w:r>
        <w:pict>
          <v:line id="_x0000_s1171"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4" w:name="SLADE J._0"/>
            <w:bookmarkEnd w:id="194"/>
            <w:r>
              <w:rPr>
                <w:rFonts w:ascii="arial" w:eastAsia="arial" w:hAnsi="arial" w:cs="arial"/>
                <w:b/>
                <w:color w:val="000000"/>
                <w:sz w:val="30"/>
                <w:lang w:val="en-US" w:eastAsia="en-US" w:bidi="ar-SA"/>
              </w:rPr>
              <w:t>SLADE J.</w:t>
            </w:r>
          </w:p>
        </w:tc>
      </w:tr>
    </w:tbl>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W.S. Leasing Ltd. is sued as the owner of a motor vehicle which was involved in an accident in March,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Action No. M021186 is an action for personal injuries allegedly sustained in the motor vehicle accident. Action No. M015676 is an action brought pursuant to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by the widow of one of the occupants of the motor vehicle involved in the motor vehicle accident who died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for the purposes of this application, common ground that Manjit Buttar was in possession of the vehicle pursuant to an agreement with W.S. Leasing Ltd. dated January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W.S. Leasing seeks as order that the claims of the plaintiffs against it be dismissed.</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issue is whether the agreement is a conditional sale agreement. If it is, W.S. Leasing would not, due to the operation of s. 86(3)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be considered the owner, and would not be vicariously liable as an owner within the meaning of s. 86(1) of the Motor Vehicle Act.</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agreement is styled as a "Business Lease Agreement". It provides for a down payment of $1,200, and monthly payments of $421.82. The term of the lease commences on January 26, 2001, and expires January 26, 2004. The total of all monthly payments is $15,166.08.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Paragraph six of the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Residual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lessee agrees to pay to the Leasing Company $7,000.00 which is the "Undepreciated Book Value" of the Vehicle on the expiration of the term, representing a genuine pre-estimate of the fair market value plus all applicable taxes OR arrange to have the Vehicle sold in a commercially reasonable manner and adjust the proceeds as indicated in the Surrender and Disposition of Vehicles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Under the heading "Additional Terms and Conditions (Business)", the following provisions are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VEHICLE TITLE AND OWNERSHIP This Lease is intended to be a true lease for all purposes, including, without limitation, tax and personal property security laws. The Leasing Company is the owner of the Vehicle and, at all times, title to and ownership of the Vehicle shall remain with the Leasing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USE OF THE VEHICLE During the Term, the Lessee shall be entitled to use the Vehicle for the purpose set out on page one of this Lease.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SECURITY DEPOSIT The Lessee shall pay to the Leasing Company upon signing this Lease a security deposit in the amount specified on page one of this Lease. The security deposit shall be refundable to the Lessee and shall be returned to the Lessee, without interest, upon the expiration of the Term and upon the return of the Vehicle to the Leasing Company in good condition, normal wear and use excepted.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WARRANTIES ... Upon expiration of the Term, the Lessee shall re-assign to the Leasing Company every warranty and guarantee made by the manufacturer with respect to the Vehicle and the equipment located on the Vehicle.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EARLY TERMINATION The Lessee does not have the right to buy out or terminate this Lease prior to the expiration of the Term, except with the consent of the Leasing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OWNERSHIP The Lessee and the Leasing Company specifically agree that this Lease is intended to be treated as and constitutes a true lease for all purposes including, without limitation, income and other tax and personal property security and credit laws. Accordingly, the Leasing Company, is and remains the owner of the Vehicle and retains all the benefits of ownership. Also, the Lessee specifically acknowledges that no verbal understanding or representation was made by or on behalf of the Dealer of the Leasing Company to the Lessee that the Lessee was being granted any right or option to acquire the Vehicle or the rights of the Dealer or the Leasing Company in respect of the Vehicle other than as provided in section 6 of the lease Agreement.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Paragraph 6 must be read together with clauses in the agreement which address the obligations of the parties upon the surrender and disposition of the leased vehicle. These clauses provide for an adjustment of proceeds, as between the lessor and the lessee, if the vehicle is sold during the term of the lease. Section 6 incorporates those adjustments where the lessee opts to sell the vehicle after the expiry of the lease term.</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Section 86(3) of the Motor Vehicle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motor vehicle has been sold, and is in possession of the purchaser under a contract of conditional sale by which the title to the motor vehicle remains in the seller until the purchaser becomes the owner on full compliance with the contract, the purchaser is deemed an owner within the meaning of this section, but the seller or the seller's assignee is not deemed to be an owner within the meaning of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Shchoenbach v. Truong </w:t>
      </w:r>
      <w:hyperlink r:id="rId433" w:history="1">
        <w:r>
          <w:rPr>
            <w:rFonts w:ascii="arial" w:eastAsia="arial" w:hAnsi="arial" w:cs="arial"/>
            <w:i/>
            <w:color w:val="0077CC"/>
            <w:sz w:val="20"/>
            <w:u w:val="single"/>
            <w:shd w:val="clear" w:color="auto" w:fill="FFFFFF"/>
            <w:lang w:val="en-US" w:eastAsia="en-US" w:bidi="ar-SA"/>
          </w:rPr>
          <w:t>(1996), 19 B.C.L.R. (3d) 313</w:t>
        </w:r>
      </w:hyperlink>
      <w:r>
        <w:rPr>
          <w:rFonts w:ascii="arial" w:eastAsia="arial" w:hAnsi="arial" w:cs="arial"/>
          <w:color w:val="000000"/>
          <w:sz w:val="20"/>
          <w:lang w:val="en-US" w:eastAsia="en-US" w:bidi="ar-SA"/>
        </w:rPr>
        <w:t xml:space="preserve"> (C.A.), McEachern C.J. applied the following definition in finding that a lease option is a conditional sales agreement within the meaning of s. 79(3), now 86(3) of the Motor Vehicle Act (at [paragraph]9):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decided in Re Nishi Industries, </w:t>
      </w:r>
      <w:hyperlink r:id="rId434" w:history="1">
        <w:r>
          <w:rPr>
            <w:rFonts w:ascii="arial" w:eastAsia="arial" w:hAnsi="arial" w:cs="arial"/>
            <w:i/>
            <w:color w:val="0077CC"/>
            <w:sz w:val="20"/>
            <w:u w:val="single"/>
            <w:shd w:val="clear" w:color="auto" w:fill="FFFFFF"/>
            <w:lang w:val="en-US" w:eastAsia="en-US" w:bidi="ar-SA"/>
          </w:rPr>
          <w:t>[1978] 6 W.W.R. 736</w:t>
        </w:r>
      </w:hyperlink>
      <w:r>
        <w:rPr>
          <w:rFonts w:ascii="arial" w:eastAsia="arial" w:hAnsi="arial" w:cs="arial"/>
          <w:color w:val="000000"/>
          <w:sz w:val="20"/>
          <w:lang w:val="en-US" w:eastAsia="en-US" w:bidi="ar-SA"/>
        </w:rPr>
        <w:t xml:space="preserve"> (B.C.C.A.), that a lease option agreement is a conditional sales agreement, which is defined in the Sale of Goods on Condition Act R.S.B.C. 1979, c. 373: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"conditional sale" means a contract ...</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hiring of goods by which it is agreed that the hirer shall become, or have the option of becoming, the owner of the goods on full compliance with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was held in Yeung v. Au, </w:t>
      </w:r>
      <w:hyperlink r:id="rId435" w:history="1">
        <w:r>
          <w:rPr>
            <w:rFonts w:ascii="arial" w:eastAsia="arial" w:hAnsi="arial" w:cs="arial"/>
            <w:i/>
            <w:color w:val="0077CC"/>
            <w:sz w:val="20"/>
            <w:u w:val="single"/>
            <w:shd w:val="clear" w:color="auto" w:fill="FFFFFF"/>
            <w:lang w:val="en-US" w:eastAsia="en-US" w:bidi="ar-SA"/>
          </w:rPr>
          <w:t>[2004] B.C.J. No. 2623</w:t>
        </w:r>
      </w:hyperlink>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2004 BCSC 1648</w:t>
        </w:r>
      </w:hyperlink>
      <w:r>
        <w:rPr>
          <w:rFonts w:ascii="arial" w:eastAsia="arial" w:hAnsi="arial" w:cs="arial"/>
          <w:color w:val="000000"/>
          <w:sz w:val="20"/>
          <w:lang w:val="en-US" w:eastAsia="en-US" w:bidi="ar-SA"/>
        </w:rPr>
        <w:t>, that the foregoing definition, which was taken from the Sale of Goods on Condition Act, survived the repeal of the latter act, and the introduction of the Personal Property Security Act (at [paragraph]55).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agreement does not set out, in express terms, that the lessee has an option to purchase the vehicle on the termination of the lease. However, the terms of the agreement leave no room for a conclusion other than that the lessee has this very option. I refer to the last sentence of the "Ownership" clause,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the Lessee specifically acknowledges that no verbal understanding or representation was made by or on behalf of the Dealer of the Leasing Company to the Lessee that the Lessee was being granted any right or option to acquire the Vehicle or the rights of the Dealer or the Leasing Company in respect of the Vehicle other than as provided in section 6 of the lease Agreement.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Section 6 of the lease agreement establishes a fixed amount payable by the lessee to exercise the option. The lessee may also opt to have the vehicle sold and adjust the proceeds as indicated in the "Surrender and Disposition of Vehicles"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plaintiffs refer to Seawest Financial Corp. v. Thomas Grey Development Ltd. </w:t>
      </w:r>
      <w:hyperlink r:id="rId436" w:history="1">
        <w:r>
          <w:rPr>
            <w:rFonts w:ascii="arial" w:eastAsia="arial" w:hAnsi="arial" w:cs="arial"/>
            <w:i/>
            <w:color w:val="0077CC"/>
            <w:sz w:val="20"/>
            <w:u w:val="single"/>
            <w:shd w:val="clear" w:color="auto" w:fill="FFFFFF"/>
            <w:lang w:val="en-US" w:eastAsia="en-US" w:bidi="ar-SA"/>
          </w:rPr>
          <w:t>(1983), 47 B.C.L.R. 192</w:t>
        </w:r>
      </w:hyperlink>
      <w:r>
        <w:rPr>
          <w:rFonts w:ascii="arial" w:eastAsia="arial" w:hAnsi="arial" w:cs="arial"/>
          <w:color w:val="000000"/>
          <w:sz w:val="20"/>
          <w:lang w:val="en-US" w:eastAsia="en-US" w:bidi="ar-SA"/>
        </w:rPr>
        <w:t xml:space="preserve"> (Co. Ct.) as authority for their position that the agreement does not come within the definition of conditional sales agreement in the Sale of Goods on Condition Act. In Seawest Financial Corp., MacKinnon, Co. Ct. J. (as he then was), found that the agreement in issue gave the lessee an option to bid, not an option to purchase. He found that (at [paragraph]11):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essentials of an option to purchase is therefore lacking, i.e. the unilateral right of the lessee to compel the lessor to sell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present matter, it is clear that the agreement gives the lessee the option to either purchase the vehicle at a fixed price, or sell the vehicle and split the proceeds with the lessor. The essential element of an option to purchase is present.</w:t>
      </w:r>
      <w:r>
        <w:rPr>
          <w:rFonts w:ascii="arial" w:eastAsia="arial" w:hAnsi="arial" w:cs="arial"/>
          <w:sz w:val="20"/>
          <w:lang w:val="en-US" w:eastAsia="en-US" w:bidi="ar-SA"/>
        </w:rPr>
        <w:cr/>
      </w:r>
    </w:p>
    <w:p>
      <w:pPr>
        <w:numPr>
          <w:numId w:val="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actions as against W.S. Leasing Ltd. are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2"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R.B.L. v. British Columbia, [2005] B.C.J. No. 2978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Fraser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S012573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2978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1068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52 B.C.L.R. (4th) 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553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851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3328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R.B.L.,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3"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28"/>
      <w:bookmarkEnd w:id="195"/>
      <w:r>
        <w:rPr>
          <w:rFonts w:ascii="arial" w:eastAsia="arial" w:hAnsi="arial" w:cs="arial"/>
          <w:b/>
          <w:color w:val="000000"/>
          <w:sz w:val="20"/>
          <w:lang w:val="en-US" w:eastAsia="en-US" w:bidi="ar-SA"/>
        </w:rPr>
        <w:t>Civil procedure — Trials — Conduct of — Restriction on publication — Ruling respecting issuance of publication ban in sexual assault case — Plaintiff sought damages for sexual assault — Defendant convicted in criminal proceedings of sexually assaulting plaintiff — Publication ban in criminal trial did not extend to civil trial — No publication ban issued in present action — Publication ban as to names trenched on open court principle in civil actions — Legislature was proper place to provide for secrecy in civil proceedings.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5"/>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Ruling respecting application of publication ban issued in criminal proceedings to subsequent civil proceedings and whether a publication ban should be issued -- Plaintiff claimed damages for sexual assault committed by servant of the Crown -- Plaintiff was sexually assaulted while a prison inmate -- Defendant was an employee in the prison and was convicted in criminal proceedings for sexually assaulting plaintiff -- Publication ban in criminal trial was ordered -- Crown admitted liability in present action -- HELD: Publication ban from criminal trial did not extend to present action -- Court should not impose publication ban -- Publication ban was unnecessary to prevent a serious risk to proper administration of justice -- Ambit of publication ban made in criminal trial pursuant to s. 486 of Criminal Code was limited to complainant's participation in criminal trial -- Open court principle very important in civil cases -- No legislation existed in British Columbia which restricted right of public to attend civil court proceedings or fetter the right of media to report on such proceedings -- Publication ban as to names trenched on open court principle -- In order to protect integrity of court's process, judges had to ensure proceedings were conducted in open court -- Plaintiff commencing proceeding in court had no lesser obligation to integrity of the court process than any officer of the court -- No rationale for protecting a plaintiff by a publication ban from the risk of public opprobrium for breach of any obligations a plaintiff undertook when commencing proceedings -- Legislature was proper place to provide for secrecy in civil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7" w:name="Legislation Cited_24"/>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4"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40(2)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 486, s. 486(3)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Law Amendment Act, S.C. 1974-75-76, c.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Divorce and Matrimonial Causes Act, 1857, 20 &amp; 21 Vict. c. 85, s.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Evidence Act, </w:t>
      </w:r>
      <w:hyperlink r:id="rId444" w:history="1">
        <w:r>
          <w:rPr>
            <w:rFonts w:ascii="arial" w:eastAsia="arial" w:hAnsi="arial" w:cs="arial"/>
            <w:i/>
            <w:color w:val="0077CC"/>
            <w:sz w:val="20"/>
            <w:u w:val="single"/>
            <w:shd w:val="clear" w:color="auto" w:fill="FFFFFF"/>
            <w:lang w:val="en-US" w:eastAsia="en-US" w:bidi="ar-SA"/>
          </w:rPr>
          <w:t>R.S.B.C. 1996, c. 124, s. 71</w:t>
        </w:r>
      </w:hyperlink>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 Ban</w:t>
            </w:r>
            <w:bookmarkStart w:id="198"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98"/>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9" w:name="Counsel_29"/>
      <w:bookmarkEnd w:id="1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Megan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Keith L.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29"/>
      <w:bookmarkEnd w:id="200"/>
      <w:r>
        <w:pict>
          <v:line id="_x0000_s1176" style="position:absolute;z-index:2518415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Corrigenda were released by the Court August 3, 2005 and March 15, 2006. The corrections have been made to the text and the Corrigenda are appended to this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the original Reasons, handed down on 18th July 2005, the name of the Plaintiff was set out, because of my decision that there should be no publication ban. In this website version of the Reasons, initials have been used in place of the Plaintiff's name, because of the interlocutory Ruling of the Court of Appeal referred to in paragraph eight. The appeal has not yet been determined; whether the Plaintiff's name should be published, as I ruled, will depend on the outcome of the appeal or a further order of the Court of Appeal.</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FRASER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R.B.L., claims damages against the Provincial Crown, for sexual assault. The liability of the Crown is, of course, vicarious: the sexual assaults were committed by a servant of the Crown, Roderic David MacDougall. Mr. MacDougall was convicted in December 2000 of sexual assault in a criminal trial in which R.B.L. was a complainant. A publication ban in the criminal trial was ordered by the trial Judge, Boyd J., presumably on the basis of s. 486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The Crown has admitted liability in this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canvassed in these Reasons are:</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publication ban in the criminal trial extend to this 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does not, should the Court impose a publication ban for the purpose of this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answered both these questions in the negative, in a Ruling issued on 5th August 2004. These are the reasons for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History of the Publication Ban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second day of this trial, Ms. Ellis, counsel for R.B.L., appeared to me to have assumed that the publication ban ordered by Boyd J. extended to this trial. This was understandable, given that Mr. Johnston, for the Crown, seemed to have taken the same view</w:t>
      </w:r>
      <w:bookmarkStart w:id="201"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01"/>
      <w:r>
        <w:rPr>
          <w:rFonts w:ascii="arial" w:eastAsia="arial" w:hAnsi="arial" w:cs="arial"/>
          <w:color w:val="000000"/>
          <w:sz w:val="20"/>
          <w:lang w:val="en-US" w:eastAsia="en-US" w:bidi="ar-SA"/>
        </w:rPr>
        <w:t>. After I expressed uncertainty whether that was the case, I issued a temporary ban on publication, in order to give counsel time to prepare submissions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text of the temporary ban was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TEMPORARY BAN ON PUBLICATION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plaintiffs and any information that could disclose the identity of the plaintiffs, including the name of any member of their immediate or extended families, shall not be published in any document or broadcast in any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further submissions, this ban may be made permanent or may be rescinded.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Later in the trial, counsel made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issued a Ruling on 5th August 2004,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R.B.L., seeks damages for sexual assault committed by Roderic David MacDougall, an employee of the defendant, Her Majesty the Queen in Right of the Province of British Columbia. Liability has been admitted.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same assaults were the subject of criminal charges against Mr. MacDougall. Ms. Ellis, counsel for R.B.L., has informed me that in the criminal proceedings, this Court made an order under s. 486(3)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directing that the identity of R.B.L., who was of course a complainant in those proceedings, not be published in any document or broadcast in any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Ellis seeks a similar publication ban for these civil proceedings.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Ruling is as follows: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publication ban made in criminal proceedings does not extend to civil proceedings based on the same criminal acts in which the complainant is the plaintiff;</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Apart from the effect of a s. 486(3) order, I decline to make an order permitting R.B.L. to litigate anonymously in these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will be no publication ban.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Reasons will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Days later, Ms. Ellis applied for leave to appeal my Ruling. She and Mr. Johnston appeared before Esson J.A. of the Court of Appeal. At the hearing, Esson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applies for a stay of the [Ruling] and I also grant that aspect of the application</w:t>
      </w:r>
      <w:bookmarkStart w:id="202"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02"/>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entered version of this Order, endorsed by Ms. Ellis and Mr. Johnston and signed by Esson J.A., provides that "there shall be no publication of any information which could identify the Appellant (Plaintiff) until conclusion of this appeal or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Publication Ban in the Criminal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No evidence from the criminal trial was tendered by Ms. Ellis. There was no evidence as to the identity of the complainants, the specific charges against Mr. MacDougall with reference to any of them, the terms of the publication ban ordered, the specific charges on which Mr. MacDougall was convicted or acquitted and the basis of the guilty verdicts. Nor was a certificate under s. 71 of the </w:t>
      </w:r>
      <w:r>
        <w:rPr>
          <w:rFonts w:ascii="arial" w:eastAsia="arial" w:hAnsi="arial" w:cs="arial"/>
          <w:b/>
          <w:i/>
          <w:color w:val="000000"/>
          <w:sz w:val="20"/>
          <w:lang w:val="en-US" w:eastAsia="en-US" w:bidi="ar-SA"/>
        </w:rPr>
        <w:t>Evidence Act</w:t>
      </w:r>
      <w:bookmarkStart w:id="203"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03"/>
      <w:r>
        <w:rPr>
          <w:rFonts w:ascii="arial" w:eastAsia="arial" w:hAnsi="arial" w:cs="arial"/>
          <w:color w:val="000000"/>
          <w:sz w:val="20"/>
          <w:lang w:val="en-US" w:eastAsia="en-US" w:bidi="ar-SA"/>
        </w:rPr>
        <w:t xml:space="preserve"> tendered, verifying the conviction of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Crown's admission of liability probably explains why there are these gaps in the evidence. It would have been helpful, though, to know the exact terms of the publication ban concerning R.B.L. which was made in the criminal trial. For example, did it extend by name to anyone other than R.B.L., such as members of his family? Or was it just the generic formula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"any information that could disclose the identity"? Neither counsel told me. If I had accepted the contention of Ms. Ellis that the order made in the criminal trial applied to this civil action, I would have needed to know the precise terms of the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paragraphs 11 to 13 of the Statement of Claim, the Plaintiff alleges that Mr. MacDougall sexually assaulted him "in or about 1986." In paragraph 20 of the Statement of Claim, the Plaintiff alleges that Mr. MacDougall assaulted him "in or about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paragraph eight of its Statement of Defence, the Crown states that it "admits vicarious liability for the intentional torts of sexual assault committed by the defendant MacDougall, outlined in paragraphs 11 - 13 ... and 20 of the Statement of Claim, and for which he was criminally convicted in December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this action was commenced, Mr. MacDougall was the first-named defendant. He delivered a Statement of Defence, in which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deny all accusations by the Plaintiffs. They are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Amended Third Party Notice filed by the Crown against MacDougall, it is alleged that he was indicted on 16 counts of sexual assault and sexual offences and convicted by a jury on nine of the 16 counts</w:t>
      </w:r>
      <w:bookmarkStart w:id="204"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04"/>
      <w:r>
        <w:rPr>
          <w:rFonts w:ascii="arial" w:eastAsia="arial" w:hAnsi="arial" w:cs="arial"/>
          <w:color w:val="000000"/>
          <w:sz w:val="20"/>
          <w:lang w:val="en-US" w:eastAsia="en-US" w:bidi="ar-SA"/>
        </w:rPr>
        <w:t>. This pleading does not tell us to whom any of the counts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Statement of Defence to the Third Party Notice, Mr. MacDougall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deny all accusations by R.B.L. .... They are untrue and [he has] perjured [himself]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sexual assaults took place while R.B.L. was an inmate in provincial jails and when Mr. MacDougall was a Classifications Officer in those jails. R.B.L. has chosen not to pursue his claims against Mr. MacDougall. I do not know whether Mr. MacDougall was notified of the trial date or of the publication ban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Submissions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Ellis submitted that R.B.L. was in Court before me as an innocent person but one who is a victim of a crime which carries a stigma.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his case, she contended, there was also the special stigma of the lifelong criminal who had betrayed the "solid con" code embraced by some persons who end up in prison as a result of a criminal conviction. It is a badge of honour among solid cons never to collaborate with the authorities, that is, prison officials, police, prosecutors, judges and the like. They are the enemy. If a prisoner has been mistreated by a fellow prisoner, for example robbed or beaten, a solid con sees it as bad form to complain to a guard. The strength of the solid con ethic is such that it is bad form to complain to anyone in authority about misconduct </w:t>
      </w:r>
      <w:r>
        <w:rPr>
          <w:rFonts w:ascii="arial" w:eastAsia="arial" w:hAnsi="arial" w:cs="arial"/>
          <w:i/>
          <w:color w:val="000000"/>
          <w:sz w:val="20"/>
          <w:lang w:val="en-US" w:eastAsia="en-US" w:bidi="ar-SA"/>
        </w:rPr>
        <w:t>by</w:t>
      </w:r>
      <w:r>
        <w:rPr>
          <w:rFonts w:ascii="arial" w:eastAsia="arial" w:hAnsi="arial" w:cs="arial"/>
          <w:color w:val="000000"/>
          <w:sz w:val="20"/>
          <w:lang w:val="en-US" w:eastAsia="en-US" w:bidi="ar-SA"/>
        </w:rPr>
        <w:t xml:space="preserve"> a prison guard. Thus, Ms. Ellis says, when R.B.L., years later, complained to the authorities about Mr. MacDougall, he became a traitor to his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R.B.L. has been in prison from time to time since he went to the authorities about Mr. MacDougall. Ms. Ellis told me that he is routinely put under protective custody status because he did so. There is no evidence of this but I accept it as the statement of counsel. I infer from this that it is no secret among prison inmates that R.B.L. went to the authorities about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Ms. Ellis asked for this file to be sealed, because of the pleadings and especially for some of the psychological reports which were in it, which she worried might fall into the wrong hands. The reports, however, are exhibits and, therefore, not </w:t>
      </w:r>
      <w:r>
        <w:rPr>
          <w:rFonts w:ascii="arial" w:eastAsia="arial" w:hAnsi="arial" w:cs="arial"/>
          <w:i/>
          <w:color w:val="000000"/>
          <w:sz w:val="20"/>
          <w:lang w:val="en-US" w:eastAsia="en-US" w:bidi="ar-SA"/>
        </w:rPr>
        <w:t>in</w:t>
      </w:r>
      <w:r>
        <w:rPr>
          <w:rFonts w:ascii="arial" w:eastAsia="arial" w:hAnsi="arial" w:cs="arial"/>
          <w:color w:val="000000"/>
          <w:sz w:val="20"/>
          <w:lang w:val="en-US" w:eastAsia="en-US" w:bidi="ar-SA"/>
        </w:rPr>
        <w:t xml:space="preserve"> the Court file. I decline to seal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Ellis contended that the media had a "prurient" interest in sexual abuse, so that they would pay great attention to a case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Submissions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Crown ostensibly took no position on the publication ban issue but in fact supported it. Although he made no submissions, Mr. Johnston suggested an additional rationale for a publication ban: that liability had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Crown's Statement of Defence, signed by Mr. Johnston, there is a notation right under the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ban on disclosure of the identities of the complainants (plaintiffs) pursuant to the order of Boyd J., pronounced October 23,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notation demonstrates that the Crown supports the contention of Ms. Ellis that the Order of Boyd J. extends to this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Does the Criminal Ban Govern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publication ban ordered in criminal proceedings extends beyond the life of the criminal trial. Just because the trial is over, it is not open to anyone to publish or broadcast the name of a complainant whose identity has been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publication ban in a criminal trial, once made, cannot be revoked</w:t>
      </w:r>
      <w:bookmarkStart w:id="205"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05"/>
      <w:r>
        <w:rPr>
          <w:rFonts w:ascii="arial" w:eastAsia="arial" w:hAnsi="arial" w:cs="arial"/>
          <w:color w:val="000000"/>
          <w:sz w:val="20"/>
          <w:lang w:val="en-US" w:eastAsia="en-US" w:bidi="ar-SA"/>
        </w:rPr>
        <w:t>. The death of the complainant does not terminate the ban</w:t>
      </w:r>
      <w:bookmarkStart w:id="206"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06"/>
      <w:r>
        <w:rPr>
          <w:rFonts w:ascii="arial" w:eastAsia="arial" w:hAnsi="arial" w:cs="arial"/>
          <w:color w:val="000000"/>
          <w:sz w:val="20"/>
          <w:lang w:val="en-US" w:eastAsia="en-US" w:bidi="ar-SA"/>
        </w:rPr>
        <w:t>. In other words, the ban is perpetual.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Probably, the complainant himself or herself is entitled to an Order that a publication ban be rescinded</w:t>
      </w:r>
      <w:bookmarkStart w:id="207"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07"/>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What I have said so far illustrates the rigour of a publication ban issued in a criminal trial under s. 486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The issue then is: what is the ambit of the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a straightforward answer. The purpose of s. 486 is to encourage the participation of complainants in the criminal trial process. This rationale does not apply to a complainant whose name for some other reason becomes newsworthy - getting married, winning the lottery, dying, achieving political office and so on. His or her name can be mentioned by the media. The inexorable conclusion, in my view, is that the ambit of the publication ban made in a criminal trial pursuant to s. 486 is limited to the participation of the complainant in the criminal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PUBLICATION BANS IN CIVIL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principle that trials should be held in open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has long been the rule in Commonwealth jurisdictions that the trial of a civil action shall take place in open court. For British Columbia, this rule is embodied in Rule 40(2) of the </w:t>
      </w:r>
      <w:r>
        <w:rPr>
          <w:rFonts w:ascii="arial" w:eastAsia="arial" w:hAnsi="arial" w:cs="arial"/>
          <w:b/>
          <w:i/>
          <w:color w:val="000000"/>
          <w:sz w:val="20"/>
          <w:lang w:val="en-US" w:eastAsia="en-US" w:bidi="ar-SA"/>
        </w:rPr>
        <w:t>Rules of Court</w:t>
      </w:r>
      <w:bookmarkStart w:id="208"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08"/>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leading case is still the decision of the House of Lords in 1913 in </w:t>
      </w:r>
      <w:r>
        <w:rPr>
          <w:rFonts w:ascii="arial" w:eastAsia="arial" w:hAnsi="arial" w:cs="arial"/>
          <w:b/>
          <w:i/>
          <w:color w:val="000000"/>
          <w:sz w:val="20"/>
          <w:lang w:val="en-US" w:eastAsia="en-US" w:bidi="ar-SA"/>
        </w:rPr>
        <w:t>Scott v. Scott</w:t>
      </w:r>
      <w:bookmarkStart w:id="209"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209"/>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petitioner in this divorce action, Annie Maria Scott, sought a decree that her marriage to the respondent, Kenneth Mackenzie Scott, was null and void. Mrs. Scott applied for and obtained an order that the case be heard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For Mr. Scott, this was a ruling benefiting him and on the order being made he, with leave of the Court, withdrew his Answer. There was a hearing and a decree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pronounced, Mr. Scott not appearing. Later, Mrs. Scott obtained a transcript of the proceedings and sent them to Mr. Scott's father, sister and one other person. Mr. Scott then brought a motion that for circulating the transcript, Mrs. Scott should be found in contempt of the order which directed that the matter be heard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It was the contempt application which was before the House of Lords.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Reasons were handed down by Viscount Haldane L.C., the Earl of Halsbury, Earl Loreburn, Lord Atkinson and Lord Shaw of Dunfermline. All the Judges of the Court treated the case as one of high public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judgments differ but the authoritative reasoning for British Columbia is that of Lord Shaw of Dunfermline</w:t>
      </w:r>
      <w:bookmarkStart w:id="210"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210"/>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He noted that s. 46 of the </w:t>
      </w:r>
      <w:r>
        <w:rPr>
          <w:rFonts w:ascii="arial" w:eastAsia="arial" w:hAnsi="arial" w:cs="arial"/>
          <w:b/>
          <w:i/>
          <w:color w:val="000000"/>
          <w:sz w:val="20"/>
          <w:lang w:val="en-US" w:eastAsia="en-US" w:bidi="ar-SA"/>
        </w:rPr>
        <w:t>Divorce and Matrimonial Causes Act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1857</w:t>
      </w:r>
      <w:bookmarkStart w:id="211"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211"/>
      <w:r>
        <w:rPr>
          <w:rFonts w:ascii="arial" w:eastAsia="arial" w:hAnsi="arial" w:cs="arial"/>
          <w:color w:val="000000"/>
          <w:sz w:val="20"/>
          <w:lang w:val="en-US" w:eastAsia="en-US" w:bidi="ar-SA"/>
        </w:rPr>
        <w:t xml:space="preserve"> provided that witnesses in all proceedings before the Court "shall be sworn and examined orally in open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opinion that the order to hear this case in camera was beyond the power of the judge to pronounce. I am further of opinion that, even on the assumption that such an order had been within his power, it was beyond his power to impose a suppression of all reports of what passed at the trial after the trial had come to an end. But in order to see the true gravity of what has occurred, these two things must be taken together. So taken, my Lords, they appear to me to constitute a violation of that publicity in the administration of justice which is one of the surest guarantees of our liberties, and an attack upon the very foundations of public and private security. The Court of Appeal has by its majority declared a review of this judgment by it to be incompetent. I therefore make no apology for treating the situation thus reached as most serious for the citizens of this country</w:t>
      </w:r>
      <w:bookmarkStart w:id="212"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212"/>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candidly confess, my Lords, that the whole proceeding shocks me. I admit the embarrassment produced to the learned judge of first instance and to the majority of the Court of Appeal by the state of the decisions; but those decisions, in my humble judgment, or rather, - for it is in nearly all the instances only so, - these expressions of opinion by the way, have signified not alone an encroachment upon and suppression of private right, but the gradual invasion and undermining of constitutional security. This result, which is declared by the Courts below to have been legitimately reached under a free Constitution, is exactly the same result which would have been achieved under, and have accorded with, the genius and practice of despotism.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has happened is a usurpation - a usurpation which could not have been allowed even as a prerogative of the Crown, and most certainly must be denied to the judges of the land. </w:t>
      </w:r>
      <w:r>
        <w:rPr>
          <w:rFonts w:ascii="arial" w:eastAsia="arial" w:hAnsi="arial" w:cs="arial"/>
          <w:i/>
          <w:color w:val="000000"/>
          <w:sz w:val="20"/>
          <w:lang w:val="en-US" w:eastAsia="en-US" w:bidi="ar-SA"/>
        </w:rPr>
        <w:t>To remit the maintenance of constitutional right to the region of judicial discretion is to shift the foundations of freedom from the rock to the sand.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It is needless to quote authority on this topic from legal, philosophical, or historical writers. It moves Bentham over and over again. "In the darkness of secrecy, sinister interest and evil in every shape have full swing. Only in proportion as publicity has place can any of the checks applicable to judicial injustice operate. Where there is no publicity there is no justice." "Publicity is the very soul of justice. It is the keenest spur to exertion and the surest of all guards against improbity. It keeps the judge himself while trying under trial." "The security of securities is publicity." But amongst historians the grave and enlightened verdict of Hallam, in which he ranks the publicity of judicial proceedings even higher than the rights of Parliament as a guarantee of public security, is not likely to be forgotten: "Civil liberty in this kingdom has two direct guarantees; the open administration of justice according to known laws truly interpreted, and fair constructions of evidence; and the right of Parliament, without let or interruption, to inquire into, and obtain redress of, public grievances. Of these, the first is by far the most indispensable; nor can the subjects of any State be reckoned to enjoy a real freedom, where this condition is not found both in its judicial institutions and in their constant exercise."</w:t>
      </w:r>
      <w:bookmarkStart w:id="213" w:name="Backward_fnref_fnr-14"/>
      <w:hyperlink w:anchor="Forward_fnref_fnr-14" w:history="1">
        <w:r>
          <w:rPr>
            <w:rFonts w:ascii="arial" w:eastAsia="arial" w:hAnsi="arial" w:cs="arial"/>
            <w:b/>
            <w:i/>
            <w:color w:val="BE161D"/>
            <w:sz w:val="20"/>
            <w:shd w:val="clear" w:color="auto" w:fill="FFFFFF"/>
            <w:vertAlign w:val="superscript"/>
            <w:lang w:val="en-US" w:eastAsia="en-US" w:bidi="ar-SA"/>
          </w:rPr>
          <w:t>14</w:t>
        </w:r>
      </w:hyperlink>
      <w:bookmarkEnd w:id="213"/>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greater danger of usurpation than that which proceeds little by little, under cover of rules of procedure, and at the instance of judges themselves. I must say frankly that I think these encroachments have taken place by way of judicial procedure in such a way as, insensibly at first, but now culminating in this decision most sensibly, to impair the rights, safety, and freedom of the citizen and the open administration of the law</w:t>
      </w:r>
      <w:bookmarkStart w:id="214"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214"/>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distinguished five member British Columbia judicial panel held, referring to the italicized part of passages quoted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this statement of fundamental law, the members of the Court constituting this tribunal are in complete agreement</w:t>
      </w:r>
      <w:bookmarkStart w:id="215"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215"/>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is this holding which gives the judgment of Lord Shaw of Dunfermline its prime authority in British Columbia. The same passage was also quoted with approval by the Supreme Court of Canada in </w:t>
      </w:r>
      <w:r>
        <w:rPr>
          <w:rFonts w:ascii="arial" w:eastAsia="arial" w:hAnsi="arial" w:cs="arial"/>
          <w:b/>
          <w:i/>
          <w:color w:val="000000"/>
          <w:sz w:val="20"/>
          <w:lang w:val="en-US" w:eastAsia="en-US" w:bidi="ar-SA"/>
        </w:rPr>
        <w:t>Canadian Broadcasting Corp. v. New Brunswick (Attorney General)</w:t>
      </w:r>
      <w:bookmarkStart w:id="216"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216"/>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Fulton v. King</w:t>
      </w:r>
      <w:r>
        <w:rPr>
          <w:rFonts w:ascii="arial" w:eastAsia="arial" w:hAnsi="arial" w:cs="arial"/>
          <w:color w:val="000000"/>
          <w:sz w:val="20"/>
          <w:lang w:val="en-US" w:eastAsia="en-US" w:bidi="ar-SA"/>
        </w:rPr>
        <w:t xml:space="preserve">, three potential witnesses in a libel trial involving allegations about a prostitute with whom they had consorted applied for an order prohibiting publication of anything which would identify them. No one opposed the motion. Hinds J. quoted extensively from </w:t>
      </w:r>
      <w:r>
        <w:rPr>
          <w:rFonts w:ascii="arial" w:eastAsia="arial" w:hAnsi="arial" w:cs="arial"/>
          <w:b/>
          <w:color w:val="000000"/>
          <w:sz w:val="20"/>
          <w:lang w:val="en-US" w:eastAsia="en-US" w:bidi="ar-SA"/>
        </w:rPr>
        <w:t>Wigmore</w:t>
      </w:r>
      <w:r>
        <w:rPr>
          <w:rFonts w:ascii="arial" w:eastAsia="arial" w:hAnsi="arial" w:cs="arial"/>
          <w:color w:val="000000"/>
          <w:sz w:val="20"/>
          <w:lang w:val="en-US" w:eastAsia="en-US" w:bidi="ar-SA"/>
        </w:rPr>
        <w:t xml:space="preserve"> about the implications of court proceedings being held in public; he found that the applicants had not met any evidentiary burden. He concluded his Reasons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 application to prohibit the publication of the identity of the three proposed witnesses before, during, or after the trial of this action is, in essence, an extension or variation of the concept of an in-camera hearing. I am not satisfied that the applicants have demonstrated that they come within any exceptions to the general rule that judicial proceedings should be conducted in open court, and I am not satisfied that it is in the interests of justice that their identity be not disclosed. On the contrary, I am entirely satisfied that it is in keeping with the duty of the proposed witnesses that they appear and testify, and that the general rule that judicial proceedings should be conducted in open court ought not to be varied or circumscribed in any way in these proceedings. Accordingly, the application is dismissed</w:t>
      </w:r>
      <w:bookmarkStart w:id="217" w:name="Backward_fnref_fnr-18"/>
      <w:hyperlink w:anchor="Forward_fnref_fnr-18" w:history="1">
        <w:r>
          <w:rPr>
            <w:rFonts w:ascii="arial" w:eastAsia="arial" w:hAnsi="arial" w:cs="arial"/>
            <w:b/>
            <w:color w:val="BE161D"/>
            <w:sz w:val="20"/>
            <w:shd w:val="clear" w:color="auto" w:fill="FFFFFF"/>
            <w:vertAlign w:val="superscript"/>
            <w:lang w:val="en-US" w:eastAsia="en-US" w:bidi="ar-SA"/>
          </w:rPr>
          <w:t>18</w:t>
        </w:r>
      </w:hyperlink>
      <w:bookmarkEnd w:id="217"/>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Edmonton Journal v. The Attorney General for Alberta and the Attorney General of Canada</w:t>
      </w:r>
      <w:r>
        <w:rPr>
          <w:rFonts w:ascii="arial" w:eastAsia="arial" w:hAnsi="arial" w:cs="arial"/>
          <w:color w:val="000000"/>
          <w:sz w:val="20"/>
          <w:lang w:val="en-US" w:eastAsia="en-US" w:bidi="ar-SA"/>
        </w:rPr>
        <w:t xml:space="preserve">, the Supreme Court of Canada was dealing with provincial legislation which restricted publication concerning matrimonial proceedings, other than what was specifically permitted. (Among other things, the legislation permitted publication of the names of the parties.) A divided Court held that the legislation infringed s. 2(b) of the </w:t>
      </w:r>
      <w:r>
        <w:rPr>
          <w:rFonts w:ascii="arial" w:eastAsia="arial" w:hAnsi="arial" w:cs="arial"/>
          <w:b/>
          <w:i/>
          <w:color w:val="000000"/>
          <w:sz w:val="20"/>
          <w:lang w:val="en-US" w:eastAsia="en-US" w:bidi="ar-SA"/>
        </w:rPr>
        <w:t>Canadian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 of Rights and Freedoms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Speaking for Dickson C.J.C., Lamer J. and himself, Cory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can be no doubt that the courts play an important role in any democratic society. They are the forum not only for the resolution of disputes between citizens, but for the resolution of disputes between the citizens and the state in all its manifestations. The more complex society becomes, the more important becomes the function of the courts. As a result of their significance, the courts must be open to public scrutiny and to public criticism of their operation by the public</w:t>
      </w:r>
      <w:bookmarkStart w:id="218" w:name="Backward_fnref_fnr-19"/>
      <w:hyperlink w:anchor="Forward_fnref_fnr-19" w:history="1">
        <w:r>
          <w:rPr>
            <w:rFonts w:ascii="arial" w:eastAsia="arial" w:hAnsi="arial" w:cs="arial"/>
            <w:b/>
            <w:color w:val="BE161D"/>
            <w:sz w:val="20"/>
            <w:shd w:val="clear" w:color="auto" w:fill="FFFFFF"/>
            <w:vertAlign w:val="superscript"/>
            <w:lang w:val="en-US" w:eastAsia="en-US" w:bidi="ar-SA"/>
          </w:rPr>
          <w:t>19</w:t>
        </w:r>
      </w:hyperlink>
      <w:bookmarkEnd w:id="218"/>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His Reasons emphasized the importance of media coverage of court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listeners and readers, members of the public have a right to information pertaining to public institutions and particularly the courts. Here the press plays a fundamentally important role. It is exceedingly difficult for many, if not most, people to attend a court trial. Neither working couples nor mothers or fathers house-bound with young children, would find it possible to attend court. Those who cannot attend rely in large measure upon the press to inform them about court proceedings -- the nature of the evidence that was called, the arguments presented, the comments made by the trial judge -- in order to know not only what rights they may have, but how their problems might be dealt with in court. It is only through the press that most individuals can really learn of what is transpiring in the courts. They as "listeners" or readers have a right to receive this information. Only then can they make an assessment of the institution. Discussion of court cases and constructive criticism of court proceedings is dependent upon the receipt by the public of information as to what transpired in court. Practically speaking, this information can only be obtained from the newspapers or other media</w:t>
      </w:r>
      <w:bookmarkStart w:id="219" w:name="Backward_fnref_fnr-20"/>
      <w:hyperlink w:anchor="Forward_fnref_fnr-20" w:history="1">
        <w:r>
          <w:rPr>
            <w:rFonts w:ascii="arial" w:eastAsia="arial" w:hAnsi="arial" w:cs="arial"/>
            <w:b/>
            <w:color w:val="BE161D"/>
            <w:sz w:val="20"/>
            <w:shd w:val="clear" w:color="auto" w:fill="FFFFFF"/>
            <w:vertAlign w:val="superscript"/>
            <w:lang w:val="en-US" w:eastAsia="en-US" w:bidi="ar-SA"/>
          </w:rPr>
          <w:t>20</w:t>
        </w:r>
      </w:hyperlink>
      <w:bookmarkEnd w:id="219"/>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separate, concurring Reasons, Wilson J. cited </w:t>
      </w:r>
      <w:r>
        <w:rPr>
          <w:rFonts w:ascii="arial" w:eastAsia="arial" w:hAnsi="arial" w:cs="arial"/>
          <w:b/>
          <w:color w:val="000000"/>
          <w:sz w:val="20"/>
          <w:lang w:val="en-US" w:eastAsia="en-US" w:bidi="ar-SA"/>
        </w:rPr>
        <w:t>Wigmore</w:t>
      </w:r>
      <w:r>
        <w:rPr>
          <w:rFonts w:ascii="arial" w:eastAsia="arial" w:hAnsi="arial" w:cs="arial"/>
          <w:color w:val="000000"/>
          <w:sz w:val="20"/>
          <w:lang w:val="en-US" w:eastAsia="en-US" w:bidi="ar-SA"/>
        </w:rPr>
        <w:t xml:space="preserve"> as to the rationale for requiring that judicial proceedings be open to the public: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operation in tending to </w:t>
      </w:r>
      <w:r>
        <w:rPr>
          <w:rFonts w:ascii="arial" w:eastAsia="arial" w:hAnsi="arial" w:cs="arial"/>
          <w:i/>
          <w:color w:val="000000"/>
          <w:sz w:val="20"/>
          <w:lang w:val="en-US" w:eastAsia="en-US" w:bidi="ar-SA"/>
        </w:rPr>
        <w:t>improve the quality of testimony</w:t>
      </w:r>
      <w:r>
        <w:rPr>
          <w:rFonts w:ascii="arial" w:eastAsia="arial" w:hAnsi="arial" w:cs="arial"/>
          <w:color w:val="000000"/>
          <w:sz w:val="20"/>
          <w:lang w:val="en-US" w:eastAsia="en-US" w:bidi="ar-SA"/>
        </w:rPr>
        <w:t xml:space="preserve"> is two-fold. Subjectively, it produces in the witness' mind a disinclination to falsify; first, by stimulating the instinctive responsibility to public opinion, symbolized in the audience, and ready to scorn a demonstrated liar; and next, by inducing the fear of exposure of subsequent falsities through disclosure by informed persons who may chance to be present or to hear of the testimony from others present. Objectively, it secures the presence of those who by possibility may be able to furnish testimony in chief or to contradict falsifiers and yet may not have been known beforehand to the parties to possess any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operation of this latter reason was not uncommonly exemplified in earlier days in England, when </w:t>
      </w:r>
      <w:r>
        <w:rPr>
          <w:rFonts w:ascii="arial" w:eastAsia="arial" w:hAnsi="arial" w:cs="arial"/>
          <w:i/>
          <w:color w:val="000000"/>
          <w:sz w:val="20"/>
          <w:lang w:val="en-US" w:eastAsia="en-US" w:bidi="ar-SA"/>
        </w:rPr>
        <w:t>attendance at court</w:t>
      </w:r>
      <w:r>
        <w:rPr>
          <w:rFonts w:ascii="arial" w:eastAsia="arial" w:hAnsi="arial" w:cs="arial"/>
          <w:color w:val="000000"/>
          <w:sz w:val="20"/>
          <w:lang w:val="en-US" w:eastAsia="en-US" w:bidi="ar-SA"/>
        </w:rPr>
        <w:t xml:space="preserve"> was a common mode of passing the time for all classes of persons .... The same advantage is gained, and much relied on, in more modern times, when the publicity given by newspaper reports of trials is often the means of securing useful testimony. [Emphasis in original.]</w:t>
      </w:r>
      <w:bookmarkStart w:id="220" w:name="Backward_fnref_fnr-21"/>
      <w:hyperlink w:anchor="Forward_fnref_fnr-21" w:history="1">
        <w:r>
          <w:rPr>
            <w:rFonts w:ascii="arial" w:eastAsia="arial" w:hAnsi="arial" w:cs="arial"/>
            <w:b/>
            <w:color w:val="BE161D"/>
            <w:sz w:val="20"/>
            <w:shd w:val="clear" w:color="auto" w:fill="FFFFFF"/>
            <w:vertAlign w:val="superscript"/>
            <w:lang w:val="en-US" w:eastAsia="en-US" w:bidi="ar-SA"/>
          </w:rPr>
          <w:t>21</w:t>
        </w:r>
      </w:hyperlink>
      <w:bookmarkEnd w:id="220"/>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Wilson J. also considered the role of the media: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can be little doubt that restricting the freedom of the press to report cases before the courts goes against the traditional emphasis which has been placed in our justice system upon an open court process. Several reasons have been advanced in support of the importance of such a process. The one most frequently advanced, and certainly the one with the deepest roots in the history of our law, stresses the importance of an open trial for the evidentiary process. As Cory J. notes, Blackstone stressed that the open examination of witnesses "in the presence of all mankind" was more conducive to ascertaining the truth than secret examinations</w:t>
      </w:r>
      <w:bookmarkStart w:id="221" w:name="Backward_fnref_fnr-22"/>
      <w:hyperlink w:anchor="Forward_fnref_fnr-22" w:history="1">
        <w:r>
          <w:rPr>
            <w:rFonts w:ascii="arial" w:eastAsia="arial" w:hAnsi="arial" w:cs="arial"/>
            <w:b/>
            <w:color w:val="BE161D"/>
            <w:sz w:val="20"/>
            <w:shd w:val="clear" w:color="auto" w:fill="FFFFFF"/>
            <w:vertAlign w:val="superscript"/>
            <w:lang w:val="en-US" w:eastAsia="en-US" w:bidi="ar-SA"/>
          </w:rPr>
          <w:t>22</w:t>
        </w:r>
      </w:hyperlink>
      <w:bookmarkEnd w:id="221"/>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harm that may flow from limiting the press's ability to recount what takes place in court cannot readily be rationalized or minimized by saying that, although the press is constrained, the public is still free to attend. The media are, as Chief Justice Burger so truly observed, "surrogates for the public".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reason for allowing the press to provide complete accounts of what goes on in the courtroom is that an open trial is more likely to ensure that the judge and jury conduct themselves properly so as to inspire confidence in the litigants that the procedures followed and the results reached are fair. In a criminal law setting the importance of an impartial judge and jury is obvious ....</w:t>
      </w:r>
      <w:bookmarkStart w:id="222" w:name="Backward_fnref_fnr-23"/>
      <w:hyperlink w:anchor="Forward_fnref_fnr-23" w:history="1">
        <w:r>
          <w:rPr>
            <w:rFonts w:ascii="arial" w:eastAsia="arial" w:hAnsi="arial" w:cs="arial"/>
            <w:b/>
            <w:color w:val="BE161D"/>
            <w:sz w:val="20"/>
            <w:shd w:val="clear" w:color="auto" w:fill="FFFFFF"/>
            <w:vertAlign w:val="superscript"/>
            <w:lang w:val="en-US" w:eastAsia="en-US" w:bidi="ar-SA"/>
          </w:rPr>
          <w:t>23</w:t>
        </w:r>
      </w:hyperlink>
      <w:bookmarkEnd w:id="22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 2004 decision, Morrison J. denied anonymity to a high school teacher who sought to challenge disciplinary proceedings involving him by the British Columbia College of Teachers</w:t>
      </w:r>
      <w:bookmarkStart w:id="223" w:name="Backward_fnref_fnr-24"/>
      <w:hyperlink w:anchor="Forward_fnref_fnr-24" w:history="1">
        <w:r>
          <w:rPr>
            <w:rFonts w:ascii="arial" w:eastAsia="arial" w:hAnsi="arial" w:cs="arial"/>
            <w:b/>
            <w:color w:val="BE161D"/>
            <w:sz w:val="20"/>
            <w:shd w:val="clear" w:color="auto" w:fill="FFFFFF"/>
            <w:vertAlign w:val="superscript"/>
            <w:lang w:val="en-US" w:eastAsia="en-US" w:bidi="ar-SA"/>
          </w:rPr>
          <w:t>24</w:t>
        </w:r>
      </w:hyperlink>
      <w:bookmarkEnd w:id="223"/>
      <w:r>
        <w:rPr>
          <w:rFonts w:ascii="arial" w:eastAsia="arial" w:hAnsi="arial" w:cs="arial"/>
          <w:color w:val="000000"/>
          <w:sz w:val="20"/>
          <w:lang w:val="en-US" w:eastAsia="en-US" w:bidi="ar-SA"/>
        </w:rPr>
        <w:t>. She held that open and uncensored court proceedings should be overridden only by a convincing evidentiary basis, while acknowledging that a denial of the publication ban might well cause the plaintiff personal distress, embarrassment and professional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test for a publication ban is that which has been elaborated from the </w:t>
      </w:r>
      <w:r>
        <w:rPr>
          <w:rFonts w:ascii="arial" w:eastAsia="arial" w:hAnsi="arial" w:cs="arial"/>
          <w:b/>
          <w:i/>
          <w:color w:val="000000"/>
          <w:sz w:val="20"/>
          <w:lang w:val="en-US" w:eastAsia="en-US" w:bidi="ar-SA"/>
        </w:rPr>
        <w:t>Vancouver Sun</w:t>
      </w:r>
      <w:r>
        <w:rPr>
          <w:rFonts w:ascii="arial" w:eastAsia="arial" w:hAnsi="arial" w:cs="arial"/>
          <w:color w:val="000000"/>
          <w:sz w:val="20"/>
          <w:lang w:val="en-US" w:eastAsia="en-US" w:bidi="ar-SA"/>
        </w:rPr>
        <w:t xml:space="preserve"> case,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publication ban should be ordered only when: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an order is necessary in order to prevent a serious risk to the proper administration of justice because reasonably alternative measures will not prevent the risk;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salutary effects of the publication ban outweigh the deleterious effects on the rights and interests of the parties and the public, including the effects on the right to free expression, the right of the accused to a fair and public trial, and the efficacy of the administration of justice</w:t>
      </w:r>
      <w:bookmarkStart w:id="224" w:name="Backward_fnref_fnr-25"/>
      <w:hyperlink w:anchor="Forward_fnref_fnr-25" w:history="1">
        <w:r>
          <w:rPr>
            <w:rFonts w:ascii="arial" w:eastAsia="arial" w:hAnsi="arial" w:cs="arial"/>
            <w:b/>
            <w:color w:val="BE161D"/>
            <w:sz w:val="20"/>
            <w:shd w:val="clear" w:color="auto" w:fill="FFFFFF"/>
            <w:vertAlign w:val="superscript"/>
            <w:lang w:val="en-US" w:eastAsia="en-US" w:bidi="ar-SA"/>
          </w:rPr>
          <w:t>25</w:t>
        </w:r>
      </w:hyperlink>
      <w:bookmarkEnd w:id="224"/>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last word comes from the decision of the Supreme Court of Canada in </w:t>
      </w:r>
      <w:r>
        <w:rPr>
          <w:rFonts w:ascii="arial" w:eastAsia="arial" w:hAnsi="arial" w:cs="arial"/>
          <w:b/>
          <w:i/>
          <w:color w:val="000000"/>
          <w:sz w:val="20"/>
          <w:lang w:val="en-US" w:eastAsia="en-US" w:bidi="ar-SA"/>
        </w:rPr>
        <w:t>Glegg v. Smith &amp; Nephew Inc.</w:t>
      </w:r>
      <w:r>
        <w:rPr>
          <w:rFonts w:ascii="arial" w:eastAsia="arial" w:hAnsi="arial" w:cs="arial"/>
          <w:color w:val="000000"/>
          <w:sz w:val="20"/>
          <w:lang w:val="en-US" w:eastAsia="en-US" w:bidi="ar-SA"/>
        </w:rPr>
        <w:t>, a decision of 20th May 2005</w:t>
      </w:r>
      <w:bookmarkStart w:id="225" w:name="Backward_fnref_fnr-26"/>
      <w:hyperlink w:anchor="Forward_fnref_fnr-26" w:history="1">
        <w:r>
          <w:rPr>
            <w:rFonts w:ascii="arial" w:eastAsia="arial" w:hAnsi="arial" w:cs="arial"/>
            <w:b/>
            <w:color w:val="BE161D"/>
            <w:sz w:val="20"/>
            <w:shd w:val="clear" w:color="auto" w:fill="FFFFFF"/>
            <w:vertAlign w:val="superscript"/>
            <w:lang w:val="en-US" w:eastAsia="en-US" w:bidi="ar-SA"/>
          </w:rPr>
          <w:t>26</w:t>
        </w:r>
      </w:hyperlink>
      <w:bookmarkEnd w:id="225"/>
      <w:r>
        <w:rPr>
          <w:rFonts w:ascii="arial" w:eastAsia="arial" w:hAnsi="arial" w:cs="arial"/>
          <w:color w:val="000000"/>
          <w:sz w:val="20"/>
          <w:lang w:val="en-US" w:eastAsia="en-US" w:bidi="ar-SA"/>
        </w:rPr>
        <w:t xml:space="preserve">. In this medical malpractice case, involving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 orthopaedic procedure, the plaintiff objected to disclosure of her psychiatric records. The Court held that relevance had been established and that the plaintiff had waived her rights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Exceptions to the rule that sexual assault trials be held in open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some civil actions in which the plaintiff claimed damages for sexual assault, Judges of this Court have ordered a publication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For example, in </w:t>
      </w:r>
      <w:r>
        <w:rPr>
          <w:rFonts w:ascii="arial" w:eastAsia="arial" w:hAnsi="arial" w:cs="arial"/>
          <w:b/>
          <w:i/>
          <w:color w:val="000000"/>
          <w:sz w:val="20"/>
          <w:lang w:val="en-US" w:eastAsia="en-US" w:bidi="ar-SA"/>
        </w:rPr>
        <w:t>[Publication ban on name] et al v. Critchely</w:t>
      </w:r>
      <w:r>
        <w:rPr>
          <w:rFonts w:ascii="arial" w:eastAsia="arial" w:hAnsi="arial" w:cs="arial"/>
          <w:color w:val="000000"/>
          <w:sz w:val="20"/>
          <w:lang w:val="en-US" w:eastAsia="en-US" w:bidi="ar-SA"/>
        </w:rPr>
        <w:t>, Allan J. was asked to order that there be a ban on the publication of the names of the plaintiffs or on any information which would tend to identify them. The existence of a previous ban imposed in a criminal trial was not addressed. Counsel for the Crown did not oppose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Allan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all right. Well, I'm prepared to make the order. I take the view in civil proceedings particularly, one has to be conscious of the public's right and the press' right and that sort of thing, and balance the rights against the alleged complainants or victims, so that it always seems to be essential to be firm on the jurisdictional basis for making such an order.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given the nature of the allegations that are outlined in the plaintiffs' opening, and given the obvious apparent vulnerabilities of the plaintiffs and perhaps the other witnesses as well, because of the charges, perhaps I shouldn't call them charges in a civil context, but because of the nature of the allegations and because of the alleged damage that has resulted from the alleged acts, I think that it is an appropriate case for me to exercise inherent jurisdiction and protect the names of the plaintiffs and other former inmates or residents of Arden Park who were all juveniles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will be a ban on publication to protect their identity</w:t>
      </w:r>
      <w:bookmarkStart w:id="226" w:name="Backward_fnref_fnr-27"/>
      <w:hyperlink w:anchor="Forward_fnref_fnr-27" w:history="1">
        <w:r>
          <w:rPr>
            <w:rFonts w:ascii="arial" w:eastAsia="arial" w:hAnsi="arial" w:cs="arial"/>
            <w:b/>
            <w:color w:val="BE161D"/>
            <w:sz w:val="20"/>
            <w:shd w:val="clear" w:color="auto" w:fill="FFFFFF"/>
            <w:vertAlign w:val="superscript"/>
            <w:lang w:val="en-US" w:eastAsia="en-US" w:bidi="ar-SA"/>
          </w:rPr>
          <w:t>27</w:t>
        </w:r>
      </w:hyperlink>
      <w:bookmarkEnd w:id="226"/>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 1994 decision of Mondin P.C.J., of the Provincial Court of British Columbia, </w:t>
      </w:r>
      <w:r>
        <w:rPr>
          <w:rFonts w:ascii="arial" w:eastAsia="arial" w:hAnsi="arial" w:cs="arial"/>
          <w:b/>
          <w:i/>
          <w:color w:val="000000"/>
          <w:sz w:val="20"/>
          <w:lang w:val="en-US" w:eastAsia="en-US" w:bidi="ar-SA"/>
        </w:rPr>
        <w:t>R.K. v. McBride</w:t>
      </w:r>
      <w:r>
        <w:rPr>
          <w:rFonts w:ascii="arial" w:eastAsia="arial" w:hAnsi="arial" w:cs="arial"/>
          <w:color w:val="000000"/>
          <w:sz w:val="20"/>
          <w:lang w:val="en-US" w:eastAsia="en-US" w:bidi="ar-SA"/>
        </w:rPr>
        <w:t>,</w:t>
      </w:r>
      <w:bookmarkStart w:id="227" w:name="Backward_fnref_fnr-28"/>
      <w:hyperlink w:anchor="Forward_fnref_fnr-28" w:history="1">
        <w:r>
          <w:rPr>
            <w:rFonts w:ascii="arial" w:eastAsia="arial" w:hAnsi="arial" w:cs="arial"/>
            <w:b/>
            <w:color w:val="BE161D"/>
            <w:sz w:val="20"/>
            <w:shd w:val="clear" w:color="auto" w:fill="FFFFFF"/>
            <w:vertAlign w:val="superscript"/>
            <w:lang w:val="en-US" w:eastAsia="en-US" w:bidi="ar-SA"/>
          </w:rPr>
          <w:t>28</w:t>
        </w:r>
      </w:hyperlink>
      <w:bookmarkEnd w:id="227"/>
      <w:r>
        <w:rPr>
          <w:rFonts w:ascii="arial" w:eastAsia="arial" w:hAnsi="arial" w:cs="arial"/>
          <w:color w:val="000000"/>
          <w:sz w:val="20"/>
          <w:lang w:val="en-US" w:eastAsia="en-US" w:bidi="ar-SA"/>
        </w:rPr>
        <w:t xml:space="preserve"> endorses and articulates the concept that a claimant seeking damages for sexual assault is entitled to anonymity. Toward the end of lengthy and thoughtful Reasons, Mondin P.C.J.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there be a difference between the treatment afforded sexual assault victims in proceedings in which they have come forward as a witness and servant of broad public objectives, and in the case in which the victim commences an action for compensatory relief? ... What is distinctive about sexual assault victims as distinct from, for example, the person who commences custody and access proceedings against an abusive spouse but normally doesn't receive the protection or procedural accommodations sought in this case?</w:t>
      </w:r>
      <w:bookmarkStart w:id="228" w:name="Backward_fnref_fnr-29"/>
      <w:hyperlink w:anchor="Forward_fnref_fnr-29" w:history="1">
        <w:r>
          <w:rPr>
            <w:rFonts w:ascii="arial" w:eastAsia="arial" w:hAnsi="arial" w:cs="arial"/>
            <w:b/>
            <w:color w:val="BE161D"/>
            <w:sz w:val="20"/>
            <w:shd w:val="clear" w:color="auto" w:fill="FFFFFF"/>
            <w:vertAlign w:val="superscript"/>
            <w:lang w:val="en-US" w:eastAsia="en-US" w:bidi="ar-SA"/>
          </w:rPr>
          <w:t>29</w:t>
        </w:r>
      </w:hyperlink>
      <w:bookmarkEnd w:id="228"/>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applicant's assertion that she will not prosecute the claim unless assured of confidentiality does not qualify the need as imperative; otherwise every applicant could make the same assertion and effectively usurp the discretion of the court</w:t>
      </w:r>
      <w:bookmarkStart w:id="229" w:name="Backward_fnref_fnr-30"/>
      <w:hyperlink w:anchor="Forward_fnref_fnr-30" w:history="1">
        <w:r>
          <w:rPr>
            <w:rFonts w:ascii="arial" w:eastAsia="arial" w:hAnsi="arial" w:cs="arial"/>
            <w:b/>
            <w:color w:val="BE161D"/>
            <w:sz w:val="20"/>
            <w:shd w:val="clear" w:color="auto" w:fill="FFFFFF"/>
            <w:vertAlign w:val="superscript"/>
            <w:lang w:val="en-US" w:eastAsia="en-US" w:bidi="ar-SA"/>
          </w:rPr>
          <w:t>30</w:t>
        </w:r>
      </w:hyperlink>
      <w:bookmarkEnd w:id="229"/>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Bearing in mind that this application arises at the preliminary stage of this proceeding, and considering especially that I cannot see how the public interest is affected adversely if the public can attend court and can review how this court deals with a case of this kind, and is limited only to the extent that the applicant's name is not disclosed, I have concluded that the order should go in the terms sought ....</w:t>
      </w:r>
      <w:bookmarkStart w:id="230" w:name="Backward_fnref_fnr-31"/>
      <w:hyperlink w:anchor="Forward_fnref_fnr-31" w:history="1">
        <w:r>
          <w:rPr>
            <w:rFonts w:ascii="arial" w:eastAsia="arial" w:hAnsi="arial" w:cs="arial"/>
            <w:b/>
            <w:color w:val="BE161D"/>
            <w:sz w:val="20"/>
            <w:shd w:val="clear" w:color="auto" w:fill="FFFFFF"/>
            <w:vertAlign w:val="superscript"/>
            <w:lang w:val="en-US" w:eastAsia="en-US" w:bidi="ar-SA"/>
          </w:rPr>
          <w:t>31</w:t>
        </w:r>
      </w:hyperlink>
      <w:bookmarkEnd w:id="23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decision made in this Court, later in time than my Ruling in this case, is that of Joyce J., in </w:t>
      </w:r>
      <w:r>
        <w:rPr>
          <w:rFonts w:ascii="arial" w:eastAsia="arial" w:hAnsi="arial" w:cs="arial"/>
          <w:b/>
          <w:i/>
          <w:color w:val="000000"/>
          <w:sz w:val="20"/>
          <w:lang w:val="en-US" w:eastAsia="en-US" w:bidi="ar-SA"/>
        </w:rPr>
        <w:t>C.W. v. L.G.M.</w:t>
      </w:r>
      <w:bookmarkStart w:id="231" w:name="Backward_fnref_fnr-32"/>
      <w:hyperlink w:anchor="Forward_fnref_fnr-32" w:history="1">
        <w:r>
          <w:rPr>
            <w:rFonts w:ascii="arial" w:eastAsia="arial" w:hAnsi="arial" w:cs="arial"/>
            <w:b/>
            <w:color w:val="BE161D"/>
            <w:sz w:val="20"/>
            <w:shd w:val="clear" w:color="auto" w:fill="FFFFFF"/>
            <w:vertAlign w:val="superscript"/>
            <w:lang w:val="en-US" w:eastAsia="en-US" w:bidi="ar-SA"/>
          </w:rPr>
          <w:t>32</w:t>
        </w:r>
      </w:hyperlink>
      <w:bookmarkEnd w:id="231"/>
      <w:r>
        <w:rPr>
          <w:rFonts w:ascii="arial" w:eastAsia="arial" w:hAnsi="arial" w:cs="arial"/>
          <w:color w:val="000000"/>
          <w:sz w:val="20"/>
          <w:lang w:val="en-US" w:eastAsia="en-US" w:bidi="ar-SA"/>
        </w:rPr>
        <w:t>. In this case, the plaintiff claimed damages for sexual assault and sought an order that only her initials be used in court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Joyce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statute or rule in this province that sets out when persons may conduct proceedings anonymously using only their initials or pseudonyms or that restricts public access to court files, other than family law proceedings, or prohibits publication of information concerning the parties to or particulars of civil actions. The power to make orders of the kind sought by the plaintiff depends on the inherent jurisdiction of the court. I am satisfied such jurisdiction exists. The question is whether it is appropriate to exercise it in the circumstances of this case</w:t>
      </w:r>
      <w:bookmarkStart w:id="232" w:name="Backward_fnref_fnr-33"/>
      <w:hyperlink w:anchor="Forward_fnref_fnr-33" w:history="1">
        <w:r>
          <w:rPr>
            <w:rFonts w:ascii="arial" w:eastAsia="arial" w:hAnsi="arial" w:cs="arial"/>
            <w:b/>
            <w:color w:val="BE161D"/>
            <w:sz w:val="20"/>
            <w:shd w:val="clear" w:color="auto" w:fill="FFFFFF"/>
            <w:vertAlign w:val="superscript"/>
            <w:lang w:val="en-US" w:eastAsia="en-US" w:bidi="ar-SA"/>
          </w:rPr>
          <w:t>33</w:t>
        </w:r>
      </w:hyperlink>
      <w:bookmarkEnd w:id="232"/>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however, that this important principle of the openness of the court process is subject to an overarching principle: the fundamental object of the court is to see that justice is done between the parties. There are circumstances where the principle of the open court must give way in order to achieve justice. The question is what those circumstances are and, if they exist, how far the principle of an open court must yield in order to ensure that justice may be done</w:t>
      </w:r>
      <w:bookmarkStart w:id="233" w:name="Backward_fnref_fnr-34"/>
      <w:hyperlink w:anchor="Forward_fnref_fnr-34" w:history="1">
        <w:r>
          <w:rPr>
            <w:rFonts w:ascii="arial" w:eastAsia="arial" w:hAnsi="arial" w:cs="arial"/>
            <w:b/>
            <w:color w:val="BE161D"/>
            <w:sz w:val="20"/>
            <w:shd w:val="clear" w:color="auto" w:fill="FFFFFF"/>
            <w:vertAlign w:val="superscript"/>
            <w:lang w:val="en-US" w:eastAsia="en-US" w:bidi="ar-SA"/>
          </w:rPr>
          <w:t>34</w:t>
        </w:r>
      </w:hyperlink>
      <w:bookmarkEnd w:id="233"/>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there is a superordinate social value or public interest in protecting victims of sexual abuse from further injury. Victims of sexual abuse should not be deterred from seeking compensation in the court because the process will cause further harm. I am of the view that plaintiffs who claim damages for sexual abuse are entitled to orders protecting their anonymity ....</w:t>
      </w:r>
      <w:bookmarkStart w:id="234" w:name="Backward_fnref_fnr-35"/>
      <w:hyperlink w:anchor="Forward_fnref_fnr-35" w:history="1">
        <w:r>
          <w:rPr>
            <w:rFonts w:ascii="arial" w:eastAsia="arial" w:hAnsi="arial" w:cs="arial"/>
            <w:b/>
            <w:color w:val="BE161D"/>
            <w:sz w:val="20"/>
            <w:shd w:val="clear" w:color="auto" w:fill="FFFFFF"/>
            <w:vertAlign w:val="superscript"/>
            <w:lang w:val="en-US" w:eastAsia="en-US" w:bidi="ar-SA"/>
          </w:rPr>
          <w:t>35</w:t>
        </w:r>
      </w:hyperlink>
      <w:bookmarkEnd w:id="23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G.(B.) v. British Columbia</w:t>
      </w:r>
      <w:r>
        <w:rPr>
          <w:rFonts w:ascii="arial" w:eastAsia="arial" w:hAnsi="arial" w:cs="arial"/>
          <w:color w:val="000000"/>
          <w:sz w:val="20"/>
          <w:lang w:val="en-US" w:eastAsia="en-US" w:bidi="ar-SA"/>
        </w:rPr>
        <w:t>, the issue was whether it was open to the trial Judge, Wong J., to rescind the publication ban he had pronounced at the commencement of the civil trial. The application for the ban had not been opposed by the Crown, which represented the defendants. After a long trial, in his Reasons for Judgment, Wong J. used the names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went to the Court of Appeal. Their contention was that the termination of the ban was "extremely unfair" because all plaintiffs pursued their claims, and all plaintiffs and witnesses testified, in the belief that the ban on publishing their identities was permanent, or at least would not be terminated without the consent of the person to whom it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Crown contended that the plaintiffs and witnesses affected had no reasonable expectation of privacy because some had previously granted media interviews, some had not sought publication bans in their own lawsuits and all had participated in advancing claims that were fraudulent or tainted by collusion.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of Appeal held that Wong J. was wrong to rescind the publication ban without a full reconsideration of the reasons for imposing it in the first place</w:t>
      </w:r>
      <w:bookmarkStart w:id="235" w:name="Backward_fnref_fnr-36"/>
      <w:hyperlink w:anchor="Forward_fnref_fnr-36" w:history="1">
        <w:r>
          <w:rPr>
            <w:rFonts w:ascii="arial" w:eastAsia="arial" w:hAnsi="arial" w:cs="arial"/>
            <w:b/>
            <w:color w:val="BE161D"/>
            <w:sz w:val="20"/>
            <w:shd w:val="clear" w:color="auto" w:fill="FFFFFF"/>
            <w:vertAlign w:val="superscript"/>
            <w:lang w:val="en-US" w:eastAsia="en-US" w:bidi="ar-SA"/>
          </w:rPr>
          <w:t>36</w:t>
        </w:r>
      </w:hyperlink>
      <w:bookmarkEnd w:id="235"/>
      <w:r>
        <w:rPr>
          <w:rFonts w:ascii="arial" w:eastAsia="arial" w:hAnsi="arial" w:cs="arial"/>
          <w:color w:val="000000"/>
          <w:sz w:val="20"/>
          <w:lang w:val="en-US" w:eastAsia="en-US" w:bidi="ar-SA"/>
        </w:rPr>
        <w:t xml:space="preserve">. This was the </w:t>
      </w:r>
      <w:r>
        <w:rPr>
          <w:rFonts w:ascii="arial" w:eastAsia="arial" w:hAnsi="arial" w:cs="arial"/>
          <w:i/>
          <w:color w:val="000000"/>
          <w:sz w:val="20"/>
          <w:lang w:val="en-US" w:eastAsia="en-US" w:bidi="ar-SA"/>
        </w:rPr>
        <w:t>ratio</w:t>
      </w:r>
      <w:r>
        <w:rPr>
          <w:rFonts w:ascii="arial" w:eastAsia="arial" w:hAnsi="arial" w:cs="arial"/>
          <w:color w:val="000000"/>
          <w:sz w:val="20"/>
          <w:lang w:val="en-US" w:eastAsia="en-US" w:bidi="ar-SA"/>
        </w:rPr>
        <w:t xml:space="preserve">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Court went on to make other observations,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with which I will deal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Legislative impingements on the open court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 close reading of </w:t>
      </w:r>
      <w:r>
        <w:rPr>
          <w:rFonts w:ascii="arial" w:eastAsia="arial" w:hAnsi="arial" w:cs="arial"/>
          <w:b/>
          <w:i/>
          <w:color w:val="000000"/>
          <w:sz w:val="20"/>
          <w:lang w:val="en-US" w:eastAsia="en-US" w:bidi="ar-SA"/>
        </w:rPr>
        <w:t>Scott v. Scott</w:t>
      </w:r>
      <w:r>
        <w:rPr>
          <w:rFonts w:ascii="arial" w:eastAsia="arial" w:hAnsi="arial" w:cs="arial"/>
          <w:color w:val="000000"/>
          <w:sz w:val="20"/>
          <w:lang w:val="en-US" w:eastAsia="en-US" w:bidi="ar-SA"/>
        </w:rPr>
        <w:t xml:space="preserve"> indicates that the Parliament of the United Kingdom had, with respect to certain obscure categories of cases, restricted the publication of proceedings. It was also generally understood that proceedings involving persons not competent to speak for themselves, such as lunatics and wards, were generally heard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Judicial Proceedings (Regulation of Reports) Act</w:t>
      </w:r>
      <w:r>
        <w:rPr>
          <w:rFonts w:ascii="arial" w:eastAsia="arial" w:hAnsi="arial" w:cs="arial"/>
          <w:color w:val="000000"/>
          <w:sz w:val="20"/>
          <w:lang w:val="en-US" w:eastAsia="en-US" w:bidi="ar-SA"/>
        </w:rPr>
        <w:t xml:space="preserve"> of 1926 made it unlawful to publish in relation to any judicial proceedings "any indecent matter ... the publication of which would be calculated to injure public morals."</w:t>
      </w:r>
      <w:bookmarkStart w:id="236" w:name="Backward_fnref_fnr-37"/>
      <w:hyperlink w:anchor="Forward_fnref_fnr-37" w:history="1">
        <w:r>
          <w:rPr>
            <w:rFonts w:ascii="arial" w:eastAsia="arial" w:hAnsi="arial" w:cs="arial"/>
            <w:b/>
            <w:color w:val="BE161D"/>
            <w:sz w:val="20"/>
            <w:shd w:val="clear" w:color="auto" w:fill="FFFFFF"/>
            <w:vertAlign w:val="superscript"/>
            <w:lang w:val="en-US" w:eastAsia="en-US" w:bidi="ar-SA"/>
          </w:rPr>
          <w:t>37</w:t>
        </w:r>
      </w:hyperlink>
      <w:bookmarkEnd w:id="23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aware of no legislation in British Columbia, past or present, which would restrict the right of the public to attend proceedings in civil court or fetter the right of the media to report on such proceedings. Certainly, none has been cited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the criminal sphere, of course, there have been provisions for trials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going back at least as far as the </w:t>
      </w:r>
      <w:r>
        <w:rPr>
          <w:rFonts w:ascii="arial" w:eastAsia="arial" w:hAnsi="arial" w:cs="arial"/>
          <w:b/>
          <w:i/>
          <w:color w:val="000000"/>
          <w:sz w:val="20"/>
          <w:lang w:val="en-US" w:eastAsia="en-US" w:bidi="ar-SA"/>
        </w:rPr>
        <w:t>Criminal Code Amendment Act</w:t>
      </w:r>
      <w:r>
        <w:rPr>
          <w:rFonts w:ascii="arial" w:eastAsia="arial" w:hAnsi="arial" w:cs="arial"/>
          <w:color w:val="000000"/>
          <w:sz w:val="20"/>
          <w:lang w:val="en-US" w:eastAsia="en-US" w:bidi="ar-SA"/>
        </w:rPr>
        <w:t xml:space="preserve"> of 1900</w:t>
      </w:r>
      <w:bookmarkStart w:id="237" w:name="Backward_fnref_fnr-38"/>
      <w:hyperlink w:anchor="Forward_fnref_fnr-38" w:history="1">
        <w:r>
          <w:rPr>
            <w:rFonts w:ascii="arial" w:eastAsia="arial" w:hAnsi="arial" w:cs="arial"/>
            <w:b/>
            <w:color w:val="BE161D"/>
            <w:sz w:val="20"/>
            <w:shd w:val="clear" w:color="auto" w:fill="FFFFFF"/>
            <w:vertAlign w:val="superscript"/>
            <w:lang w:val="en-US" w:eastAsia="en-US" w:bidi="ar-SA"/>
          </w:rPr>
          <w:t>38</w:t>
        </w:r>
      </w:hyperlink>
      <w:bookmarkEnd w:id="237"/>
      <w:r>
        <w:rPr>
          <w:rFonts w:ascii="arial" w:eastAsia="arial" w:hAnsi="arial" w:cs="arial"/>
          <w:color w:val="000000"/>
          <w:sz w:val="20"/>
          <w:lang w:val="en-US" w:eastAsia="en-US" w:bidi="ar-SA"/>
        </w:rPr>
        <w:t xml:space="preserve">. The Parliament of Canada enacted the publication ban provisions now embodied in s. 486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in 1976</w:t>
      </w:r>
      <w:bookmarkStart w:id="238" w:name="Backward_fnref_fnr-39"/>
      <w:hyperlink w:anchor="Forward_fnref_fnr-39" w:history="1">
        <w:r>
          <w:rPr>
            <w:rFonts w:ascii="arial" w:eastAsia="arial" w:hAnsi="arial" w:cs="arial"/>
            <w:b/>
            <w:color w:val="BE161D"/>
            <w:sz w:val="20"/>
            <w:shd w:val="clear" w:color="auto" w:fill="FFFFFF"/>
            <w:vertAlign w:val="superscript"/>
            <w:lang w:val="en-US" w:eastAsia="en-US" w:bidi="ar-SA"/>
          </w:rPr>
          <w:t>39</w:t>
        </w:r>
      </w:hyperlink>
      <w:bookmarkEnd w:id="238"/>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Because I intend these reasons to be of general application, it is not significant that R.B.L., knowing that the initial publication ban I issued could be rescinded, continued with his case. Nor is the context of the sexual assault in this case - that he was in prison -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Courts around the Commonwealth have for generations endorsed the idea that what happens in court should be open to the public and, by extension, to the media. It is worthy of note, it seems to me, that Rule 40(2) of our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permits the parties to agree that the testimony of a witness may be other than oral but does not permit them to agree that the proceedings should not be held in open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Like Hinds J. in </w:t>
      </w:r>
      <w:r>
        <w:rPr>
          <w:rFonts w:ascii="arial" w:eastAsia="arial" w:hAnsi="arial" w:cs="arial"/>
          <w:b/>
          <w:i/>
          <w:color w:val="000000"/>
          <w:sz w:val="20"/>
          <w:lang w:val="en-US" w:eastAsia="en-US" w:bidi="ar-SA"/>
        </w:rPr>
        <w:t>Fulton v. King</w:t>
      </w:r>
      <w:r>
        <w:rPr>
          <w:rFonts w:ascii="arial" w:eastAsia="arial" w:hAnsi="arial" w:cs="arial"/>
          <w:color w:val="000000"/>
          <w:sz w:val="20"/>
          <w:lang w:val="en-US" w:eastAsia="en-US" w:bidi="ar-SA"/>
        </w:rPr>
        <w:t>, I conclude that a publication ban as to the names trenches on the open court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G.(B.) v. British Columbia</w:t>
      </w:r>
      <w:r>
        <w:rPr>
          <w:rFonts w:ascii="arial" w:eastAsia="arial" w:hAnsi="arial" w:cs="arial"/>
          <w:color w:val="000000"/>
          <w:sz w:val="20"/>
          <w:lang w:val="en-US" w:eastAsia="en-US" w:bidi="ar-SA"/>
        </w:rPr>
        <w:t xml:space="preserve">, Finch C.J.B.C.,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characterized the ban on publication of names as a "sliver of information" which minimally impairs the openness of judicial proceedings</w:t>
      </w:r>
      <w:bookmarkStart w:id="239" w:name="Backward_fnref_fnr-40"/>
      <w:hyperlink w:anchor="Forward_fnref_fnr-40" w:history="1">
        <w:r>
          <w:rPr>
            <w:rFonts w:ascii="arial" w:eastAsia="arial" w:hAnsi="arial" w:cs="arial"/>
            <w:b/>
            <w:color w:val="BE161D"/>
            <w:sz w:val="20"/>
            <w:shd w:val="clear" w:color="auto" w:fill="FFFFFF"/>
            <w:vertAlign w:val="superscript"/>
            <w:lang w:val="en-US" w:eastAsia="en-US" w:bidi="ar-SA"/>
          </w:rPr>
          <w:t>40</w:t>
        </w:r>
      </w:hyperlink>
      <w:bookmarkEnd w:id="239"/>
      <w:r>
        <w:rPr>
          <w:rFonts w:ascii="arial" w:eastAsia="arial" w:hAnsi="arial" w:cs="arial"/>
          <w:color w:val="000000"/>
          <w:sz w:val="20"/>
          <w:lang w:val="en-US" w:eastAsia="en-US" w:bidi="ar-SA"/>
        </w:rPr>
        <w:t>. The difference between the two views seems to rest on whether a ban involving names is important or unimportant.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From the vantage of the persons in the courtroom, a publication ban is invisible. The names of the plaintiffs are spoken out loud and routinely mentioned. From the vantage of the newspaper-reading and television-watching public, however, it is something else altogether, given that the existence of the publication ban will tend to mean that the trial is not reported on at all. I appreciate that, in reaching this conclusion, I appear to be taking judicial notice of a state of affairs which is less than notorious. The same can be said, however, of those who disagree. Perhaps the true view is that this is a policy issue unsuited for determination by Judges, as to which, more later</w:t>
      </w:r>
      <w:bookmarkStart w:id="240" w:name="Backward_fnref_fnr-41"/>
      <w:hyperlink w:anchor="Forward_fnref_fnr-41" w:history="1">
        <w:r>
          <w:rPr>
            <w:rFonts w:ascii="arial" w:eastAsia="arial" w:hAnsi="arial" w:cs="arial"/>
            <w:b/>
            <w:color w:val="BE161D"/>
            <w:sz w:val="20"/>
            <w:shd w:val="clear" w:color="auto" w:fill="FFFFFF"/>
            <w:vertAlign w:val="superscript"/>
            <w:lang w:val="en-US" w:eastAsia="en-US" w:bidi="ar-SA"/>
          </w:rPr>
          <w:t>41</w:t>
        </w:r>
      </w:hyperlink>
      <w:bookmarkEnd w:id="240"/>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Any case in which the personal characteristics and history of a plaintiff are relevant, whether it be a case like this one, a motor vehicle accident,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wrongful dismissal case or otherwise, carries with it the potential that the plaintiff will be required to lay bare private information he or she would prefer to keep secret. Cases involving allegations of mild traumatic brain injury seem particularly likely to require the plaintiff to disclose painfully personal information. Such information may seem, especially to a plaintiff, far afield from the matters sued upon but for good, historic reasons, the threshold of a determination of the potential relevance of some information to other information is necessarily low. In </w:t>
      </w:r>
      <w:r>
        <w:rPr>
          <w:rFonts w:ascii="arial" w:eastAsia="arial" w:hAnsi="arial" w:cs="arial"/>
          <w:b/>
          <w:i/>
          <w:color w:val="000000"/>
          <w:sz w:val="20"/>
          <w:lang w:val="en-US" w:eastAsia="en-US" w:bidi="ar-SA"/>
        </w:rPr>
        <w:t>Glegg v. Smith &amp; Nephew Inc.</w:t>
      </w:r>
      <w:r>
        <w:rPr>
          <w:rFonts w:ascii="arial" w:eastAsia="arial" w:hAnsi="arial" w:cs="arial"/>
          <w:color w:val="000000"/>
          <w:sz w:val="20"/>
          <w:lang w:val="en-US" w:eastAsia="en-US" w:bidi="ar-SA"/>
        </w:rPr>
        <w:t>, for example, the psychiatric history of the plaintiff may seem distant to her allegation that an orthopaedic procedure was conducted negligently; but the Supreme Court of Canada held that the defendant was entitled to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Claims for a publication ban in a civil case involving allegations of sexual assault rest on two premises: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potential claimants will be discouraged from bringing their civil claims to the Court because of the fear that it may become known that they were victims of sexual assault;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desirable that persons alleging that they are victims of sexual assault be encouraged to bring actions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Neither of these, in my view, involves a legal principle. The first premise, if of general application, seems to rest on behavioral social science as a predictor of conduct. The second premise is social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do not pretend to have enough information or knowledge to assert that either premise is correct or incorrect. Neither, it seems to me, does any Judge, by reason of his or her office, have that knowledge. But in </w:t>
      </w:r>
      <w:r>
        <w:rPr>
          <w:rFonts w:ascii="arial" w:eastAsia="arial" w:hAnsi="arial" w:cs="arial"/>
          <w:b/>
          <w:i/>
          <w:color w:val="000000"/>
          <w:sz w:val="20"/>
          <w:lang w:val="en-US" w:eastAsia="en-US" w:bidi="ar-SA"/>
        </w:rPr>
        <w:t>G.(B.) v. British Columbia</w:t>
      </w:r>
      <w:r>
        <w:rPr>
          <w:rFonts w:ascii="arial" w:eastAsia="arial" w:hAnsi="arial" w:cs="arial"/>
          <w:color w:val="000000"/>
          <w:sz w:val="20"/>
          <w:lang w:val="en-US" w:eastAsia="en-US" w:bidi="ar-SA"/>
        </w:rPr>
        <w:t xml:space="preserve">, Finch C.J.B.C.,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also should have considered the chilling effect the prospect of termination might have on those pursuing similar civil claims for historic sexual abuse (which are notoriously difficult to prove) and hence on the administration of justice</w:t>
      </w:r>
      <w:bookmarkStart w:id="241" w:name="Backward_fnref_fnr-42"/>
      <w:hyperlink w:anchor="Forward_fnref_fnr-42" w:history="1">
        <w:r>
          <w:rPr>
            <w:rFonts w:ascii="arial" w:eastAsia="arial" w:hAnsi="arial" w:cs="arial"/>
            <w:b/>
            <w:color w:val="BE161D"/>
            <w:sz w:val="20"/>
            <w:shd w:val="clear" w:color="auto" w:fill="FFFFFF"/>
            <w:vertAlign w:val="superscript"/>
            <w:lang w:val="en-US" w:eastAsia="en-US" w:bidi="ar-SA"/>
          </w:rPr>
          <w:t>42</w:t>
        </w:r>
      </w:hyperlink>
      <w:bookmarkEnd w:id="241"/>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Canadian Broadcasting Corp.</w:t>
      </w:r>
      <w:r>
        <w:rPr>
          <w:rFonts w:ascii="arial" w:eastAsia="arial" w:hAnsi="arial" w:cs="arial"/>
          <w:color w:val="000000"/>
          <w:sz w:val="20"/>
          <w:lang w:val="en-US" w:eastAsia="en-US" w:bidi="ar-SA"/>
        </w:rPr>
        <w:t>, the Saskatchewan Provincial Court had the evidence of an expert as to publication bans, which was much more equivocal</w:t>
      </w:r>
      <w:bookmarkStart w:id="242" w:name="Backward_fnref_fnr-43"/>
      <w:hyperlink w:anchor="Forward_fnref_fnr-43" w:history="1">
        <w:r>
          <w:rPr>
            <w:rFonts w:ascii="arial" w:eastAsia="arial" w:hAnsi="arial" w:cs="arial"/>
            <w:b/>
            <w:color w:val="BE161D"/>
            <w:sz w:val="20"/>
            <w:shd w:val="clear" w:color="auto" w:fill="FFFFFF"/>
            <w:vertAlign w:val="superscript"/>
            <w:lang w:val="en-US" w:eastAsia="en-US" w:bidi="ar-SA"/>
          </w:rPr>
          <w:t>43</w:t>
        </w:r>
      </w:hyperlink>
      <w:bookmarkEnd w:id="242"/>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And what does the press have to say? Although he does not hold himself out as a spokesman for the press, I quote a distinguished Canadian journalist of philosophic bent, Robert Fulford: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recent history of justice, Jane Doe has emerged as a peculiarly sinister figure. That name once indicated merely an unidentified female, but it acquired new meaning about two decades ago when various North American governments reformed their laws on rape. That's when Jane Doe, the shadowy secret accuser, rose to prominence. She looked at first like a solution. Today she looks more like a problem.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when they are fair, publication bans make the courtroom less open than we expect it to be. But legal scholars give them little attention, and for an obvious reason: No one knows how prevalent they are.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Lawyers accept this general ignorance as normal, but to an outsider it seems an outrageously casual way of curtailing freedom.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Post-1980 rape laws, however justified they once seemed, now look anachronistic and fundamentally unfair. They assume that being raped is a cause for shame, which was once true. Long ago the revelation of rape damaged a woman's reputation simply by revealing that she was no longer a virgin, but in North America that means little today. The idea that the woman had herself to blame, for getting into a situation where it could happen, has also almost vanished. A generation of public discussion has taught us that rape and related offences are crimes under any circumstances, do not constitute a judgment of the victim, and can happen to any woman. Why, then, should a victim's identity be secret? Doesn't official secrecy imply support for the perverse argument that the victim automatically shares the guilt? Assuming the woman has done nothing wrong, there's no reason she should remain in the shadows.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we should allow both victim and accused to remain unnamed until the verdict is in and all appeals, if necessary, are exhausted. That way, the court could go about its business without the annoyance of public scrutiny. The attitudes of judges in recent years suggest that many of them would find that an ideal situation</w:t>
      </w:r>
      <w:bookmarkStart w:id="243" w:name="Backward_fnref_fnr-44"/>
      <w:hyperlink w:anchor="Forward_fnref_fnr-44" w:history="1">
        <w:r>
          <w:rPr>
            <w:rFonts w:ascii="arial" w:eastAsia="arial" w:hAnsi="arial" w:cs="arial"/>
            <w:b/>
            <w:color w:val="BE161D"/>
            <w:sz w:val="20"/>
            <w:shd w:val="clear" w:color="auto" w:fill="FFFFFF"/>
            <w:vertAlign w:val="superscript"/>
            <w:lang w:val="en-US" w:eastAsia="en-US" w:bidi="ar-SA"/>
          </w:rPr>
          <w:t>44</w:t>
        </w:r>
      </w:hyperlink>
      <w:bookmarkEnd w:id="243"/>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Among other things, it seems to me unsettling that the interests of a plaintiff in this kind of case and the interests of the Crown, when it is a defendant, may coincide. Why would the Crown in this case before me want what happened in a provincial jail to be the subject of media scrutiny? The Crown not only did not oppose the publication ban, but supported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Judges of this Court have an overriding obligation to protect the integrity of its process. One very important aspect of this responsibility is to ensure that proceedings are conducted in open court. Ensuring that this occurs is an expression of the confidence of each Judge that what happens in a courtroom is beyond reproach or, when it is not, that the public is entitled to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Parliament of Canada has determined that the social goal of encouraging victims of sexual assault to come forward justifies a perpetual ban on the fact of them having done so. This is quintessentially a legislative decision, based on social science evidence and the considered views of Members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this kind of policy decision, Judges run aground. It is unpleasing to find disagreement among trial Judges in this Province, Mondin P.C.J., Allan J., and Joyce J., ranked against Hinds J., Morrison J., Wong J. and me. The Judges who disagree with me are Judges for whom I have respect. It does seem to me, however, that their decisions endorsing secrecy fall into what Lord Shaw of Dunfermline described as "usurpation [which] proceeds little by little, under cover of rules of procedure."</w:t>
      </w:r>
      <w:bookmarkStart w:id="244" w:name="Backward_fnref_fnr-45"/>
      <w:hyperlink w:anchor="Forward_fnref_fnr-45" w:history="1">
        <w:r>
          <w:rPr>
            <w:rFonts w:ascii="arial" w:eastAsia="arial" w:hAnsi="arial" w:cs="arial"/>
            <w:b/>
            <w:color w:val="BE161D"/>
            <w:sz w:val="20"/>
            <w:shd w:val="clear" w:color="auto" w:fill="FFFFFF"/>
            <w:vertAlign w:val="superscript"/>
            <w:lang w:val="en-US" w:eastAsia="en-US" w:bidi="ar-SA"/>
          </w:rPr>
          <w:t>45</w:t>
        </w:r>
      </w:hyperlink>
      <w:bookmarkEnd w:id="24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not apparent to me why a plaintiff commencing action in this Court should be seen as having a smaller obligation to the integrity of the process than does the Judge, the jury, the sheriff, the court clerk, counsel and other witnesses. By commencing action, a plaintiff commits himself or herself to various kinds of proper conduct, including the obligation to disclose information and the obligation to speak the truth. I can see no rationale for protecting a plaintiff by a publication ban from the risk of public opprobrium for breach of these obligations. Everyone else in the process is at that risk</w:t>
      </w:r>
      <w:bookmarkStart w:id="245" w:name="Backward_fnref_fnr-46"/>
      <w:hyperlink w:anchor="Forward_fnref_fnr-46" w:history="1">
        <w:r>
          <w:rPr>
            <w:rFonts w:ascii="arial" w:eastAsia="arial" w:hAnsi="arial" w:cs="arial"/>
            <w:b/>
            <w:color w:val="BE161D"/>
            <w:sz w:val="20"/>
            <w:shd w:val="clear" w:color="auto" w:fill="FFFFFF"/>
            <w:vertAlign w:val="superscript"/>
            <w:lang w:val="en-US" w:eastAsia="en-US" w:bidi="ar-SA"/>
          </w:rPr>
          <w:t>46</w:t>
        </w:r>
      </w:hyperlink>
      <w:bookmarkEnd w:id="245"/>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However, it is open to the Legislature of British Columbia to provide for secrecy in civil proceedings, just as the Parliament of Canada did in s. 486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Because it is a policy issue, the Legislature is the proper place for such a decision to be made. This, of course, is subject to the constitutionality of such legislation, given the decision in the </w:t>
      </w:r>
      <w:r>
        <w:rPr>
          <w:rFonts w:ascii="arial" w:eastAsia="arial" w:hAnsi="arial" w:cs="arial"/>
          <w:b/>
          <w:i/>
          <w:color w:val="000000"/>
          <w:sz w:val="20"/>
          <w:lang w:val="en-US" w:eastAsia="en-US" w:bidi="ar-SA"/>
        </w:rPr>
        <w:t>Edmonton Journal</w:t>
      </w:r>
      <w:r>
        <w:rPr>
          <w:rFonts w:ascii="arial" w:eastAsia="arial" w:hAnsi="arial" w:cs="arial"/>
          <w:color w:val="000000"/>
          <w:sz w:val="20"/>
          <w:lang w:val="en-US" w:eastAsia="en-US" w:bidi="ar-SA"/>
        </w:rPr>
        <w:t xml:space="preserve"> case. But if the Legislature cannot do it, surely no individual Judge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 publication ban in this case is not necessary in order to prevent a serious risk to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FRASER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Ruling issued advising that on page 17, footnote 27 at the end of Allan J.'s quote should be amended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 Action No. C946690, Vancouver Registry, 10th June 1996. It seems prudent to assume that the name "[Publication Ban on Name]" is subject to this ban.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15,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Reasons for Ruling has been amended to include the following paragraph on the front page pursuant to the directive of Mr. Justice Fraser: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the original Reasons, handed down on 18th July 2005, the name of the Plaintiff was set out, because of my decision that there should be no publication ban. In this website version of the Reasons, initials have been used in place of the Plaintiff's name, because of the interlocutory Ruling of the Court of Appeal referred to in paragraph eight. The appeal has not yet been determined; whether the Plaintiff's name should be published, as I ruled, will depend on the outcome of the appeal or a further order of the Court of Appeal.</w:t>
      </w:r>
    </w:p>
    <w:p>
      <w:pPr>
        <w:spacing w:after="240"/>
        <w:rPr>
          <w:rFonts w:ascii="arial" w:eastAsia="arial" w:hAnsi="arial" w:cs="arial"/>
          <w:sz w:val="20"/>
          <w:lang w:val="en-US" w:eastAsia="en-US" w:bidi="ar-SA"/>
        </w:rPr>
      </w:pPr>
      <w:r>
        <w:pict>
          <v:line id="_x0000_s1177" style="position:absolute;z-index:25187635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46"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46"/>
      <w:r>
        <w:rPr>
          <w:rFonts w:ascii="arial" w:eastAsia="arial" w:hAnsi="arial" w:cs="arial"/>
          <w:sz w:val="20"/>
          <w:lang w:val="en-US" w:eastAsia="en-US" w:bidi="ar-SA"/>
        </w:rPr>
        <w:tab/>
      </w:r>
      <w:r>
        <w:rPr>
          <w:rFonts w:ascii="arial" w:eastAsia="arial" w:hAnsi="arial" w:cs="arial"/>
          <w:color w:val="6D6E71"/>
          <w:sz w:val="18"/>
          <w:lang w:val="en-US" w:eastAsia="en-US" w:bidi="ar-SA"/>
        </w:rPr>
        <w:t>See paragraphs 4 to 8.</w:t>
      </w:r>
    </w:p>
    <w:p>
      <w:pPr>
        <w:spacing w:before="120" w:after="20" w:line="240" w:lineRule="atLeast"/>
        <w:ind w:left="720" w:hanging="360"/>
        <w:jc w:val="both"/>
        <w:rPr>
          <w:rFonts w:ascii="arial" w:eastAsia="arial" w:hAnsi="arial" w:cs="arial"/>
          <w:sz w:val="20"/>
          <w:lang w:val="en-US" w:eastAsia="en-US" w:bidi="ar-SA"/>
        </w:rPr>
      </w:pPr>
      <w:bookmarkStart w:id="247"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47"/>
      <w:r>
        <w:rPr>
          <w:rFonts w:ascii="arial" w:eastAsia="arial" w:hAnsi="arial" w:cs="arial"/>
          <w:sz w:val="20"/>
          <w:lang w:val="en-US" w:eastAsia="en-US" w:bidi="ar-SA"/>
        </w:rPr>
        <w:tab/>
      </w:r>
      <w:r>
        <w:rPr>
          <w:rFonts w:ascii="arial" w:eastAsia="arial" w:hAnsi="arial" w:cs="arial"/>
          <w:color w:val="6D6E71"/>
          <w:sz w:val="18"/>
          <w:lang w:val="en-US" w:eastAsia="en-US" w:bidi="ar-SA"/>
        </w:rPr>
        <w:t>See para. 23, below.</w:t>
      </w:r>
    </w:p>
    <w:p>
      <w:pPr>
        <w:spacing w:before="120" w:after="20" w:line="240" w:lineRule="atLeast"/>
        <w:ind w:left="720" w:hanging="360"/>
        <w:jc w:val="both"/>
        <w:rPr>
          <w:rFonts w:ascii="arial" w:eastAsia="arial" w:hAnsi="arial" w:cs="arial"/>
          <w:sz w:val="20"/>
          <w:lang w:val="en-US" w:eastAsia="en-US" w:bidi="ar-SA"/>
        </w:rPr>
      </w:pPr>
      <w:bookmarkStart w:id="248"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48"/>
      <w:r>
        <w:rPr>
          <w:rFonts w:ascii="arial" w:eastAsia="arial" w:hAnsi="arial" w:cs="arial"/>
          <w:sz w:val="20"/>
          <w:lang w:val="en-US" w:eastAsia="en-US" w:bidi="ar-SA"/>
        </w:rPr>
        <w:tab/>
      </w:r>
      <w:r>
        <w:rPr>
          <w:rFonts w:ascii="arial" w:eastAsia="arial" w:hAnsi="arial" w:cs="arial"/>
          <w:color w:val="6D6E71"/>
          <w:sz w:val="18"/>
          <w:lang w:val="en-US" w:eastAsia="en-US" w:bidi="ar-SA"/>
        </w:rPr>
        <w:t>Transcript, 17th August 2004, para. 4</w:t>
      </w:r>
    </w:p>
    <w:p>
      <w:pPr>
        <w:spacing w:before="120" w:after="20" w:line="240" w:lineRule="atLeast"/>
        <w:ind w:left="720" w:hanging="360"/>
        <w:jc w:val="both"/>
        <w:rPr>
          <w:rFonts w:ascii="arial" w:eastAsia="arial" w:hAnsi="arial" w:cs="arial"/>
          <w:sz w:val="20"/>
          <w:lang w:val="en-US" w:eastAsia="en-US" w:bidi="ar-SA"/>
        </w:rPr>
      </w:pPr>
      <w:bookmarkStart w:id="249"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49"/>
      <w:r>
        <w:rPr>
          <w:rFonts w:ascii="arial" w:eastAsia="arial" w:hAnsi="arial" w:cs="arial"/>
          <w:sz w:val="20"/>
          <w:lang w:val="en-US" w:eastAsia="en-US" w:bidi="ar-SA"/>
        </w:rPr>
        <w:tab/>
      </w:r>
      <w:r>
        <w:rPr>
          <w:rFonts w:ascii="arial" w:eastAsia="arial" w:hAnsi="arial" w:cs="arial"/>
          <w:i/>
          <w:color w:val="6D6E71"/>
          <w:sz w:val="18"/>
          <w:lang w:val="en-US" w:eastAsia="en-US" w:bidi="ar-SA"/>
        </w:rPr>
        <w:t>R.S.B.C. 1996, c. 124</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50"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50"/>
      <w:r>
        <w:rPr>
          <w:rFonts w:ascii="arial" w:eastAsia="arial" w:hAnsi="arial" w:cs="arial"/>
          <w:sz w:val="20"/>
          <w:lang w:val="en-US" w:eastAsia="en-US" w:bidi="ar-SA"/>
        </w:rPr>
        <w:tab/>
      </w:r>
      <w:r>
        <w:rPr>
          <w:rFonts w:ascii="arial" w:eastAsia="arial" w:hAnsi="arial" w:cs="arial"/>
          <w:color w:val="6D6E71"/>
          <w:sz w:val="18"/>
          <w:lang w:val="en-US" w:eastAsia="en-US" w:bidi="ar-SA"/>
        </w:rPr>
        <w:t>Paras. 5 and 6</w:t>
      </w:r>
    </w:p>
    <w:p>
      <w:pPr>
        <w:spacing w:before="120" w:after="20" w:line="240" w:lineRule="atLeast"/>
        <w:ind w:left="720" w:hanging="360"/>
        <w:jc w:val="both"/>
        <w:rPr>
          <w:rFonts w:ascii="arial" w:eastAsia="arial" w:hAnsi="arial" w:cs="arial"/>
          <w:sz w:val="20"/>
          <w:lang w:val="en-US" w:eastAsia="en-US" w:bidi="ar-SA"/>
        </w:rPr>
      </w:pPr>
      <w:bookmarkStart w:id="251"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251"/>
      <w:r>
        <w:rPr>
          <w:rFonts w:ascii="arial" w:eastAsia="arial" w:hAnsi="arial" w:cs="arial"/>
          <w:sz w:val="20"/>
          <w:lang w:val="en-US" w:eastAsia="en-US" w:bidi="ar-SA"/>
        </w:rPr>
        <w:tab/>
      </w:r>
      <w:r>
        <w:rPr>
          <w:rFonts w:ascii="arial" w:eastAsia="arial" w:hAnsi="arial" w:cs="arial"/>
          <w:b/>
          <w:i/>
          <w:color w:val="6D6E71"/>
          <w:sz w:val="18"/>
          <w:lang w:val="en-US" w:eastAsia="en-US" w:bidi="ar-SA"/>
        </w:rPr>
        <w:t>R. v. Adams</w:t>
      </w:r>
      <w:r>
        <w:rPr>
          <w:rFonts w:ascii="arial" w:eastAsia="arial" w:hAnsi="arial" w:cs="arial"/>
          <w:color w:val="6D6E71"/>
          <w:sz w:val="18"/>
          <w:lang w:val="en-US" w:eastAsia="en-US" w:bidi="ar-SA"/>
        </w:rPr>
        <w:t xml:space="preserve">, </w:t>
      </w:r>
      <w:hyperlink r:id="rId445" w:history="1">
        <w:r>
          <w:rPr>
            <w:rFonts w:ascii="arial" w:eastAsia="arial" w:hAnsi="arial" w:cs="arial"/>
            <w:i/>
            <w:color w:val="0077CC"/>
            <w:sz w:val="18"/>
            <w:u w:val="single"/>
            <w:shd w:val="clear" w:color="auto" w:fill="FFFFFF"/>
            <w:lang w:val="en-US" w:eastAsia="en-US" w:bidi="ar-SA"/>
          </w:rPr>
          <w:t>[1995] 4 S.C.R. 707</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52"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252"/>
      <w:r>
        <w:rPr>
          <w:rFonts w:ascii="arial" w:eastAsia="arial" w:hAnsi="arial" w:cs="arial"/>
          <w:sz w:val="20"/>
          <w:lang w:val="en-US" w:eastAsia="en-US" w:bidi="ar-SA"/>
        </w:rPr>
        <w:tab/>
      </w:r>
      <w:r>
        <w:rPr>
          <w:rFonts w:ascii="arial" w:eastAsia="arial" w:hAnsi="arial" w:cs="arial"/>
          <w:b/>
          <w:i/>
          <w:color w:val="6D6E71"/>
          <w:sz w:val="18"/>
          <w:lang w:val="en-US" w:eastAsia="en-US" w:bidi="ar-SA"/>
        </w:rPr>
        <w:t>R. v. Canadian Broadcasting Corp.</w:t>
      </w:r>
      <w:r>
        <w:rPr>
          <w:rFonts w:ascii="arial" w:eastAsia="arial" w:hAnsi="arial" w:cs="arial"/>
          <w:color w:val="6D6E71"/>
          <w:sz w:val="18"/>
          <w:lang w:val="en-US" w:eastAsia="en-US" w:bidi="ar-SA"/>
        </w:rPr>
        <w:t xml:space="preserve">, </w:t>
      </w:r>
      <w:hyperlink r:id="rId446" w:history="1">
        <w:r>
          <w:rPr>
            <w:rFonts w:ascii="arial" w:eastAsia="arial" w:hAnsi="arial" w:cs="arial"/>
            <w:i/>
            <w:color w:val="0077CC"/>
            <w:sz w:val="18"/>
            <w:u w:val="single"/>
            <w:shd w:val="clear" w:color="auto" w:fill="FFFFFF"/>
            <w:lang w:val="en-US" w:eastAsia="en-US" w:bidi="ar-SA"/>
          </w:rPr>
          <w:t>[1998] N.W.T.R. 67</w:t>
        </w:r>
      </w:hyperlink>
      <w:r>
        <w:rPr>
          <w:rFonts w:ascii="arial" w:eastAsia="arial" w:hAnsi="arial" w:cs="arial"/>
          <w:color w:val="6D6E71"/>
          <w:sz w:val="18"/>
          <w:lang w:val="en-US" w:eastAsia="en-US" w:bidi="ar-SA"/>
        </w:rPr>
        <w:t xml:space="preserve"> (N.W.T.S.C.).</w:t>
      </w:r>
    </w:p>
    <w:p>
      <w:pPr>
        <w:spacing w:before="120" w:after="20" w:line="240" w:lineRule="atLeast"/>
        <w:ind w:left="720" w:hanging="360"/>
        <w:jc w:val="both"/>
        <w:rPr>
          <w:rFonts w:ascii="arial" w:eastAsia="arial" w:hAnsi="arial" w:cs="arial"/>
          <w:sz w:val="20"/>
          <w:lang w:val="en-US" w:eastAsia="en-US" w:bidi="ar-SA"/>
        </w:rPr>
      </w:pPr>
      <w:bookmarkStart w:id="253"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253"/>
      <w:r>
        <w:rPr>
          <w:rFonts w:ascii="arial" w:eastAsia="arial" w:hAnsi="arial" w:cs="arial"/>
          <w:sz w:val="20"/>
          <w:lang w:val="en-US" w:eastAsia="en-US" w:bidi="ar-SA"/>
        </w:rPr>
        <w:tab/>
      </w:r>
      <w:r>
        <w:rPr>
          <w:rFonts w:ascii="arial" w:eastAsia="arial" w:hAnsi="arial" w:cs="arial"/>
          <w:b/>
          <w:i/>
          <w:color w:val="6D6E71"/>
          <w:sz w:val="18"/>
          <w:lang w:val="en-US" w:eastAsia="en-US" w:bidi="ar-SA"/>
        </w:rPr>
        <w:t>Canadian Newspapers Co. v. Canada (Attorney General)</w:t>
      </w:r>
      <w:r>
        <w:rPr>
          <w:rFonts w:ascii="arial" w:eastAsia="arial" w:hAnsi="arial" w:cs="arial"/>
          <w:color w:val="6D6E71"/>
          <w:sz w:val="18"/>
          <w:lang w:val="en-US" w:eastAsia="en-US" w:bidi="ar-SA"/>
        </w:rPr>
        <w:t xml:space="preserve">, </w:t>
      </w:r>
      <w:hyperlink r:id="rId447" w:history="1">
        <w:r>
          <w:rPr>
            <w:rFonts w:ascii="arial" w:eastAsia="arial" w:hAnsi="arial" w:cs="arial"/>
            <w:i/>
            <w:color w:val="0077CC"/>
            <w:sz w:val="18"/>
            <w:u w:val="single"/>
            <w:shd w:val="clear" w:color="auto" w:fill="FFFFFF"/>
            <w:lang w:val="en-US" w:eastAsia="en-US" w:bidi="ar-SA"/>
          </w:rPr>
          <w:t>[1988] 2 S.C.R. 122</w:t>
        </w:r>
      </w:hyperlink>
      <w:r>
        <w:rPr>
          <w:rFonts w:ascii="arial" w:eastAsia="arial" w:hAnsi="arial" w:cs="arial"/>
          <w:color w:val="6D6E71"/>
          <w:sz w:val="18"/>
          <w:lang w:val="en-US" w:eastAsia="en-US" w:bidi="ar-SA"/>
        </w:rPr>
        <w:t xml:space="preserve">; </w:t>
      </w:r>
      <w:r>
        <w:rPr>
          <w:rFonts w:ascii="arial" w:eastAsia="arial" w:hAnsi="arial" w:cs="arial"/>
          <w:b/>
          <w:i/>
          <w:color w:val="6D6E71"/>
          <w:sz w:val="18"/>
          <w:lang w:val="en-US" w:eastAsia="en-US" w:bidi="ar-SA"/>
        </w:rPr>
        <w:t>R. v. Canadian Broadcasting Corp.</w:t>
      </w:r>
      <w:r>
        <w:rPr>
          <w:rFonts w:ascii="arial" w:eastAsia="arial" w:hAnsi="arial" w:cs="arial"/>
          <w:color w:val="6D6E71"/>
          <w:sz w:val="18"/>
          <w:lang w:val="en-US" w:eastAsia="en-US" w:bidi="ar-SA"/>
        </w:rPr>
        <w:t xml:space="preserve">, </w:t>
      </w:r>
      <w:hyperlink r:id="rId448" w:history="1">
        <w:r>
          <w:rPr>
            <w:rFonts w:ascii="arial" w:eastAsia="arial" w:hAnsi="arial" w:cs="arial"/>
            <w:i/>
            <w:color w:val="0077CC"/>
            <w:sz w:val="18"/>
            <w:u w:val="single"/>
            <w:shd w:val="clear" w:color="auto" w:fill="FFFFFF"/>
            <w:lang w:val="en-US" w:eastAsia="en-US" w:bidi="ar-SA"/>
          </w:rPr>
          <w:t>[2004] 1 W.W.R. 482</w:t>
        </w:r>
      </w:hyperlink>
      <w:r>
        <w:rPr>
          <w:rFonts w:ascii="arial" w:eastAsia="arial" w:hAnsi="arial" w:cs="arial"/>
          <w:color w:val="6D6E71"/>
          <w:sz w:val="18"/>
          <w:lang w:val="en-US" w:eastAsia="en-US" w:bidi="ar-SA"/>
        </w:rPr>
        <w:t xml:space="preserve"> (Sask. Prov. Ct.); </w:t>
      </w:r>
      <w:r>
        <w:rPr>
          <w:rFonts w:ascii="arial" w:eastAsia="arial" w:hAnsi="arial" w:cs="arial"/>
          <w:b/>
          <w:i/>
          <w:color w:val="6D6E71"/>
          <w:sz w:val="18"/>
          <w:lang w:val="en-US" w:eastAsia="en-US" w:bidi="ar-SA"/>
        </w:rPr>
        <w:t>Éditions des Intouchables inc. c. Québec (Procureur général)</w:t>
      </w:r>
      <w:r>
        <w:rPr>
          <w:rFonts w:ascii="arial" w:eastAsia="arial" w:hAnsi="arial" w:cs="arial"/>
          <w:color w:val="6D6E71"/>
          <w:sz w:val="18"/>
          <w:lang w:val="en-US" w:eastAsia="en-US" w:bidi="ar-SA"/>
        </w:rPr>
        <w:t xml:space="preserve"> </w:t>
      </w:r>
      <w:hyperlink r:id="rId449" w:history="1">
        <w:r>
          <w:rPr>
            <w:rFonts w:ascii="arial" w:eastAsia="arial" w:hAnsi="arial" w:cs="arial"/>
            <w:i/>
            <w:color w:val="0077CC"/>
            <w:sz w:val="18"/>
            <w:u w:val="single"/>
            <w:shd w:val="clear" w:color="auto" w:fill="FFFFFF"/>
            <w:lang w:val="en-US" w:eastAsia="en-US" w:bidi="ar-SA"/>
          </w:rPr>
          <w:t>(2004), 26 C.R. (6th) 241</w:t>
        </w:r>
      </w:hyperlink>
      <w:r>
        <w:rPr>
          <w:rFonts w:ascii="arial" w:eastAsia="arial" w:hAnsi="arial" w:cs="arial"/>
          <w:color w:val="6D6E71"/>
          <w:sz w:val="18"/>
          <w:lang w:val="en-US" w:eastAsia="en-US" w:bidi="ar-SA"/>
        </w:rPr>
        <w:t xml:space="preserve"> (Que. S.C.); </w:t>
      </w:r>
      <w:r>
        <w:rPr>
          <w:rFonts w:ascii="arial" w:eastAsia="arial" w:hAnsi="arial" w:cs="arial"/>
          <w:b/>
          <w:i/>
          <w:color w:val="6D6E71"/>
          <w:sz w:val="18"/>
          <w:lang w:val="en-US" w:eastAsia="en-US" w:bidi="ar-SA"/>
        </w:rPr>
        <w:t>Simard c. Cloutier</w:t>
      </w:r>
      <w:r>
        <w:rPr>
          <w:rFonts w:ascii="arial" w:eastAsia="arial" w:hAnsi="arial" w:cs="arial"/>
          <w:color w:val="6D6E71"/>
          <w:sz w:val="18"/>
          <w:lang w:val="en-US" w:eastAsia="en-US" w:bidi="ar-SA"/>
        </w:rPr>
        <w:t>, 2005 CarswellQue 2782 (Que. S.C.).</w:t>
      </w:r>
    </w:p>
    <w:p>
      <w:pPr>
        <w:spacing w:before="120" w:after="20" w:line="240" w:lineRule="atLeast"/>
        <w:ind w:left="720" w:hanging="360"/>
        <w:jc w:val="both"/>
        <w:rPr>
          <w:rFonts w:ascii="arial" w:eastAsia="arial" w:hAnsi="arial" w:cs="arial"/>
          <w:sz w:val="20"/>
          <w:lang w:val="en-US" w:eastAsia="en-US" w:bidi="ar-SA"/>
        </w:rPr>
      </w:pPr>
      <w:bookmarkStart w:id="254"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254"/>
      <w:r>
        <w:rPr>
          <w:rFonts w:ascii="arial" w:eastAsia="arial" w:hAnsi="arial" w:cs="arial"/>
          <w:sz w:val="20"/>
          <w:lang w:val="en-US" w:eastAsia="en-US" w:bidi="ar-SA"/>
        </w:rPr>
        <w:tab/>
      </w:r>
      <w:r>
        <w:rPr>
          <w:rFonts w:ascii="arial" w:eastAsia="arial" w:hAnsi="arial" w:cs="arial"/>
          <w:color w:val="6D6E71"/>
          <w:sz w:val="18"/>
          <w:lang w:val="en-US" w:eastAsia="en-US" w:bidi="ar-SA"/>
        </w:rPr>
        <w:t>"Subject to any enactment and these rules,</w:t>
      </w:r>
    </w:p>
    <w:p>
      <w:pPr>
        <w:spacing w:before="120" w:after="20" w:line="240" w:lineRule="atLeast"/>
        <w:ind w:left="1440"/>
        <w:jc w:val="both"/>
        <w:rPr>
          <w:rFonts w:ascii="arial" w:eastAsia="arial" w:hAnsi="arial" w:cs="arial"/>
          <w:sz w:val="20"/>
          <w:lang w:val="en-US" w:eastAsia="en-US" w:bidi="ar-SA"/>
        </w:rPr>
      </w:pPr>
      <w:r>
        <w:rPr>
          <w:rFonts w:ascii="arial" w:eastAsia="arial" w:hAnsi="arial" w:cs="arial"/>
          <w:color w:val="6D6E71"/>
          <w:sz w:val="18"/>
          <w:lang w:val="en-US" w:eastAsia="en-US" w:bidi="ar-SA"/>
        </w:rPr>
        <w:t>(a) a witness at a trial of an action shall testify in open court, and</w:t>
      </w:r>
    </w:p>
    <w:p>
      <w:pPr>
        <w:spacing w:before="120" w:after="20" w:line="240" w:lineRule="atLeast"/>
        <w:ind w:left="720"/>
        <w:jc w:val="both"/>
        <w:rPr>
          <w:rFonts w:ascii="arial" w:eastAsia="arial" w:hAnsi="arial" w:cs="arial"/>
          <w:sz w:val="20"/>
          <w:lang w:val="en-US" w:eastAsia="en-US" w:bidi="ar-SA"/>
        </w:rPr>
      </w:pPr>
      <w:r>
        <w:rPr>
          <w:rFonts w:ascii="arial" w:eastAsia="arial" w:hAnsi="arial" w:cs="arial"/>
          <w:color w:val="6D6E71"/>
          <w:sz w:val="18"/>
          <w:lang w:val="en-US" w:eastAsia="en-US" w:bidi="ar-SA"/>
        </w:rPr>
        <w:t xml:space="preserve"> </w:t>
      </w:r>
    </w:p>
    <w:p>
      <w:pPr>
        <w:spacing w:before="120" w:after="20" w:line="240" w:lineRule="atLeast"/>
        <w:ind w:left="1440"/>
        <w:jc w:val="both"/>
        <w:rPr>
          <w:rFonts w:ascii="arial" w:eastAsia="arial" w:hAnsi="arial" w:cs="arial"/>
          <w:sz w:val="20"/>
          <w:lang w:val="en-US" w:eastAsia="en-US" w:bidi="ar-SA"/>
        </w:rPr>
      </w:pPr>
      <w:r>
        <w:rPr>
          <w:rFonts w:ascii="arial" w:eastAsia="arial" w:hAnsi="arial" w:cs="arial"/>
          <w:color w:val="6D6E71"/>
          <w:sz w:val="18"/>
          <w:lang w:val="en-US" w:eastAsia="en-US" w:bidi="ar-SA"/>
        </w:rPr>
        <w:t>(b) unless the parties otherwise agree, the witness shall testify orally."</w:t>
      </w:r>
    </w:p>
    <w:p>
      <w:pPr>
        <w:spacing w:before="120" w:after="20" w:line="240" w:lineRule="atLeast"/>
        <w:ind w:left="720" w:hanging="360"/>
        <w:jc w:val="both"/>
        <w:rPr>
          <w:rFonts w:ascii="arial" w:eastAsia="arial" w:hAnsi="arial" w:cs="arial"/>
          <w:sz w:val="20"/>
          <w:lang w:val="en-US" w:eastAsia="en-US" w:bidi="ar-SA"/>
        </w:rPr>
      </w:pPr>
      <w:bookmarkStart w:id="255"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255"/>
      <w:r>
        <w:rPr>
          <w:rFonts w:ascii="arial" w:eastAsia="arial" w:hAnsi="arial" w:cs="arial"/>
          <w:sz w:val="20"/>
          <w:lang w:val="en-US" w:eastAsia="en-US" w:bidi="ar-SA"/>
        </w:rPr>
        <w:tab/>
      </w:r>
      <w:r>
        <w:rPr>
          <w:rFonts w:ascii="arial" w:eastAsia="arial" w:hAnsi="arial" w:cs="arial"/>
          <w:color w:val="6D6E71"/>
          <w:sz w:val="18"/>
          <w:lang w:val="en-US" w:eastAsia="en-US" w:bidi="ar-SA"/>
        </w:rPr>
        <w:t>[1913] A.C. 417 (H.L.).</w:t>
      </w:r>
    </w:p>
    <w:p>
      <w:pPr>
        <w:spacing w:before="120" w:after="20" w:line="240" w:lineRule="atLeast"/>
        <w:ind w:left="720" w:hanging="360"/>
        <w:jc w:val="both"/>
        <w:rPr>
          <w:rFonts w:ascii="arial" w:eastAsia="arial" w:hAnsi="arial" w:cs="arial"/>
          <w:sz w:val="20"/>
          <w:lang w:val="en-US" w:eastAsia="en-US" w:bidi="ar-SA"/>
        </w:rPr>
      </w:pPr>
      <w:bookmarkStart w:id="256"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256"/>
      <w:r>
        <w:rPr>
          <w:rFonts w:ascii="arial" w:eastAsia="arial" w:hAnsi="arial" w:cs="arial"/>
          <w:sz w:val="20"/>
          <w:lang w:val="en-US" w:eastAsia="en-US" w:bidi="ar-SA"/>
        </w:rPr>
        <w:tab/>
      </w:r>
      <w:r>
        <w:rPr>
          <w:rFonts w:ascii="arial" w:eastAsia="arial" w:hAnsi="arial" w:cs="arial"/>
          <w:color w:val="6D6E71"/>
          <w:sz w:val="18"/>
          <w:lang w:val="en-US" w:eastAsia="en-US" w:bidi="ar-SA"/>
        </w:rPr>
        <w:t>See para. 36, below.</w:t>
      </w:r>
    </w:p>
    <w:p>
      <w:pPr>
        <w:spacing w:before="120" w:after="20" w:line="240" w:lineRule="atLeast"/>
        <w:ind w:left="720" w:hanging="360"/>
        <w:jc w:val="both"/>
        <w:rPr>
          <w:rFonts w:ascii="arial" w:eastAsia="arial" w:hAnsi="arial" w:cs="arial"/>
          <w:sz w:val="20"/>
          <w:lang w:val="en-US" w:eastAsia="en-US" w:bidi="ar-SA"/>
        </w:rPr>
      </w:pPr>
      <w:bookmarkStart w:id="257"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257"/>
      <w:r>
        <w:rPr>
          <w:rFonts w:ascii="arial" w:eastAsia="arial" w:hAnsi="arial" w:cs="arial"/>
          <w:sz w:val="20"/>
          <w:lang w:val="en-US" w:eastAsia="en-US" w:bidi="ar-SA"/>
        </w:rPr>
        <w:tab/>
      </w:r>
      <w:r>
        <w:rPr>
          <w:rFonts w:ascii="arial" w:eastAsia="arial" w:hAnsi="arial" w:cs="arial"/>
          <w:color w:val="6D6E71"/>
          <w:sz w:val="18"/>
          <w:lang w:val="en-US" w:eastAsia="en-US" w:bidi="ar-SA"/>
        </w:rPr>
        <w:t>20 &amp; 21 Vict. c. 85.</w:t>
      </w:r>
    </w:p>
    <w:p>
      <w:pPr>
        <w:spacing w:before="120" w:after="20" w:line="240" w:lineRule="atLeast"/>
        <w:ind w:left="720" w:hanging="360"/>
        <w:jc w:val="both"/>
        <w:rPr>
          <w:rFonts w:ascii="arial" w:eastAsia="arial" w:hAnsi="arial" w:cs="arial"/>
          <w:sz w:val="20"/>
          <w:lang w:val="en-US" w:eastAsia="en-US" w:bidi="ar-SA"/>
        </w:rPr>
      </w:pPr>
      <w:bookmarkStart w:id="258"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258"/>
      <w:r>
        <w:rPr>
          <w:rFonts w:ascii="arial" w:eastAsia="arial" w:hAnsi="arial" w:cs="arial"/>
          <w:sz w:val="20"/>
          <w:lang w:val="en-US" w:eastAsia="en-US" w:bidi="ar-SA"/>
        </w:rPr>
        <w:tab/>
      </w:r>
      <w:r>
        <w:rPr>
          <w:rFonts w:ascii="arial" w:eastAsia="arial" w:hAnsi="arial" w:cs="arial"/>
          <w:color w:val="6D6E71"/>
          <w:sz w:val="18"/>
          <w:lang w:val="en-US" w:eastAsia="en-US" w:bidi="ar-SA"/>
        </w:rPr>
        <w:t>At p. 476.</w:t>
      </w:r>
    </w:p>
    <w:p>
      <w:pPr>
        <w:spacing w:before="120" w:after="20" w:line="240" w:lineRule="atLeast"/>
        <w:ind w:left="720" w:hanging="360"/>
        <w:jc w:val="both"/>
        <w:rPr>
          <w:rFonts w:ascii="arial" w:eastAsia="arial" w:hAnsi="arial" w:cs="arial"/>
          <w:sz w:val="20"/>
          <w:lang w:val="en-US" w:eastAsia="en-US" w:bidi="ar-SA"/>
        </w:rPr>
      </w:pPr>
      <w:bookmarkStart w:id="259"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259"/>
      <w:r>
        <w:rPr>
          <w:rFonts w:ascii="arial" w:eastAsia="arial" w:hAnsi="arial" w:cs="arial"/>
          <w:sz w:val="20"/>
          <w:lang w:val="en-US" w:eastAsia="en-US" w:bidi="ar-SA"/>
        </w:rPr>
        <w:tab/>
      </w:r>
      <w:r>
        <w:rPr>
          <w:rFonts w:ascii="arial" w:eastAsia="arial" w:hAnsi="arial" w:cs="arial"/>
          <w:color w:val="6D6E71"/>
          <w:sz w:val="18"/>
          <w:lang w:val="en-US" w:eastAsia="en-US" w:bidi="ar-SA"/>
        </w:rPr>
        <w:t>At pp. 476-77. Part of this passage has been italicized by me, for identification purposes.</w:t>
      </w:r>
    </w:p>
    <w:p>
      <w:pPr>
        <w:spacing w:before="120" w:after="20" w:line="240" w:lineRule="atLeast"/>
        <w:ind w:left="720" w:hanging="360"/>
        <w:jc w:val="both"/>
        <w:rPr>
          <w:rFonts w:ascii="arial" w:eastAsia="arial" w:hAnsi="arial" w:cs="arial"/>
          <w:sz w:val="20"/>
          <w:lang w:val="en-US" w:eastAsia="en-US" w:bidi="ar-SA"/>
        </w:rPr>
      </w:pPr>
      <w:bookmarkStart w:id="260"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260"/>
      <w:r>
        <w:rPr>
          <w:rFonts w:ascii="arial" w:eastAsia="arial" w:hAnsi="arial" w:cs="arial"/>
          <w:sz w:val="20"/>
          <w:lang w:val="en-US" w:eastAsia="en-US" w:bidi="ar-SA"/>
        </w:rPr>
        <w:tab/>
      </w:r>
      <w:r>
        <w:rPr>
          <w:rFonts w:ascii="arial" w:eastAsia="arial" w:hAnsi="arial" w:cs="arial"/>
          <w:color w:val="6D6E71"/>
          <w:sz w:val="18"/>
          <w:lang w:val="en-US" w:eastAsia="en-US" w:bidi="ar-SA"/>
        </w:rPr>
        <w:t>At pp. 477-78.</w:t>
      </w:r>
    </w:p>
    <w:p>
      <w:pPr>
        <w:spacing w:before="120" w:after="20" w:line="240" w:lineRule="atLeast"/>
        <w:ind w:left="720" w:hanging="360"/>
        <w:jc w:val="both"/>
        <w:rPr>
          <w:rFonts w:ascii="arial" w:eastAsia="arial" w:hAnsi="arial" w:cs="arial"/>
          <w:sz w:val="20"/>
          <w:lang w:val="en-US" w:eastAsia="en-US" w:bidi="ar-SA"/>
        </w:rPr>
      </w:pPr>
      <w:bookmarkStart w:id="261"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261"/>
      <w:r>
        <w:rPr>
          <w:rFonts w:ascii="arial" w:eastAsia="arial" w:hAnsi="arial" w:cs="arial"/>
          <w:sz w:val="20"/>
          <w:lang w:val="en-US" w:eastAsia="en-US" w:bidi="ar-SA"/>
        </w:rPr>
        <w:tab/>
      </w:r>
      <w:r>
        <w:rPr>
          <w:rFonts w:ascii="arial" w:eastAsia="arial" w:hAnsi="arial" w:cs="arial"/>
          <w:b/>
          <w:i/>
          <w:color w:val="6D6E71"/>
          <w:sz w:val="18"/>
          <w:lang w:val="en-US" w:eastAsia="en-US" w:bidi="ar-SA"/>
        </w:rPr>
        <w:t>Re Legal Professions Act &amp; The Benchers of the Law Society of British Columbia</w:t>
      </w:r>
      <w:r>
        <w:rPr>
          <w:rFonts w:ascii="arial" w:eastAsia="arial" w:hAnsi="arial" w:cs="arial"/>
          <w:color w:val="6D6E71"/>
          <w:sz w:val="18"/>
          <w:lang w:val="en-US" w:eastAsia="en-US" w:bidi="ar-SA"/>
        </w:rPr>
        <w:t>, [1945] 4 D.L.R. 702 at 706.</w:t>
      </w:r>
    </w:p>
    <w:p>
      <w:pPr>
        <w:spacing w:before="120" w:after="20" w:line="240" w:lineRule="atLeast"/>
        <w:ind w:left="720" w:hanging="360"/>
        <w:jc w:val="both"/>
        <w:rPr>
          <w:rFonts w:ascii="arial" w:eastAsia="arial" w:hAnsi="arial" w:cs="arial"/>
          <w:sz w:val="20"/>
          <w:lang w:val="en-US" w:eastAsia="en-US" w:bidi="ar-SA"/>
        </w:rPr>
      </w:pPr>
      <w:bookmarkStart w:id="262"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262"/>
      <w:r>
        <w:rPr>
          <w:rFonts w:ascii="arial" w:eastAsia="arial" w:hAnsi="arial" w:cs="arial"/>
          <w:sz w:val="20"/>
          <w:lang w:val="en-US" w:eastAsia="en-US" w:bidi="ar-SA"/>
        </w:rPr>
        <w:tab/>
      </w:r>
      <w:hyperlink r:id="rId450" w:history="1">
        <w:r>
          <w:rPr>
            <w:rFonts w:ascii="arial" w:eastAsia="arial" w:hAnsi="arial" w:cs="arial"/>
            <w:i/>
            <w:color w:val="0077CC"/>
            <w:sz w:val="18"/>
            <w:u w:val="single"/>
            <w:shd w:val="clear" w:color="auto" w:fill="FFFFFF"/>
            <w:lang w:val="en-US" w:eastAsia="en-US" w:bidi="ar-SA"/>
          </w:rPr>
          <w:t>[1996] 3 S.C.R. 480</w:t>
        </w:r>
      </w:hyperlink>
      <w:r>
        <w:rPr>
          <w:rFonts w:ascii="arial" w:eastAsia="arial" w:hAnsi="arial" w:cs="arial"/>
          <w:color w:val="6D6E71"/>
          <w:sz w:val="18"/>
          <w:lang w:val="en-US" w:eastAsia="en-US" w:bidi="ar-SA"/>
        </w:rPr>
        <w:t>, at para. 21.</w:t>
      </w:r>
    </w:p>
    <w:p>
      <w:pPr>
        <w:spacing w:before="120" w:after="20" w:line="240" w:lineRule="atLeast"/>
        <w:ind w:left="720" w:hanging="360"/>
        <w:jc w:val="both"/>
        <w:rPr>
          <w:rFonts w:ascii="arial" w:eastAsia="arial" w:hAnsi="arial" w:cs="arial"/>
          <w:sz w:val="20"/>
          <w:lang w:val="en-US" w:eastAsia="en-US" w:bidi="ar-SA"/>
        </w:rPr>
      </w:pPr>
      <w:bookmarkStart w:id="263" w:name="Forward_fnref_fnr-18"/>
      <w:hyperlink w:anchor="Backward_fnref_fnr-18" w:history="1">
        <w:r>
          <w:rPr>
            <w:rFonts w:ascii="arial" w:eastAsia="arial" w:hAnsi="arial" w:cs="arial"/>
            <w:b/>
            <w:color w:val="BE161D"/>
            <w:sz w:val="18"/>
            <w:shd w:val="clear" w:color="auto" w:fill="FFFFFF"/>
            <w:lang w:val="en-US" w:eastAsia="en-US" w:bidi="ar-SA"/>
          </w:rPr>
          <w:t>18</w:t>
        </w:r>
      </w:hyperlink>
      <w:bookmarkEnd w:id="263"/>
      <w:r>
        <w:rPr>
          <w:rFonts w:ascii="arial" w:eastAsia="arial" w:hAnsi="arial" w:cs="arial"/>
          <w:sz w:val="20"/>
          <w:lang w:val="en-US" w:eastAsia="en-US" w:bidi="ar-SA"/>
        </w:rPr>
        <w:tab/>
      </w:r>
      <w:r>
        <w:rPr>
          <w:rFonts w:ascii="arial" w:eastAsia="arial" w:hAnsi="arial" w:cs="arial"/>
          <w:b/>
          <w:i/>
          <w:color w:val="6D6E71"/>
          <w:sz w:val="18"/>
          <w:lang w:val="en-US" w:eastAsia="en-US" w:bidi="ar-SA"/>
        </w:rPr>
        <w:t>Fulton v. King</w:t>
      </w:r>
      <w:r>
        <w:rPr>
          <w:rFonts w:ascii="arial" w:eastAsia="arial" w:hAnsi="arial" w:cs="arial"/>
          <w:color w:val="6D6E71"/>
          <w:sz w:val="18"/>
          <w:lang w:val="en-US" w:eastAsia="en-US" w:bidi="ar-SA"/>
        </w:rPr>
        <w:t xml:space="preserve"> </w:t>
      </w:r>
      <w:hyperlink r:id="rId451" w:history="1">
        <w:r>
          <w:rPr>
            <w:rFonts w:ascii="arial" w:eastAsia="arial" w:hAnsi="arial" w:cs="arial"/>
            <w:i/>
            <w:color w:val="0077CC"/>
            <w:sz w:val="18"/>
            <w:u w:val="single"/>
            <w:shd w:val="clear" w:color="auto" w:fill="FFFFFF"/>
            <w:lang w:val="en-US" w:eastAsia="en-US" w:bidi="ar-SA"/>
          </w:rPr>
          <w:t>(1981), 28 B.C.L.R. 81</w:t>
        </w:r>
      </w:hyperlink>
      <w:r>
        <w:rPr>
          <w:rFonts w:ascii="arial" w:eastAsia="arial" w:hAnsi="arial" w:cs="arial"/>
          <w:color w:val="6D6E71"/>
          <w:sz w:val="18"/>
          <w:lang w:val="en-US" w:eastAsia="en-US" w:bidi="ar-SA"/>
        </w:rPr>
        <w:t xml:space="preserve"> at 85 (S.C.).</w:t>
      </w:r>
    </w:p>
    <w:p>
      <w:pPr>
        <w:spacing w:before="120" w:after="20" w:line="240" w:lineRule="atLeast"/>
        <w:ind w:left="720" w:hanging="360"/>
        <w:jc w:val="both"/>
        <w:rPr>
          <w:rFonts w:ascii="arial" w:eastAsia="arial" w:hAnsi="arial" w:cs="arial"/>
          <w:sz w:val="20"/>
          <w:lang w:val="en-US" w:eastAsia="en-US" w:bidi="ar-SA"/>
        </w:rPr>
      </w:pPr>
      <w:bookmarkStart w:id="264" w:name="Forward_fnref_fnr-19"/>
      <w:hyperlink w:anchor="Backward_fnref_fnr-19" w:history="1">
        <w:r>
          <w:rPr>
            <w:rFonts w:ascii="arial" w:eastAsia="arial" w:hAnsi="arial" w:cs="arial"/>
            <w:b/>
            <w:color w:val="BE161D"/>
            <w:sz w:val="18"/>
            <w:shd w:val="clear" w:color="auto" w:fill="FFFFFF"/>
            <w:lang w:val="en-US" w:eastAsia="en-US" w:bidi="ar-SA"/>
          </w:rPr>
          <w:t>19</w:t>
        </w:r>
      </w:hyperlink>
      <w:bookmarkEnd w:id="264"/>
      <w:r>
        <w:rPr>
          <w:rFonts w:ascii="arial" w:eastAsia="arial" w:hAnsi="arial" w:cs="arial"/>
          <w:sz w:val="20"/>
          <w:lang w:val="en-US" w:eastAsia="en-US" w:bidi="ar-SA"/>
        </w:rPr>
        <w:tab/>
      </w:r>
      <w:hyperlink r:id="rId452" w:history="1">
        <w:r>
          <w:rPr>
            <w:rFonts w:ascii="arial" w:eastAsia="arial" w:hAnsi="arial" w:cs="arial"/>
            <w:i/>
            <w:color w:val="0077CC"/>
            <w:sz w:val="18"/>
            <w:u w:val="single"/>
            <w:shd w:val="clear" w:color="auto" w:fill="FFFFFF"/>
            <w:lang w:val="en-US" w:eastAsia="en-US" w:bidi="ar-SA"/>
          </w:rPr>
          <w:t>[1989] 2 S.C.R. 1326</w:t>
        </w:r>
      </w:hyperlink>
      <w:r>
        <w:rPr>
          <w:rFonts w:ascii="arial" w:eastAsia="arial" w:hAnsi="arial" w:cs="arial"/>
          <w:color w:val="6D6E71"/>
          <w:sz w:val="18"/>
          <w:lang w:val="en-US" w:eastAsia="en-US" w:bidi="ar-SA"/>
        </w:rPr>
        <w:t xml:space="preserve"> at 1337.</w:t>
      </w:r>
    </w:p>
    <w:p>
      <w:pPr>
        <w:spacing w:before="120" w:after="20" w:line="240" w:lineRule="atLeast"/>
        <w:ind w:left="720" w:hanging="360"/>
        <w:jc w:val="both"/>
        <w:rPr>
          <w:rFonts w:ascii="arial" w:eastAsia="arial" w:hAnsi="arial" w:cs="arial"/>
          <w:sz w:val="20"/>
          <w:lang w:val="en-US" w:eastAsia="en-US" w:bidi="ar-SA"/>
        </w:rPr>
      </w:pPr>
      <w:bookmarkStart w:id="265" w:name="Forward_fnref_fnr-20"/>
      <w:hyperlink w:anchor="Backward_fnref_fnr-20" w:history="1">
        <w:r>
          <w:rPr>
            <w:rFonts w:ascii="arial" w:eastAsia="arial" w:hAnsi="arial" w:cs="arial"/>
            <w:b/>
            <w:color w:val="BE161D"/>
            <w:sz w:val="18"/>
            <w:shd w:val="clear" w:color="auto" w:fill="FFFFFF"/>
            <w:lang w:val="en-US" w:eastAsia="en-US" w:bidi="ar-SA"/>
          </w:rPr>
          <w:t>20</w:t>
        </w:r>
      </w:hyperlink>
      <w:bookmarkEnd w:id="265"/>
      <w:r>
        <w:rPr>
          <w:rFonts w:ascii="arial" w:eastAsia="arial" w:hAnsi="arial" w:cs="arial"/>
          <w:sz w:val="20"/>
          <w:lang w:val="en-US" w:eastAsia="en-US" w:bidi="ar-SA"/>
        </w:rPr>
        <w:tab/>
      </w:r>
      <w:r>
        <w:rPr>
          <w:rFonts w:ascii="arial" w:eastAsia="arial" w:hAnsi="arial" w:cs="arial"/>
          <w:color w:val="6D6E71"/>
          <w:sz w:val="18"/>
          <w:lang w:val="en-US" w:eastAsia="en-US" w:bidi="ar-SA"/>
        </w:rPr>
        <w:t>At pp. 1339-40.</w:t>
      </w:r>
    </w:p>
    <w:p>
      <w:pPr>
        <w:spacing w:before="120" w:after="20" w:line="240" w:lineRule="atLeast"/>
        <w:ind w:left="720" w:hanging="360"/>
        <w:jc w:val="both"/>
        <w:rPr>
          <w:rFonts w:ascii="arial" w:eastAsia="arial" w:hAnsi="arial" w:cs="arial"/>
          <w:sz w:val="20"/>
          <w:lang w:val="en-US" w:eastAsia="en-US" w:bidi="ar-SA"/>
        </w:rPr>
      </w:pPr>
      <w:bookmarkStart w:id="266" w:name="Forward_fnref_fnr-21"/>
      <w:hyperlink w:anchor="Backward_fnref_fnr-21" w:history="1">
        <w:r>
          <w:rPr>
            <w:rFonts w:ascii="arial" w:eastAsia="arial" w:hAnsi="arial" w:cs="arial"/>
            <w:b/>
            <w:color w:val="BE161D"/>
            <w:sz w:val="18"/>
            <w:shd w:val="clear" w:color="auto" w:fill="FFFFFF"/>
            <w:lang w:val="en-US" w:eastAsia="en-US" w:bidi="ar-SA"/>
          </w:rPr>
          <w:t>21</w:t>
        </w:r>
      </w:hyperlink>
      <w:bookmarkEnd w:id="266"/>
      <w:r>
        <w:rPr>
          <w:rFonts w:ascii="arial" w:eastAsia="arial" w:hAnsi="arial" w:cs="arial"/>
          <w:sz w:val="20"/>
          <w:lang w:val="en-US" w:eastAsia="en-US" w:bidi="ar-SA"/>
        </w:rPr>
        <w:tab/>
      </w:r>
      <w:r>
        <w:rPr>
          <w:rFonts w:ascii="arial" w:eastAsia="arial" w:hAnsi="arial" w:cs="arial"/>
          <w:color w:val="6D6E71"/>
          <w:sz w:val="18"/>
          <w:lang w:val="en-US" w:eastAsia="en-US" w:bidi="ar-SA"/>
        </w:rPr>
        <w:t>At p. 1358.</w:t>
      </w:r>
    </w:p>
    <w:p>
      <w:pPr>
        <w:spacing w:before="120" w:after="20" w:line="240" w:lineRule="atLeast"/>
        <w:ind w:left="720" w:hanging="360"/>
        <w:jc w:val="both"/>
        <w:rPr>
          <w:rFonts w:ascii="arial" w:eastAsia="arial" w:hAnsi="arial" w:cs="arial"/>
          <w:sz w:val="20"/>
          <w:lang w:val="en-US" w:eastAsia="en-US" w:bidi="ar-SA"/>
        </w:rPr>
      </w:pPr>
      <w:bookmarkStart w:id="267" w:name="Forward_fnref_fnr-22"/>
      <w:hyperlink w:anchor="Backward_fnref_fnr-22" w:history="1">
        <w:r>
          <w:rPr>
            <w:rFonts w:ascii="arial" w:eastAsia="arial" w:hAnsi="arial" w:cs="arial"/>
            <w:b/>
            <w:color w:val="BE161D"/>
            <w:sz w:val="18"/>
            <w:shd w:val="clear" w:color="auto" w:fill="FFFFFF"/>
            <w:lang w:val="en-US" w:eastAsia="en-US" w:bidi="ar-SA"/>
          </w:rPr>
          <w:t>22</w:t>
        </w:r>
      </w:hyperlink>
      <w:bookmarkEnd w:id="267"/>
      <w:r>
        <w:rPr>
          <w:rFonts w:ascii="arial" w:eastAsia="arial" w:hAnsi="arial" w:cs="arial"/>
          <w:sz w:val="20"/>
          <w:lang w:val="en-US" w:eastAsia="en-US" w:bidi="ar-SA"/>
        </w:rPr>
        <w:tab/>
      </w:r>
      <w:r>
        <w:rPr>
          <w:rFonts w:ascii="arial" w:eastAsia="arial" w:hAnsi="arial" w:cs="arial"/>
          <w:color w:val="6D6E71"/>
          <w:sz w:val="18"/>
          <w:lang w:val="en-US" w:eastAsia="en-US" w:bidi="ar-SA"/>
        </w:rPr>
        <w:t>At pp. 1357-58.</w:t>
      </w:r>
    </w:p>
    <w:p>
      <w:pPr>
        <w:spacing w:before="120" w:after="20" w:line="240" w:lineRule="atLeast"/>
        <w:ind w:left="720" w:hanging="360"/>
        <w:jc w:val="both"/>
        <w:rPr>
          <w:rFonts w:ascii="arial" w:eastAsia="arial" w:hAnsi="arial" w:cs="arial"/>
          <w:sz w:val="20"/>
          <w:lang w:val="en-US" w:eastAsia="en-US" w:bidi="ar-SA"/>
        </w:rPr>
      </w:pPr>
      <w:bookmarkStart w:id="268" w:name="Forward_fnref_fnr-23"/>
      <w:hyperlink w:anchor="Backward_fnref_fnr-23" w:history="1">
        <w:r>
          <w:rPr>
            <w:rFonts w:ascii="arial" w:eastAsia="arial" w:hAnsi="arial" w:cs="arial"/>
            <w:b/>
            <w:color w:val="BE161D"/>
            <w:sz w:val="18"/>
            <w:shd w:val="clear" w:color="auto" w:fill="FFFFFF"/>
            <w:lang w:val="en-US" w:eastAsia="en-US" w:bidi="ar-SA"/>
          </w:rPr>
          <w:t>23</w:t>
        </w:r>
      </w:hyperlink>
      <w:bookmarkEnd w:id="268"/>
      <w:r>
        <w:rPr>
          <w:rFonts w:ascii="arial" w:eastAsia="arial" w:hAnsi="arial" w:cs="arial"/>
          <w:sz w:val="20"/>
          <w:lang w:val="en-US" w:eastAsia="en-US" w:bidi="ar-SA"/>
        </w:rPr>
        <w:tab/>
      </w:r>
      <w:r>
        <w:rPr>
          <w:rFonts w:ascii="arial" w:eastAsia="arial" w:hAnsi="arial" w:cs="arial"/>
          <w:color w:val="6D6E71"/>
          <w:sz w:val="18"/>
          <w:lang w:val="en-US" w:eastAsia="en-US" w:bidi="ar-SA"/>
        </w:rPr>
        <w:t>At pp. 1359-60.</w:t>
      </w:r>
    </w:p>
    <w:p>
      <w:pPr>
        <w:spacing w:before="120" w:after="20" w:line="240" w:lineRule="atLeast"/>
        <w:ind w:left="720" w:hanging="360"/>
        <w:jc w:val="both"/>
        <w:rPr>
          <w:rFonts w:ascii="arial" w:eastAsia="arial" w:hAnsi="arial" w:cs="arial"/>
          <w:sz w:val="20"/>
          <w:lang w:val="en-US" w:eastAsia="en-US" w:bidi="ar-SA"/>
        </w:rPr>
      </w:pPr>
      <w:bookmarkStart w:id="269" w:name="Forward_fnref_fnr-24"/>
      <w:hyperlink w:anchor="Backward_fnref_fnr-24" w:history="1">
        <w:r>
          <w:rPr>
            <w:rFonts w:ascii="arial" w:eastAsia="arial" w:hAnsi="arial" w:cs="arial"/>
            <w:b/>
            <w:color w:val="BE161D"/>
            <w:sz w:val="18"/>
            <w:shd w:val="clear" w:color="auto" w:fill="FFFFFF"/>
            <w:lang w:val="en-US" w:eastAsia="en-US" w:bidi="ar-SA"/>
          </w:rPr>
          <w:t>24</w:t>
        </w:r>
      </w:hyperlink>
      <w:bookmarkEnd w:id="269"/>
      <w:r>
        <w:rPr>
          <w:rFonts w:ascii="arial" w:eastAsia="arial" w:hAnsi="arial" w:cs="arial"/>
          <w:sz w:val="20"/>
          <w:lang w:val="en-US" w:eastAsia="en-US" w:bidi="ar-SA"/>
        </w:rPr>
        <w:tab/>
      </w:r>
      <w:r>
        <w:rPr>
          <w:rFonts w:ascii="arial" w:eastAsia="arial" w:hAnsi="arial" w:cs="arial"/>
          <w:b/>
          <w:i/>
          <w:color w:val="6D6E71"/>
          <w:sz w:val="18"/>
          <w:lang w:val="en-US" w:eastAsia="en-US" w:bidi="ar-SA"/>
        </w:rPr>
        <w:t>Mr. R. v. British Columbia College of Teachers</w:t>
      </w:r>
      <w:r>
        <w:rPr>
          <w:rFonts w:ascii="arial" w:eastAsia="arial" w:hAnsi="arial" w:cs="arial"/>
          <w:color w:val="6D6E71"/>
          <w:sz w:val="18"/>
          <w:lang w:val="en-US" w:eastAsia="en-US" w:bidi="ar-SA"/>
        </w:rPr>
        <w:t xml:space="preserve">, </w:t>
      </w:r>
      <w:hyperlink r:id="rId453" w:history="1">
        <w:r>
          <w:rPr>
            <w:rFonts w:ascii="arial" w:eastAsia="arial" w:hAnsi="arial" w:cs="arial"/>
            <w:i/>
            <w:color w:val="0077CC"/>
            <w:sz w:val="18"/>
            <w:u w:val="single"/>
            <w:shd w:val="clear" w:color="auto" w:fill="FFFFFF"/>
            <w:lang w:val="en-US" w:eastAsia="en-US" w:bidi="ar-SA"/>
          </w:rPr>
          <w:t>2004 BCSC 1345</w:t>
        </w:r>
      </w:hyperlink>
      <w:r>
        <w:rPr>
          <w:rFonts w:ascii="arial" w:eastAsia="arial" w:hAnsi="arial" w:cs="arial"/>
          <w:color w:val="6D6E71"/>
          <w:sz w:val="18"/>
          <w:lang w:val="en-US" w:eastAsia="en-US" w:bidi="ar-SA"/>
        </w:rPr>
        <w:t xml:space="preserve">. A report in the </w:t>
      </w:r>
      <w:r>
        <w:rPr>
          <w:rFonts w:ascii="arial" w:eastAsia="arial" w:hAnsi="arial" w:cs="arial"/>
          <w:i/>
          <w:color w:val="6D6E71"/>
          <w:sz w:val="18"/>
          <w:lang w:val="en-US" w:eastAsia="en-US" w:bidi="ar-SA"/>
        </w:rPr>
        <w:t>Vancouver Sun</w:t>
      </w:r>
      <w:r>
        <w:rPr>
          <w:rFonts w:ascii="arial" w:eastAsia="arial" w:hAnsi="arial" w:cs="arial"/>
          <w:color w:val="6D6E71"/>
          <w:sz w:val="18"/>
          <w:lang w:val="en-US" w:eastAsia="en-US" w:bidi="ar-SA"/>
        </w:rPr>
        <w:t xml:space="preserve"> suggests that Morrison J. "didn't name the teacher because she said the principles of open court proceedings didn't apply to the preliminary application": </w:t>
      </w:r>
      <w:r>
        <w:rPr>
          <w:rFonts w:ascii="arial" w:eastAsia="arial" w:hAnsi="arial" w:cs="arial"/>
          <w:i/>
          <w:color w:val="6D6E71"/>
          <w:sz w:val="18"/>
          <w:lang w:val="en-US" w:eastAsia="en-US" w:bidi="ar-SA"/>
        </w:rPr>
        <w:t>Vancouver Sun</w:t>
      </w:r>
      <w:r>
        <w:rPr>
          <w:rFonts w:ascii="arial" w:eastAsia="arial" w:hAnsi="arial" w:cs="arial"/>
          <w:color w:val="6D6E71"/>
          <w:sz w:val="18"/>
          <w:lang w:val="en-US" w:eastAsia="en-US" w:bidi="ar-SA"/>
        </w:rPr>
        <w:t xml:space="preserve"> 22 October 2004, p. B8.</w:t>
      </w:r>
    </w:p>
    <w:p>
      <w:pPr>
        <w:spacing w:before="120" w:after="20" w:line="240" w:lineRule="atLeast"/>
        <w:ind w:left="720" w:hanging="360"/>
        <w:jc w:val="both"/>
        <w:rPr>
          <w:rFonts w:ascii="arial" w:eastAsia="arial" w:hAnsi="arial" w:cs="arial"/>
          <w:sz w:val="20"/>
          <w:lang w:val="en-US" w:eastAsia="en-US" w:bidi="ar-SA"/>
        </w:rPr>
      </w:pPr>
      <w:bookmarkStart w:id="270" w:name="Forward_fnref_fnr-25"/>
      <w:hyperlink w:anchor="Backward_fnref_fnr-25" w:history="1">
        <w:r>
          <w:rPr>
            <w:rFonts w:ascii="arial" w:eastAsia="arial" w:hAnsi="arial" w:cs="arial"/>
            <w:b/>
            <w:color w:val="BE161D"/>
            <w:sz w:val="18"/>
            <w:shd w:val="clear" w:color="auto" w:fill="FFFFFF"/>
            <w:lang w:val="en-US" w:eastAsia="en-US" w:bidi="ar-SA"/>
          </w:rPr>
          <w:t>25</w:t>
        </w:r>
      </w:hyperlink>
      <w:bookmarkEnd w:id="270"/>
      <w:r>
        <w:rPr>
          <w:rFonts w:ascii="arial" w:eastAsia="arial" w:hAnsi="arial" w:cs="arial"/>
          <w:sz w:val="20"/>
          <w:lang w:val="en-US" w:eastAsia="en-US" w:bidi="ar-SA"/>
        </w:rPr>
        <w:tab/>
      </w:r>
      <w:r>
        <w:rPr>
          <w:rFonts w:ascii="arial" w:eastAsia="arial" w:hAnsi="arial" w:cs="arial"/>
          <w:b/>
          <w:i/>
          <w:color w:val="6D6E71"/>
          <w:sz w:val="18"/>
          <w:lang w:val="en-US" w:eastAsia="en-US" w:bidi="ar-SA"/>
        </w:rPr>
        <w:t>Vancouver Sun (Re)</w:t>
      </w:r>
      <w:r>
        <w:rPr>
          <w:rFonts w:ascii="arial" w:eastAsia="arial" w:hAnsi="arial" w:cs="arial"/>
          <w:color w:val="6D6E71"/>
          <w:sz w:val="18"/>
          <w:lang w:val="en-US" w:eastAsia="en-US" w:bidi="ar-SA"/>
        </w:rPr>
        <w:t xml:space="preserve"> </w:t>
      </w:r>
      <w:hyperlink r:id="rId454" w:history="1">
        <w:r>
          <w:rPr>
            <w:rFonts w:ascii="arial" w:eastAsia="arial" w:hAnsi="arial" w:cs="arial"/>
            <w:i/>
            <w:color w:val="0077CC"/>
            <w:sz w:val="18"/>
            <w:u w:val="single"/>
            <w:shd w:val="clear" w:color="auto" w:fill="FFFFFF"/>
            <w:lang w:val="en-US" w:eastAsia="en-US" w:bidi="ar-SA"/>
          </w:rPr>
          <w:t>2004 SCC 43</w:t>
        </w:r>
      </w:hyperlink>
      <w:r>
        <w:rPr>
          <w:rFonts w:ascii="arial" w:eastAsia="arial" w:hAnsi="arial" w:cs="arial"/>
          <w:color w:val="6D6E71"/>
          <w:sz w:val="18"/>
          <w:lang w:val="en-US" w:eastAsia="en-US" w:bidi="ar-SA"/>
        </w:rPr>
        <w:t xml:space="preserve"> at para. 29. This wording reflects the decision of the Supreme Court of Canada in </w:t>
      </w:r>
      <w:r>
        <w:rPr>
          <w:rFonts w:ascii="arial" w:eastAsia="arial" w:hAnsi="arial" w:cs="arial"/>
          <w:b/>
          <w:i/>
          <w:color w:val="6D6E71"/>
          <w:sz w:val="18"/>
          <w:lang w:val="en-US" w:eastAsia="en-US" w:bidi="ar-SA"/>
        </w:rPr>
        <w:t>Dagenais v. Canadian Broadcasting Corp.</w:t>
      </w:r>
      <w:r>
        <w:rPr>
          <w:rFonts w:ascii="arial" w:eastAsia="arial" w:hAnsi="arial" w:cs="arial"/>
          <w:color w:val="6D6E71"/>
          <w:sz w:val="18"/>
          <w:lang w:val="en-US" w:eastAsia="en-US" w:bidi="ar-SA"/>
        </w:rPr>
        <w:t xml:space="preserve">, </w:t>
      </w:r>
      <w:hyperlink r:id="rId455" w:history="1">
        <w:r>
          <w:rPr>
            <w:rFonts w:ascii="arial" w:eastAsia="arial" w:hAnsi="arial" w:cs="arial"/>
            <w:i/>
            <w:color w:val="0077CC"/>
            <w:sz w:val="18"/>
            <w:u w:val="single"/>
            <w:shd w:val="clear" w:color="auto" w:fill="FFFFFF"/>
            <w:lang w:val="en-US" w:eastAsia="en-US" w:bidi="ar-SA"/>
          </w:rPr>
          <w:t>[1994] 3 S.C.R. 835</w:t>
        </w:r>
      </w:hyperlink>
      <w:r>
        <w:rPr>
          <w:rFonts w:ascii="arial" w:eastAsia="arial" w:hAnsi="arial" w:cs="arial"/>
          <w:color w:val="6D6E71"/>
          <w:sz w:val="18"/>
          <w:lang w:val="en-US" w:eastAsia="en-US" w:bidi="ar-SA"/>
        </w:rPr>
        <w:t>, at p. 878.</w:t>
      </w:r>
    </w:p>
    <w:p>
      <w:pPr>
        <w:spacing w:before="120" w:after="20" w:line="240" w:lineRule="atLeast"/>
        <w:ind w:left="720" w:hanging="360"/>
        <w:jc w:val="both"/>
        <w:rPr>
          <w:rFonts w:ascii="arial" w:eastAsia="arial" w:hAnsi="arial" w:cs="arial"/>
          <w:sz w:val="20"/>
          <w:lang w:val="en-US" w:eastAsia="en-US" w:bidi="ar-SA"/>
        </w:rPr>
      </w:pPr>
      <w:bookmarkStart w:id="271" w:name="Forward_fnref_fnr-26"/>
      <w:hyperlink w:anchor="Backward_fnref_fnr-26" w:history="1">
        <w:r>
          <w:rPr>
            <w:rFonts w:ascii="arial" w:eastAsia="arial" w:hAnsi="arial" w:cs="arial"/>
            <w:b/>
            <w:color w:val="BE161D"/>
            <w:sz w:val="18"/>
            <w:shd w:val="clear" w:color="auto" w:fill="FFFFFF"/>
            <w:lang w:val="en-US" w:eastAsia="en-US" w:bidi="ar-SA"/>
          </w:rPr>
          <w:t>26</w:t>
        </w:r>
      </w:hyperlink>
      <w:bookmarkEnd w:id="271"/>
      <w:r>
        <w:rPr>
          <w:rFonts w:ascii="arial" w:eastAsia="arial" w:hAnsi="arial" w:cs="arial"/>
          <w:sz w:val="20"/>
          <w:lang w:val="en-US" w:eastAsia="en-US" w:bidi="ar-SA"/>
        </w:rPr>
        <w:tab/>
      </w:r>
      <w:hyperlink r:id="rId456" w:history="1">
        <w:r>
          <w:rPr>
            <w:rFonts w:ascii="arial" w:eastAsia="arial" w:hAnsi="arial" w:cs="arial"/>
            <w:i/>
            <w:color w:val="0077CC"/>
            <w:sz w:val="18"/>
            <w:u w:val="single"/>
            <w:shd w:val="clear" w:color="auto" w:fill="FFFFFF"/>
            <w:lang w:val="en-US" w:eastAsia="en-US" w:bidi="ar-SA"/>
          </w:rPr>
          <w:t>2005 SCC 31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72" w:name="Forward_fnref_fnr-27"/>
      <w:hyperlink w:anchor="Backward_fnref_fnr-27" w:history="1">
        <w:r>
          <w:rPr>
            <w:rFonts w:ascii="arial" w:eastAsia="arial" w:hAnsi="arial" w:cs="arial"/>
            <w:b/>
            <w:color w:val="BE161D"/>
            <w:sz w:val="18"/>
            <w:shd w:val="clear" w:color="auto" w:fill="FFFFFF"/>
            <w:lang w:val="en-US" w:eastAsia="en-US" w:bidi="ar-SA"/>
          </w:rPr>
          <w:t>27</w:t>
        </w:r>
      </w:hyperlink>
      <w:bookmarkEnd w:id="272"/>
      <w:r>
        <w:rPr>
          <w:rFonts w:ascii="arial" w:eastAsia="arial" w:hAnsi="arial" w:cs="arial"/>
          <w:sz w:val="20"/>
          <w:lang w:val="en-US" w:eastAsia="en-US" w:bidi="ar-SA"/>
        </w:rPr>
        <w:tab/>
      </w:r>
      <w:r>
        <w:rPr>
          <w:rFonts w:ascii="arial" w:eastAsia="arial" w:hAnsi="arial" w:cs="arial"/>
          <w:color w:val="6D6E71"/>
          <w:sz w:val="18"/>
          <w:lang w:val="en-US" w:eastAsia="en-US" w:bidi="ar-SA"/>
        </w:rPr>
        <w:t>Supreme Court of British Columbia, Action No. C946690, Vancouver Registry, 10th June 1996. It seems prudent to assume that the name "[Publication ban on name]" is subject to this ban.</w:t>
      </w:r>
    </w:p>
    <w:p>
      <w:pPr>
        <w:spacing w:before="120" w:after="20" w:line="240" w:lineRule="atLeast"/>
        <w:ind w:left="720" w:hanging="360"/>
        <w:jc w:val="both"/>
        <w:rPr>
          <w:rFonts w:ascii="arial" w:eastAsia="arial" w:hAnsi="arial" w:cs="arial"/>
          <w:sz w:val="20"/>
          <w:lang w:val="en-US" w:eastAsia="en-US" w:bidi="ar-SA"/>
        </w:rPr>
      </w:pPr>
      <w:bookmarkStart w:id="273" w:name="Forward_fnref_fnr-28"/>
      <w:hyperlink w:anchor="Backward_fnref_fnr-28" w:history="1">
        <w:r>
          <w:rPr>
            <w:rFonts w:ascii="arial" w:eastAsia="arial" w:hAnsi="arial" w:cs="arial"/>
            <w:b/>
            <w:color w:val="BE161D"/>
            <w:sz w:val="18"/>
            <w:shd w:val="clear" w:color="auto" w:fill="FFFFFF"/>
            <w:lang w:val="en-US" w:eastAsia="en-US" w:bidi="ar-SA"/>
          </w:rPr>
          <w:t>28</w:t>
        </w:r>
      </w:hyperlink>
      <w:bookmarkEnd w:id="273"/>
      <w:r>
        <w:rPr>
          <w:rFonts w:ascii="arial" w:eastAsia="arial" w:hAnsi="arial" w:cs="arial"/>
          <w:sz w:val="20"/>
          <w:lang w:val="en-US" w:eastAsia="en-US" w:bidi="ar-SA"/>
        </w:rPr>
        <w:tab/>
      </w:r>
      <w:hyperlink r:id="rId457" w:history="1">
        <w:r>
          <w:rPr>
            <w:rFonts w:ascii="arial" w:eastAsia="arial" w:hAnsi="arial" w:cs="arial"/>
            <w:i/>
            <w:color w:val="0077CC"/>
            <w:sz w:val="18"/>
            <w:u w:val="single"/>
            <w:shd w:val="clear" w:color="auto" w:fill="FFFFFF"/>
            <w:lang w:val="en-US" w:eastAsia="en-US" w:bidi="ar-SA"/>
          </w:rPr>
          <w:t>[1994] B.C.J. No. 2791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74" w:name="Forward_fnref_fnr-29"/>
      <w:hyperlink w:anchor="Backward_fnref_fnr-29" w:history="1">
        <w:r>
          <w:rPr>
            <w:rFonts w:ascii="arial" w:eastAsia="arial" w:hAnsi="arial" w:cs="arial"/>
            <w:b/>
            <w:color w:val="BE161D"/>
            <w:sz w:val="18"/>
            <w:shd w:val="clear" w:color="auto" w:fill="FFFFFF"/>
            <w:lang w:val="en-US" w:eastAsia="en-US" w:bidi="ar-SA"/>
          </w:rPr>
          <w:t>29</w:t>
        </w:r>
      </w:hyperlink>
      <w:bookmarkEnd w:id="274"/>
      <w:r>
        <w:rPr>
          <w:rFonts w:ascii="arial" w:eastAsia="arial" w:hAnsi="arial" w:cs="arial"/>
          <w:sz w:val="20"/>
          <w:lang w:val="en-US" w:eastAsia="en-US" w:bidi="ar-SA"/>
        </w:rPr>
        <w:tab/>
      </w:r>
      <w:r>
        <w:rPr>
          <w:rFonts w:ascii="arial" w:eastAsia="arial" w:hAnsi="arial" w:cs="arial"/>
          <w:color w:val="6D6E71"/>
          <w:sz w:val="18"/>
          <w:lang w:val="en-US" w:eastAsia="en-US" w:bidi="ar-SA"/>
        </w:rPr>
        <w:t>para. 44.</w:t>
      </w:r>
    </w:p>
    <w:p>
      <w:pPr>
        <w:spacing w:before="120" w:after="20" w:line="240" w:lineRule="atLeast"/>
        <w:ind w:left="720" w:hanging="360"/>
        <w:jc w:val="both"/>
        <w:rPr>
          <w:rFonts w:ascii="arial" w:eastAsia="arial" w:hAnsi="arial" w:cs="arial"/>
          <w:sz w:val="20"/>
          <w:lang w:val="en-US" w:eastAsia="en-US" w:bidi="ar-SA"/>
        </w:rPr>
      </w:pPr>
      <w:bookmarkStart w:id="275" w:name="Forward_fnref_fnr-30"/>
      <w:hyperlink w:anchor="Backward_fnref_fnr-30" w:history="1">
        <w:r>
          <w:rPr>
            <w:rFonts w:ascii="arial" w:eastAsia="arial" w:hAnsi="arial" w:cs="arial"/>
            <w:b/>
            <w:color w:val="BE161D"/>
            <w:sz w:val="18"/>
            <w:shd w:val="clear" w:color="auto" w:fill="FFFFFF"/>
            <w:lang w:val="en-US" w:eastAsia="en-US" w:bidi="ar-SA"/>
          </w:rPr>
          <w:t>30</w:t>
        </w:r>
      </w:hyperlink>
      <w:bookmarkEnd w:id="275"/>
      <w:r>
        <w:rPr>
          <w:rFonts w:ascii="arial" w:eastAsia="arial" w:hAnsi="arial" w:cs="arial"/>
          <w:sz w:val="20"/>
          <w:lang w:val="en-US" w:eastAsia="en-US" w:bidi="ar-SA"/>
        </w:rPr>
        <w:tab/>
      </w:r>
      <w:r>
        <w:rPr>
          <w:rFonts w:ascii="arial" w:eastAsia="arial" w:hAnsi="arial" w:cs="arial"/>
          <w:color w:val="6D6E71"/>
          <w:sz w:val="18"/>
          <w:lang w:val="en-US" w:eastAsia="en-US" w:bidi="ar-SA"/>
        </w:rPr>
        <w:t>para. 55.</w:t>
      </w:r>
    </w:p>
    <w:p>
      <w:pPr>
        <w:spacing w:before="120" w:after="20" w:line="240" w:lineRule="atLeast"/>
        <w:ind w:left="720" w:hanging="360"/>
        <w:jc w:val="both"/>
        <w:rPr>
          <w:rFonts w:ascii="arial" w:eastAsia="arial" w:hAnsi="arial" w:cs="arial"/>
          <w:sz w:val="20"/>
          <w:lang w:val="en-US" w:eastAsia="en-US" w:bidi="ar-SA"/>
        </w:rPr>
      </w:pPr>
      <w:bookmarkStart w:id="276" w:name="Forward_fnref_fnr-31"/>
      <w:hyperlink w:anchor="Backward_fnref_fnr-31" w:history="1">
        <w:r>
          <w:rPr>
            <w:rFonts w:ascii="arial" w:eastAsia="arial" w:hAnsi="arial" w:cs="arial"/>
            <w:b/>
            <w:color w:val="BE161D"/>
            <w:sz w:val="18"/>
            <w:shd w:val="clear" w:color="auto" w:fill="FFFFFF"/>
            <w:lang w:val="en-US" w:eastAsia="en-US" w:bidi="ar-SA"/>
          </w:rPr>
          <w:t>31</w:t>
        </w:r>
      </w:hyperlink>
      <w:bookmarkEnd w:id="276"/>
      <w:r>
        <w:rPr>
          <w:rFonts w:ascii="arial" w:eastAsia="arial" w:hAnsi="arial" w:cs="arial"/>
          <w:sz w:val="20"/>
          <w:lang w:val="en-US" w:eastAsia="en-US" w:bidi="ar-SA"/>
        </w:rPr>
        <w:tab/>
      </w:r>
      <w:r>
        <w:rPr>
          <w:rFonts w:ascii="arial" w:eastAsia="arial" w:hAnsi="arial" w:cs="arial"/>
          <w:color w:val="6D6E71"/>
          <w:sz w:val="18"/>
          <w:lang w:val="en-US" w:eastAsia="en-US" w:bidi="ar-SA"/>
        </w:rPr>
        <w:t>para. 66.</w:t>
      </w:r>
    </w:p>
    <w:p>
      <w:pPr>
        <w:spacing w:before="120" w:after="20" w:line="240" w:lineRule="atLeast"/>
        <w:ind w:left="720" w:hanging="360"/>
        <w:jc w:val="both"/>
        <w:rPr>
          <w:rFonts w:ascii="arial" w:eastAsia="arial" w:hAnsi="arial" w:cs="arial"/>
          <w:sz w:val="20"/>
          <w:lang w:val="en-US" w:eastAsia="en-US" w:bidi="ar-SA"/>
        </w:rPr>
      </w:pPr>
      <w:bookmarkStart w:id="277" w:name="Forward_fnref_fnr-32"/>
      <w:hyperlink w:anchor="Backward_fnref_fnr-32" w:history="1">
        <w:r>
          <w:rPr>
            <w:rFonts w:ascii="arial" w:eastAsia="arial" w:hAnsi="arial" w:cs="arial"/>
            <w:b/>
            <w:color w:val="BE161D"/>
            <w:sz w:val="18"/>
            <w:shd w:val="clear" w:color="auto" w:fill="FFFFFF"/>
            <w:lang w:val="en-US" w:eastAsia="en-US" w:bidi="ar-SA"/>
          </w:rPr>
          <w:t>32</w:t>
        </w:r>
      </w:hyperlink>
      <w:bookmarkEnd w:id="277"/>
      <w:r>
        <w:rPr>
          <w:rFonts w:ascii="arial" w:eastAsia="arial" w:hAnsi="arial" w:cs="arial"/>
          <w:sz w:val="20"/>
          <w:lang w:val="en-US" w:eastAsia="en-US" w:bidi="ar-SA"/>
        </w:rPr>
        <w:tab/>
      </w:r>
      <w:hyperlink r:id="rId458" w:history="1">
        <w:r>
          <w:rPr>
            <w:rFonts w:ascii="arial" w:eastAsia="arial" w:hAnsi="arial" w:cs="arial"/>
            <w:i/>
            <w:color w:val="0077CC"/>
            <w:sz w:val="18"/>
            <w:u w:val="single"/>
            <w:shd w:val="clear" w:color="auto" w:fill="FFFFFF"/>
            <w:lang w:val="en-US" w:eastAsia="en-US" w:bidi="ar-SA"/>
          </w:rPr>
          <w:t>2004 BCSC 1499</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78" w:name="Forward_fnref_fnr-33"/>
      <w:hyperlink w:anchor="Backward_fnref_fnr-33" w:history="1">
        <w:r>
          <w:rPr>
            <w:rFonts w:ascii="arial" w:eastAsia="arial" w:hAnsi="arial" w:cs="arial"/>
            <w:b/>
            <w:color w:val="BE161D"/>
            <w:sz w:val="18"/>
            <w:shd w:val="clear" w:color="auto" w:fill="FFFFFF"/>
            <w:lang w:val="en-US" w:eastAsia="en-US" w:bidi="ar-SA"/>
          </w:rPr>
          <w:t>33</w:t>
        </w:r>
      </w:hyperlink>
      <w:bookmarkEnd w:id="278"/>
      <w:r>
        <w:rPr>
          <w:rFonts w:ascii="arial" w:eastAsia="arial" w:hAnsi="arial" w:cs="arial"/>
          <w:sz w:val="20"/>
          <w:lang w:val="en-US" w:eastAsia="en-US" w:bidi="ar-SA"/>
        </w:rPr>
        <w:tab/>
      </w:r>
      <w:r>
        <w:rPr>
          <w:rFonts w:ascii="arial" w:eastAsia="arial" w:hAnsi="arial" w:cs="arial"/>
          <w:color w:val="6D6E71"/>
          <w:sz w:val="18"/>
          <w:lang w:val="en-US" w:eastAsia="en-US" w:bidi="ar-SA"/>
        </w:rPr>
        <w:t>para. 6.</w:t>
      </w:r>
    </w:p>
    <w:p>
      <w:pPr>
        <w:spacing w:before="120" w:after="20" w:line="240" w:lineRule="atLeast"/>
        <w:ind w:left="720" w:hanging="360"/>
        <w:jc w:val="both"/>
        <w:rPr>
          <w:rFonts w:ascii="arial" w:eastAsia="arial" w:hAnsi="arial" w:cs="arial"/>
          <w:sz w:val="20"/>
          <w:lang w:val="en-US" w:eastAsia="en-US" w:bidi="ar-SA"/>
        </w:rPr>
      </w:pPr>
      <w:bookmarkStart w:id="279" w:name="Forward_fnref_fnr-34"/>
      <w:hyperlink w:anchor="Backward_fnref_fnr-34" w:history="1">
        <w:r>
          <w:rPr>
            <w:rFonts w:ascii="arial" w:eastAsia="arial" w:hAnsi="arial" w:cs="arial"/>
            <w:b/>
            <w:color w:val="BE161D"/>
            <w:sz w:val="18"/>
            <w:shd w:val="clear" w:color="auto" w:fill="FFFFFF"/>
            <w:lang w:val="en-US" w:eastAsia="en-US" w:bidi="ar-SA"/>
          </w:rPr>
          <w:t>34</w:t>
        </w:r>
      </w:hyperlink>
      <w:bookmarkEnd w:id="279"/>
      <w:r>
        <w:rPr>
          <w:rFonts w:ascii="arial" w:eastAsia="arial" w:hAnsi="arial" w:cs="arial"/>
          <w:sz w:val="20"/>
          <w:lang w:val="en-US" w:eastAsia="en-US" w:bidi="ar-SA"/>
        </w:rPr>
        <w:tab/>
      </w:r>
      <w:r>
        <w:rPr>
          <w:rFonts w:ascii="arial" w:eastAsia="arial" w:hAnsi="arial" w:cs="arial"/>
          <w:color w:val="6D6E71"/>
          <w:sz w:val="18"/>
          <w:lang w:val="en-US" w:eastAsia="en-US" w:bidi="ar-SA"/>
        </w:rPr>
        <w:t>para. 9.</w:t>
      </w:r>
    </w:p>
    <w:p>
      <w:pPr>
        <w:spacing w:before="120" w:after="20" w:line="240" w:lineRule="atLeast"/>
        <w:ind w:left="720" w:hanging="360"/>
        <w:jc w:val="both"/>
        <w:rPr>
          <w:rFonts w:ascii="arial" w:eastAsia="arial" w:hAnsi="arial" w:cs="arial"/>
          <w:sz w:val="20"/>
          <w:lang w:val="en-US" w:eastAsia="en-US" w:bidi="ar-SA"/>
        </w:rPr>
      </w:pPr>
      <w:bookmarkStart w:id="280" w:name="Forward_fnref_fnr-35"/>
      <w:hyperlink w:anchor="Backward_fnref_fnr-35" w:history="1">
        <w:r>
          <w:rPr>
            <w:rFonts w:ascii="arial" w:eastAsia="arial" w:hAnsi="arial" w:cs="arial"/>
            <w:b/>
            <w:color w:val="BE161D"/>
            <w:sz w:val="18"/>
            <w:shd w:val="clear" w:color="auto" w:fill="FFFFFF"/>
            <w:lang w:val="en-US" w:eastAsia="en-US" w:bidi="ar-SA"/>
          </w:rPr>
          <w:t>35</w:t>
        </w:r>
      </w:hyperlink>
      <w:bookmarkEnd w:id="280"/>
      <w:r>
        <w:rPr>
          <w:rFonts w:ascii="arial" w:eastAsia="arial" w:hAnsi="arial" w:cs="arial"/>
          <w:sz w:val="20"/>
          <w:lang w:val="en-US" w:eastAsia="en-US" w:bidi="ar-SA"/>
        </w:rPr>
        <w:tab/>
      </w:r>
      <w:r>
        <w:rPr>
          <w:rFonts w:ascii="arial" w:eastAsia="arial" w:hAnsi="arial" w:cs="arial"/>
          <w:color w:val="6D6E71"/>
          <w:sz w:val="18"/>
          <w:lang w:val="en-US" w:eastAsia="en-US" w:bidi="ar-SA"/>
        </w:rPr>
        <w:t>para. 26.</w:t>
      </w:r>
    </w:p>
    <w:p>
      <w:pPr>
        <w:spacing w:before="120" w:after="20" w:line="240" w:lineRule="atLeast"/>
        <w:ind w:left="720" w:hanging="360"/>
        <w:jc w:val="both"/>
        <w:rPr>
          <w:rFonts w:ascii="arial" w:eastAsia="arial" w:hAnsi="arial" w:cs="arial"/>
          <w:sz w:val="20"/>
          <w:lang w:val="en-US" w:eastAsia="en-US" w:bidi="ar-SA"/>
        </w:rPr>
      </w:pPr>
      <w:bookmarkStart w:id="281" w:name="Forward_fnref_fnr-36"/>
      <w:hyperlink w:anchor="Backward_fnref_fnr-36" w:history="1">
        <w:r>
          <w:rPr>
            <w:rFonts w:ascii="arial" w:eastAsia="arial" w:hAnsi="arial" w:cs="arial"/>
            <w:b/>
            <w:color w:val="BE161D"/>
            <w:sz w:val="18"/>
            <w:shd w:val="clear" w:color="auto" w:fill="FFFFFF"/>
            <w:lang w:val="en-US" w:eastAsia="en-US" w:bidi="ar-SA"/>
          </w:rPr>
          <w:t>36</w:t>
        </w:r>
      </w:hyperlink>
      <w:bookmarkEnd w:id="281"/>
      <w:r>
        <w:rPr>
          <w:rFonts w:ascii="arial" w:eastAsia="arial" w:hAnsi="arial" w:cs="arial"/>
          <w:sz w:val="20"/>
          <w:lang w:val="en-US" w:eastAsia="en-US" w:bidi="ar-SA"/>
        </w:rPr>
        <w:tab/>
      </w:r>
      <w:hyperlink r:id="rId459" w:history="1">
        <w:r>
          <w:rPr>
            <w:rFonts w:ascii="arial" w:eastAsia="arial" w:hAnsi="arial" w:cs="arial"/>
            <w:i/>
            <w:color w:val="0077CC"/>
            <w:sz w:val="18"/>
            <w:u w:val="single"/>
            <w:shd w:val="clear" w:color="auto" w:fill="FFFFFF"/>
            <w:lang w:val="en-US" w:eastAsia="en-US" w:bidi="ar-SA"/>
          </w:rPr>
          <w:t>2004 BCCA 345</w:t>
        </w:r>
      </w:hyperlink>
      <w:r>
        <w:rPr>
          <w:rFonts w:ascii="arial" w:eastAsia="arial" w:hAnsi="arial" w:cs="arial"/>
          <w:color w:val="6D6E71"/>
          <w:sz w:val="18"/>
          <w:lang w:val="en-US" w:eastAsia="en-US" w:bidi="ar-SA"/>
        </w:rPr>
        <w:t xml:space="preserve">; </w:t>
      </w:r>
      <w:hyperlink r:id="rId459" w:history="1">
        <w:r>
          <w:rPr>
            <w:rFonts w:ascii="arial" w:eastAsia="arial" w:hAnsi="arial" w:cs="arial"/>
            <w:i/>
            <w:color w:val="0077CC"/>
            <w:sz w:val="18"/>
            <w:u w:val="single"/>
            <w:shd w:val="clear" w:color="auto" w:fill="FFFFFF"/>
            <w:lang w:val="en-US" w:eastAsia="en-US" w:bidi="ar-SA"/>
          </w:rPr>
          <w:t>(2004), 242 D.L.R. (4th) 665</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82" w:name="Forward_fnref_fnr-37"/>
      <w:hyperlink w:anchor="Backward_fnref_fnr-37" w:history="1">
        <w:r>
          <w:rPr>
            <w:rFonts w:ascii="arial" w:eastAsia="arial" w:hAnsi="arial" w:cs="arial"/>
            <w:b/>
            <w:color w:val="BE161D"/>
            <w:sz w:val="18"/>
            <w:shd w:val="clear" w:color="auto" w:fill="FFFFFF"/>
            <w:lang w:val="en-US" w:eastAsia="en-US" w:bidi="ar-SA"/>
          </w:rPr>
          <w:t>37</w:t>
        </w:r>
      </w:hyperlink>
      <w:bookmarkEnd w:id="282"/>
      <w:r>
        <w:rPr>
          <w:rFonts w:ascii="arial" w:eastAsia="arial" w:hAnsi="arial" w:cs="arial"/>
          <w:sz w:val="20"/>
          <w:lang w:val="en-US" w:eastAsia="en-US" w:bidi="ar-SA"/>
        </w:rPr>
        <w:tab/>
      </w:r>
      <w:r>
        <w:rPr>
          <w:rFonts w:ascii="arial" w:eastAsia="arial" w:hAnsi="arial" w:cs="arial"/>
          <w:color w:val="6D6E71"/>
          <w:sz w:val="18"/>
          <w:lang w:val="en-US" w:eastAsia="en-US" w:bidi="ar-SA"/>
        </w:rPr>
        <w:t>16 &amp; 17 Geo. 5 c. 61.</w:t>
      </w:r>
    </w:p>
    <w:p>
      <w:pPr>
        <w:spacing w:before="120" w:after="20" w:line="240" w:lineRule="atLeast"/>
        <w:ind w:left="720" w:hanging="360"/>
        <w:jc w:val="both"/>
        <w:rPr>
          <w:rFonts w:ascii="arial" w:eastAsia="arial" w:hAnsi="arial" w:cs="arial"/>
          <w:sz w:val="20"/>
          <w:lang w:val="en-US" w:eastAsia="en-US" w:bidi="ar-SA"/>
        </w:rPr>
      </w:pPr>
      <w:bookmarkStart w:id="283" w:name="Forward_fnref_fnr-38"/>
      <w:hyperlink w:anchor="Backward_fnref_fnr-38" w:history="1">
        <w:r>
          <w:rPr>
            <w:rFonts w:ascii="arial" w:eastAsia="arial" w:hAnsi="arial" w:cs="arial"/>
            <w:b/>
            <w:color w:val="BE161D"/>
            <w:sz w:val="18"/>
            <w:shd w:val="clear" w:color="auto" w:fill="FFFFFF"/>
            <w:lang w:val="en-US" w:eastAsia="en-US" w:bidi="ar-SA"/>
          </w:rPr>
          <w:t>38</w:t>
        </w:r>
      </w:hyperlink>
      <w:bookmarkEnd w:id="283"/>
      <w:r>
        <w:rPr>
          <w:rFonts w:ascii="arial" w:eastAsia="arial" w:hAnsi="arial" w:cs="arial"/>
          <w:sz w:val="20"/>
          <w:lang w:val="en-US" w:eastAsia="en-US" w:bidi="ar-SA"/>
        </w:rPr>
        <w:tab/>
      </w:r>
      <w:r>
        <w:rPr>
          <w:rFonts w:ascii="arial" w:eastAsia="arial" w:hAnsi="arial" w:cs="arial"/>
          <w:color w:val="6D6E71"/>
          <w:sz w:val="18"/>
          <w:lang w:val="en-US" w:eastAsia="en-US" w:bidi="ar-SA"/>
        </w:rPr>
        <w:t>S.C. 1900 c. 46.</w:t>
      </w:r>
    </w:p>
    <w:p>
      <w:pPr>
        <w:spacing w:before="120" w:after="20" w:line="240" w:lineRule="atLeast"/>
        <w:ind w:left="720" w:hanging="360"/>
        <w:jc w:val="both"/>
        <w:rPr>
          <w:rFonts w:ascii="arial" w:eastAsia="arial" w:hAnsi="arial" w:cs="arial"/>
          <w:sz w:val="20"/>
          <w:lang w:val="en-US" w:eastAsia="en-US" w:bidi="ar-SA"/>
        </w:rPr>
      </w:pPr>
      <w:bookmarkStart w:id="284" w:name="Forward_fnref_fnr-39"/>
      <w:hyperlink w:anchor="Backward_fnref_fnr-39" w:history="1">
        <w:r>
          <w:rPr>
            <w:rFonts w:ascii="arial" w:eastAsia="arial" w:hAnsi="arial" w:cs="arial"/>
            <w:b/>
            <w:color w:val="BE161D"/>
            <w:sz w:val="18"/>
            <w:shd w:val="clear" w:color="auto" w:fill="FFFFFF"/>
            <w:lang w:val="en-US" w:eastAsia="en-US" w:bidi="ar-SA"/>
          </w:rPr>
          <w:t>39</w:t>
        </w:r>
      </w:hyperlink>
      <w:bookmarkEnd w:id="284"/>
      <w:r>
        <w:rPr>
          <w:rFonts w:ascii="arial" w:eastAsia="arial" w:hAnsi="arial" w:cs="arial"/>
          <w:sz w:val="20"/>
          <w:lang w:val="en-US" w:eastAsia="en-US" w:bidi="ar-SA"/>
        </w:rPr>
        <w:tab/>
      </w:r>
      <w:r>
        <w:rPr>
          <w:rFonts w:ascii="arial" w:eastAsia="arial" w:hAnsi="arial" w:cs="arial"/>
          <w:b/>
          <w:i/>
          <w:color w:val="6D6E71"/>
          <w:sz w:val="18"/>
          <w:lang w:val="en-US" w:eastAsia="en-US" w:bidi="ar-SA"/>
        </w:rPr>
        <w:t>Criminal Law Amendment Act</w:t>
      </w:r>
      <w:r>
        <w:rPr>
          <w:rFonts w:ascii="arial" w:eastAsia="arial" w:hAnsi="arial" w:cs="arial"/>
          <w:color w:val="6D6E71"/>
          <w:sz w:val="18"/>
          <w:lang w:val="en-US" w:eastAsia="en-US" w:bidi="ar-SA"/>
        </w:rPr>
        <w:t>, S.C. 1974-75-76, c. 93.</w:t>
      </w:r>
    </w:p>
    <w:p>
      <w:pPr>
        <w:spacing w:before="120" w:after="20" w:line="240" w:lineRule="atLeast"/>
        <w:ind w:left="720" w:hanging="360"/>
        <w:jc w:val="both"/>
        <w:rPr>
          <w:rFonts w:ascii="arial" w:eastAsia="arial" w:hAnsi="arial" w:cs="arial"/>
          <w:sz w:val="20"/>
          <w:lang w:val="en-US" w:eastAsia="en-US" w:bidi="ar-SA"/>
        </w:rPr>
      </w:pPr>
      <w:bookmarkStart w:id="285" w:name="Forward_fnref_fnr-40"/>
      <w:hyperlink w:anchor="Backward_fnref_fnr-40" w:history="1">
        <w:r>
          <w:rPr>
            <w:rFonts w:ascii="arial" w:eastAsia="arial" w:hAnsi="arial" w:cs="arial"/>
            <w:b/>
            <w:color w:val="BE161D"/>
            <w:sz w:val="18"/>
            <w:shd w:val="clear" w:color="auto" w:fill="FFFFFF"/>
            <w:lang w:val="en-US" w:eastAsia="en-US" w:bidi="ar-SA"/>
          </w:rPr>
          <w:t>40</w:t>
        </w:r>
      </w:hyperlink>
      <w:bookmarkEnd w:id="285"/>
      <w:r>
        <w:rPr>
          <w:rFonts w:ascii="arial" w:eastAsia="arial" w:hAnsi="arial" w:cs="arial"/>
          <w:sz w:val="20"/>
          <w:lang w:val="en-US" w:eastAsia="en-US" w:bidi="ar-SA"/>
        </w:rPr>
        <w:tab/>
      </w:r>
      <w:r>
        <w:rPr>
          <w:rFonts w:ascii="arial" w:eastAsia="arial" w:hAnsi="arial" w:cs="arial"/>
          <w:color w:val="6D6E71"/>
          <w:sz w:val="18"/>
          <w:lang w:val="en-US" w:eastAsia="en-US" w:bidi="ar-SA"/>
        </w:rPr>
        <w:t>para. 26.</w:t>
      </w:r>
    </w:p>
    <w:p>
      <w:pPr>
        <w:spacing w:before="120" w:after="20" w:line="240" w:lineRule="atLeast"/>
        <w:ind w:left="720" w:hanging="360"/>
        <w:jc w:val="both"/>
        <w:rPr>
          <w:rFonts w:ascii="arial" w:eastAsia="arial" w:hAnsi="arial" w:cs="arial"/>
          <w:sz w:val="20"/>
          <w:lang w:val="en-US" w:eastAsia="en-US" w:bidi="ar-SA"/>
        </w:rPr>
      </w:pPr>
      <w:bookmarkStart w:id="286" w:name="Forward_fnref_fnr-41"/>
      <w:hyperlink w:anchor="Backward_fnref_fnr-41" w:history="1">
        <w:r>
          <w:rPr>
            <w:rFonts w:ascii="arial" w:eastAsia="arial" w:hAnsi="arial" w:cs="arial"/>
            <w:b/>
            <w:color w:val="BE161D"/>
            <w:sz w:val="18"/>
            <w:shd w:val="clear" w:color="auto" w:fill="FFFFFF"/>
            <w:lang w:val="en-US" w:eastAsia="en-US" w:bidi="ar-SA"/>
          </w:rPr>
          <w:t>41</w:t>
        </w:r>
      </w:hyperlink>
      <w:bookmarkEnd w:id="286"/>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It is not without significance, it seems to me, that the passage in </w:t>
      </w:r>
      <w:r>
        <w:rPr>
          <w:rFonts w:ascii="arial" w:eastAsia="arial" w:hAnsi="arial" w:cs="arial"/>
          <w:b/>
          <w:i/>
          <w:color w:val="6D6E71"/>
          <w:sz w:val="18"/>
          <w:lang w:val="en-US" w:eastAsia="en-US" w:bidi="ar-SA"/>
        </w:rPr>
        <w:t>G.(B.)</w:t>
      </w:r>
      <w:r>
        <w:rPr>
          <w:rFonts w:ascii="arial" w:eastAsia="arial" w:hAnsi="arial" w:cs="arial"/>
          <w:color w:val="6D6E71"/>
          <w:sz w:val="18"/>
          <w:lang w:val="en-US" w:eastAsia="en-US" w:bidi="ar-SA"/>
        </w:rPr>
        <w:t xml:space="preserve"> which characterizes names as only a "sliver" of information is based on the decision of the Supreme Court of Canada in </w:t>
      </w:r>
      <w:r>
        <w:rPr>
          <w:rFonts w:ascii="arial" w:eastAsia="arial" w:hAnsi="arial" w:cs="arial"/>
          <w:b/>
          <w:i/>
          <w:color w:val="6D6E71"/>
          <w:sz w:val="18"/>
          <w:lang w:val="en-US" w:eastAsia="en-US" w:bidi="ar-SA"/>
        </w:rPr>
        <w:t>Dagenais v. Canadian Broadcasting Corp.</w:t>
      </w:r>
      <w:r>
        <w:rPr>
          <w:rFonts w:ascii="arial" w:eastAsia="arial" w:hAnsi="arial" w:cs="arial"/>
          <w:color w:val="6D6E71"/>
          <w:sz w:val="18"/>
          <w:lang w:val="en-US" w:eastAsia="en-US" w:bidi="ar-SA"/>
        </w:rPr>
        <w:t xml:space="preserve">, </w:t>
      </w:r>
      <w:hyperlink r:id="rId455" w:history="1">
        <w:r>
          <w:rPr>
            <w:rFonts w:ascii="arial" w:eastAsia="arial" w:hAnsi="arial" w:cs="arial"/>
            <w:i/>
            <w:color w:val="0077CC"/>
            <w:sz w:val="18"/>
            <w:u w:val="single"/>
            <w:shd w:val="clear" w:color="auto" w:fill="FFFFFF"/>
            <w:lang w:val="en-US" w:eastAsia="en-US" w:bidi="ar-SA"/>
          </w:rPr>
          <w:t>[1994] 3 S.C.R. 835</w:t>
        </w:r>
      </w:hyperlink>
      <w:r>
        <w:rPr>
          <w:rFonts w:ascii="arial" w:eastAsia="arial" w:hAnsi="arial" w:cs="arial"/>
          <w:color w:val="6D6E71"/>
          <w:sz w:val="18"/>
          <w:lang w:val="en-US" w:eastAsia="en-US" w:bidi="ar-SA"/>
        </w:rPr>
        <w:t xml:space="preserve">. </w:t>
      </w:r>
      <w:r>
        <w:rPr>
          <w:rFonts w:ascii="arial" w:eastAsia="arial" w:hAnsi="arial" w:cs="arial"/>
          <w:b/>
          <w:i/>
          <w:color w:val="6D6E71"/>
          <w:sz w:val="18"/>
          <w:lang w:val="en-US" w:eastAsia="en-US" w:bidi="ar-SA"/>
        </w:rPr>
        <w:t>Dagenais</w:t>
      </w:r>
      <w:r>
        <w:rPr>
          <w:rFonts w:ascii="arial" w:eastAsia="arial" w:hAnsi="arial" w:cs="arial"/>
          <w:color w:val="6D6E71"/>
          <w:sz w:val="18"/>
          <w:lang w:val="en-US" w:eastAsia="en-US" w:bidi="ar-SA"/>
        </w:rPr>
        <w:t xml:space="preserve"> was a case involving accused persons in a criminal trial. The implications for civil actions are not apparent.</w:t>
      </w:r>
    </w:p>
    <w:p>
      <w:pPr>
        <w:spacing w:before="120" w:after="20" w:line="240" w:lineRule="atLeast"/>
        <w:ind w:left="720" w:hanging="360"/>
        <w:jc w:val="both"/>
        <w:rPr>
          <w:rFonts w:ascii="arial" w:eastAsia="arial" w:hAnsi="arial" w:cs="arial"/>
          <w:sz w:val="20"/>
          <w:lang w:val="en-US" w:eastAsia="en-US" w:bidi="ar-SA"/>
        </w:rPr>
      </w:pPr>
      <w:bookmarkStart w:id="287" w:name="Forward_fnref_fnr-42"/>
      <w:hyperlink w:anchor="Backward_fnref_fnr-42" w:history="1">
        <w:r>
          <w:rPr>
            <w:rFonts w:ascii="arial" w:eastAsia="arial" w:hAnsi="arial" w:cs="arial"/>
            <w:b/>
            <w:color w:val="BE161D"/>
            <w:sz w:val="18"/>
            <w:shd w:val="clear" w:color="auto" w:fill="FFFFFF"/>
            <w:lang w:val="en-US" w:eastAsia="en-US" w:bidi="ar-SA"/>
          </w:rPr>
          <w:t>42</w:t>
        </w:r>
      </w:hyperlink>
      <w:bookmarkEnd w:id="28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para. 25. Joyce J. expressed the same view in </w:t>
      </w:r>
      <w:r>
        <w:rPr>
          <w:rFonts w:ascii="arial" w:eastAsia="arial" w:hAnsi="arial" w:cs="arial"/>
          <w:b/>
          <w:i/>
          <w:color w:val="6D6E71"/>
          <w:sz w:val="18"/>
          <w:lang w:val="en-US" w:eastAsia="en-US" w:bidi="ar-SA"/>
        </w:rPr>
        <w:t>C.W.</w:t>
      </w:r>
      <w:r>
        <w:rPr>
          <w:rFonts w:ascii="arial" w:eastAsia="arial" w:hAnsi="arial" w:cs="arial"/>
          <w:color w:val="6D6E71"/>
          <w:sz w:val="18"/>
          <w:lang w:val="en-US" w:eastAsia="en-US" w:bidi="ar-SA"/>
        </w:rPr>
        <w:t xml:space="preserve"> And see, also, </w:t>
      </w:r>
      <w:r>
        <w:rPr>
          <w:rFonts w:ascii="arial" w:eastAsia="arial" w:hAnsi="arial" w:cs="arial"/>
          <w:b/>
          <w:i/>
          <w:color w:val="6D6E71"/>
          <w:sz w:val="18"/>
          <w:lang w:val="en-US" w:eastAsia="en-US" w:bidi="ar-SA"/>
        </w:rPr>
        <w:t>Arishenkoff v. British Columbia</w:t>
      </w:r>
      <w:r>
        <w:rPr>
          <w:rFonts w:ascii="arial" w:eastAsia="arial" w:hAnsi="arial" w:cs="arial"/>
          <w:color w:val="6D6E71"/>
          <w:sz w:val="18"/>
          <w:lang w:val="en-US" w:eastAsia="en-US" w:bidi="ar-SA"/>
        </w:rPr>
        <w:t xml:space="preserve">, </w:t>
      </w:r>
      <w:hyperlink r:id="rId460" w:history="1">
        <w:r>
          <w:rPr>
            <w:rFonts w:ascii="arial" w:eastAsia="arial" w:hAnsi="arial" w:cs="arial"/>
            <w:i/>
            <w:color w:val="0077CC"/>
            <w:sz w:val="18"/>
            <w:u w:val="single"/>
            <w:shd w:val="clear" w:color="auto" w:fill="FFFFFF"/>
            <w:lang w:val="en-US" w:eastAsia="en-US" w:bidi="ar-SA"/>
          </w:rPr>
          <w:t>2004 BCCA 299</w:t>
        </w:r>
      </w:hyperlink>
      <w:r>
        <w:rPr>
          <w:rFonts w:ascii="arial" w:eastAsia="arial" w:hAnsi="arial" w:cs="arial"/>
          <w:color w:val="6D6E71"/>
          <w:sz w:val="18"/>
          <w:lang w:val="en-US" w:eastAsia="en-US" w:bidi="ar-SA"/>
        </w:rPr>
        <w:t>, para. 6.</w:t>
      </w:r>
    </w:p>
    <w:p>
      <w:pPr>
        <w:spacing w:before="120" w:after="20" w:line="240" w:lineRule="atLeast"/>
        <w:ind w:left="720" w:hanging="360"/>
        <w:jc w:val="both"/>
        <w:rPr>
          <w:rFonts w:ascii="arial" w:eastAsia="arial" w:hAnsi="arial" w:cs="arial"/>
          <w:sz w:val="20"/>
          <w:lang w:val="en-US" w:eastAsia="en-US" w:bidi="ar-SA"/>
        </w:rPr>
      </w:pPr>
      <w:bookmarkStart w:id="288" w:name="Forward_fnref_fnr-43"/>
      <w:hyperlink w:anchor="Backward_fnref_fnr-43" w:history="1">
        <w:r>
          <w:rPr>
            <w:rFonts w:ascii="arial" w:eastAsia="arial" w:hAnsi="arial" w:cs="arial"/>
            <w:b/>
            <w:color w:val="BE161D"/>
            <w:sz w:val="18"/>
            <w:shd w:val="clear" w:color="auto" w:fill="FFFFFF"/>
            <w:lang w:val="en-US" w:eastAsia="en-US" w:bidi="ar-SA"/>
          </w:rPr>
          <w:t>43</w:t>
        </w:r>
      </w:hyperlink>
      <w:bookmarkEnd w:id="288"/>
      <w:r>
        <w:rPr>
          <w:rFonts w:ascii="arial" w:eastAsia="arial" w:hAnsi="arial" w:cs="arial"/>
          <w:sz w:val="20"/>
          <w:lang w:val="en-US" w:eastAsia="en-US" w:bidi="ar-SA"/>
        </w:rPr>
        <w:tab/>
      </w:r>
      <w:r>
        <w:rPr>
          <w:rFonts w:ascii="arial" w:eastAsia="arial" w:hAnsi="arial" w:cs="arial"/>
          <w:color w:val="6D6E71"/>
          <w:sz w:val="18"/>
          <w:lang w:val="en-US" w:eastAsia="en-US" w:bidi="ar-SA"/>
        </w:rPr>
        <w:t>paras. 25-36.</w:t>
      </w:r>
    </w:p>
    <w:p>
      <w:pPr>
        <w:spacing w:before="120" w:after="20" w:line="240" w:lineRule="atLeast"/>
        <w:ind w:left="720" w:hanging="360"/>
        <w:jc w:val="both"/>
        <w:rPr>
          <w:rFonts w:ascii="arial" w:eastAsia="arial" w:hAnsi="arial" w:cs="arial"/>
          <w:sz w:val="20"/>
          <w:lang w:val="en-US" w:eastAsia="en-US" w:bidi="ar-SA"/>
        </w:rPr>
      </w:pPr>
      <w:bookmarkStart w:id="289" w:name="Forward_fnref_fnr-44"/>
      <w:hyperlink w:anchor="Backward_fnref_fnr-44" w:history="1">
        <w:r>
          <w:rPr>
            <w:rFonts w:ascii="arial" w:eastAsia="arial" w:hAnsi="arial" w:cs="arial"/>
            <w:b/>
            <w:color w:val="BE161D"/>
            <w:sz w:val="18"/>
            <w:shd w:val="clear" w:color="auto" w:fill="FFFFFF"/>
            <w:lang w:val="en-US" w:eastAsia="en-US" w:bidi="ar-SA"/>
          </w:rPr>
          <w:t>44</w:t>
        </w:r>
      </w:hyperlink>
      <w:bookmarkEnd w:id="289"/>
      <w:r>
        <w:rPr>
          <w:rFonts w:ascii="arial" w:eastAsia="arial" w:hAnsi="arial" w:cs="arial"/>
          <w:sz w:val="20"/>
          <w:lang w:val="en-US" w:eastAsia="en-US" w:bidi="ar-SA"/>
        </w:rPr>
        <w:tab/>
      </w:r>
      <w:r>
        <w:rPr>
          <w:rFonts w:ascii="arial" w:eastAsia="arial" w:hAnsi="arial" w:cs="arial"/>
          <w:i/>
          <w:color w:val="6D6E71"/>
          <w:sz w:val="18"/>
          <w:lang w:val="en-US" w:eastAsia="en-US" w:bidi="ar-SA"/>
        </w:rPr>
        <w:t>National Post</w:t>
      </w:r>
      <w:r>
        <w:rPr>
          <w:rFonts w:ascii="arial" w:eastAsia="arial" w:hAnsi="arial" w:cs="arial"/>
          <w:color w:val="6D6E71"/>
          <w:sz w:val="18"/>
          <w:lang w:val="en-US" w:eastAsia="en-US" w:bidi="ar-SA"/>
        </w:rPr>
        <w:t xml:space="preserve"> 14th August 2004 p. A12.</w:t>
      </w:r>
    </w:p>
    <w:p>
      <w:pPr>
        <w:spacing w:before="120" w:after="20" w:line="240" w:lineRule="atLeast"/>
        <w:ind w:left="720" w:hanging="360"/>
        <w:jc w:val="both"/>
        <w:rPr>
          <w:rFonts w:ascii="arial" w:eastAsia="arial" w:hAnsi="arial" w:cs="arial"/>
          <w:sz w:val="20"/>
          <w:lang w:val="en-US" w:eastAsia="en-US" w:bidi="ar-SA"/>
        </w:rPr>
      </w:pPr>
      <w:bookmarkStart w:id="290" w:name="Forward_fnref_fnr-45"/>
      <w:hyperlink w:anchor="Backward_fnref_fnr-45" w:history="1">
        <w:r>
          <w:rPr>
            <w:rFonts w:ascii="arial" w:eastAsia="arial" w:hAnsi="arial" w:cs="arial"/>
            <w:b/>
            <w:color w:val="BE161D"/>
            <w:sz w:val="18"/>
            <w:shd w:val="clear" w:color="auto" w:fill="FFFFFF"/>
            <w:lang w:val="en-US" w:eastAsia="en-US" w:bidi="ar-SA"/>
          </w:rPr>
          <w:t>45</w:t>
        </w:r>
      </w:hyperlink>
      <w:bookmarkEnd w:id="290"/>
      <w:r>
        <w:rPr>
          <w:rFonts w:ascii="arial" w:eastAsia="arial" w:hAnsi="arial" w:cs="arial"/>
          <w:sz w:val="20"/>
          <w:lang w:val="en-US" w:eastAsia="en-US" w:bidi="ar-SA"/>
        </w:rPr>
        <w:tab/>
      </w:r>
      <w:r>
        <w:rPr>
          <w:rFonts w:ascii="arial" w:eastAsia="arial" w:hAnsi="arial" w:cs="arial"/>
          <w:b/>
          <w:i/>
          <w:color w:val="6D6E71"/>
          <w:sz w:val="18"/>
          <w:lang w:val="en-US" w:eastAsia="en-US" w:bidi="ar-SA"/>
        </w:rPr>
        <w:t>Scott v. Scott</w:t>
      </w:r>
      <w:r>
        <w:rPr>
          <w:rFonts w:ascii="arial" w:eastAsia="arial" w:hAnsi="arial" w:cs="arial"/>
          <w:color w:val="6D6E71"/>
          <w:sz w:val="18"/>
          <w:lang w:val="en-US" w:eastAsia="en-US" w:bidi="ar-SA"/>
        </w:rPr>
        <w:t>, at p. 477.</w:t>
      </w:r>
    </w:p>
    <w:p>
      <w:pPr>
        <w:spacing w:before="120" w:after="20" w:line="240" w:lineRule="atLeast"/>
        <w:ind w:left="720" w:hanging="360"/>
        <w:jc w:val="both"/>
        <w:rPr>
          <w:rFonts w:ascii="arial" w:eastAsia="arial" w:hAnsi="arial" w:cs="arial"/>
          <w:sz w:val="20"/>
          <w:lang w:val="en-US" w:eastAsia="en-US" w:bidi="ar-SA"/>
        </w:rPr>
      </w:pPr>
      <w:bookmarkStart w:id="291" w:name="Forward_fnref_fnr-46"/>
      <w:hyperlink w:anchor="Backward_fnref_fnr-46" w:history="1">
        <w:r>
          <w:rPr>
            <w:rFonts w:ascii="arial" w:eastAsia="arial" w:hAnsi="arial" w:cs="arial"/>
            <w:b/>
            <w:color w:val="BE161D"/>
            <w:sz w:val="18"/>
            <w:shd w:val="clear" w:color="auto" w:fill="FFFFFF"/>
            <w:lang w:val="en-US" w:eastAsia="en-US" w:bidi="ar-SA"/>
          </w:rPr>
          <w:t>46</w:t>
        </w:r>
      </w:hyperlink>
      <w:bookmarkEnd w:id="291"/>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With respect to jurors, see the Reasons of Wilson J. in </w:t>
      </w:r>
      <w:r>
        <w:rPr>
          <w:rFonts w:ascii="arial" w:eastAsia="arial" w:hAnsi="arial" w:cs="arial"/>
          <w:b/>
          <w:i/>
          <w:color w:val="6D6E71"/>
          <w:sz w:val="18"/>
          <w:lang w:val="en-US" w:eastAsia="en-US" w:bidi="ar-SA"/>
        </w:rPr>
        <w:t>Edmonton Journal v. The Attorney General of Alberta and the Attorney Canada of Canada</w:t>
      </w:r>
      <w:r>
        <w:rPr>
          <w:rFonts w:ascii="arial" w:eastAsia="arial" w:hAnsi="arial" w:cs="arial"/>
          <w:color w:val="6D6E71"/>
          <w:sz w:val="18"/>
          <w:lang w:val="en-US" w:eastAsia="en-US" w:bidi="ar-SA"/>
        </w:rPr>
        <w:t xml:space="preserve">, </w:t>
      </w:r>
      <w:hyperlink r:id="rId452" w:history="1">
        <w:r>
          <w:rPr>
            <w:rFonts w:ascii="arial" w:eastAsia="arial" w:hAnsi="arial" w:cs="arial"/>
            <w:i/>
            <w:color w:val="0077CC"/>
            <w:sz w:val="18"/>
            <w:u w:val="single"/>
            <w:shd w:val="clear" w:color="auto" w:fill="FFFFFF"/>
            <w:lang w:val="en-US" w:eastAsia="en-US" w:bidi="ar-SA"/>
          </w:rPr>
          <w:t>[1989] 2 S.C.R. 1326</w:t>
        </w:r>
      </w:hyperlink>
      <w:r>
        <w:rPr>
          <w:rFonts w:ascii="arial" w:eastAsia="arial" w:hAnsi="arial" w:cs="arial"/>
          <w:color w:val="6D6E71"/>
          <w:sz w:val="18"/>
          <w:lang w:val="en-US" w:eastAsia="en-US" w:bidi="ar-SA"/>
        </w:rPr>
        <w:t xml:space="preserve"> at 1359-60.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Royal Bank of Canada v. Shaw, [2016] B.C.J. No. 2626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S147482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2626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3506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274 A.C.W.S. (3d) 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C.P.C. (7th) 185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Bank of Canada, Plaintiff, and Kirk Shaw, Stacey Shaw and Roots Properties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29"/>
      <w:bookmarkEnd w:id="292"/>
      <w:r>
        <w:rPr>
          <w:rFonts w:ascii="arial" w:eastAsia="arial" w:hAnsi="arial" w:cs="arial"/>
          <w:b/>
          <w:color w:val="000000"/>
          <w:sz w:val="20"/>
          <w:lang w:val="en-US" w:eastAsia="en-US" w:bidi="ar-SA"/>
        </w:rPr>
        <w:t>Civil litigation — Civil procedure — Trials — Jury trials — Jury notice — Setting aside or striking out — Application by plaintiff to strike jury notice allowed — This was foreclosure proceeding and action to recover on guarantees — Defendants' defences were similar and individual defendants also made counterclaim — While plaintiff's claim was relatively straightforward, defendants raised numerous and varied positions and asserted breach of agreement, breach of obligation of good faith, agency, unjust enrichment, quantum meruit, estoppel, breach of representation, breach of fiduciary duty and excessive fees — Issues were intricate and complex, required explanation to jury, and factual complexity, charge and questions to jury, and legal issues would impede efficacy of trial process and confidence in outcome.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3" w:name="Case Summary_26"/>
            <w:bookmarkEnd w:id="2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strike the jury notice filed by the defendants. The plaintiff commenced a foreclosure proceeding against the corporate defendant and an action against the individual defendants to recover on guarantees. The defendants' defences in the proceedings were similar and the individual defendants also filed a counterclaim. The foreclosure proceeding and action had been consolidated. The plaintiff made loans to the defendant production company, and the individual defendant guarantees loans for four production companies. The parties relied on the loans being repaid when the defendant received tax credits. However, the CRA retroactively changed its tax policy, and the loans could not be repaid. The plaintiff made demands, and the defendants participated in a recovery project to recover as much revenue as possible, and the parties entered a forbearance agreement. The defendants worked closely with accounting firms during the project, which had discretion over allocation of monies. The plaintiff recovered approximately 90 per cent of the loans in this manner and claimed $850,000 plus interest in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4" w:name="Holdings of Court_24"/>
            <w:bookmarkEnd w:id="29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claims were comparatively straightforward. The defendants' positions, however were numerous and varied. The defendant raised issues of express and implied terms of the forbearance agreement, the scope of the guarantees, representations made by the accounting firm and its allocation of monies, compensation paid to the defendant for his work on the recovery project, and the plaintiff's failure to relieve the defendants of their obligations. These claims were intricate and complex and raised issues of breach of agreement, breach of obligation of good faith, agency, unjust enrichment, quantum meruit, estoppel, breach of representation, breach of fiduciary duty and excessive fees. The defendants raised no less than eight equitable and legal causes of action, and legal concepts such as estoppel and agency. There was dozens of issues of law, mixed fact and law, and each potential basis for a claim would have to be explained to the jury. The factual complexities, the difficulty in composing a charge and questions to the jury and dominant legal issues would impede the efficacy of the trial process and public confidence in the outcome.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Legislation Cited_25"/>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12-6</w:t>
      </w:r>
      <w:r>
        <w:rPr>
          <w:rFonts w:ascii="arial" w:eastAsia="arial" w:hAnsi="arial" w:cs="arial"/>
          <w:color w:val="000000"/>
          <w:sz w:val="20"/>
          <w:lang w:val="en-US" w:eastAsia="en-US" w:bidi="ar-SA"/>
        </w:rPr>
        <w:t>(5)(a) (i), Rule 12-6(5)(a)(ii), Rule 12-6(5)(a)(iii), Rule 12-6(2) (c)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6" w:name="Counsel_30"/>
      <w:bookmarkEnd w:id="2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Skelly, E. Savage,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M.P. Katzalay.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7" w:name="Judgment_30"/>
      <w:bookmarkEnd w:id="297"/>
      <w:r>
        <w:pict>
          <v:line id="_x0000_s1182"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8" w:name="P.G. VOITH J. (orally)"/>
            <w:bookmarkEnd w:id="298"/>
            <w:r>
              <w:rPr>
                <w:rFonts w:ascii="arial" w:eastAsia="arial" w:hAnsi="arial" w:cs="arial"/>
                <w:b/>
                <w:color w:val="000000"/>
                <w:sz w:val="30"/>
                <w:lang w:val="en-US" w:eastAsia="en-US" w:bidi="ar-SA"/>
              </w:rPr>
              <w:t>P.G. VOITH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to strike the jury notice that has been filed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commenced a foreclosure proceeding against Roots Properties Inc. ("Roots") on September 24, 2014 (the "Roots Foreclosure"), and commenced an action against Mr. and Mrs. Shaw on September 26,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October 28, 2014, Mr. and Mrs. Shaw filed a response to civil claim. On that same day, Roots filed a response to petition in the Roots Foreclosure. It is common ground that the defences set out in these pleadings were substantively similar. Mr. and Mrs. Shaw have also filed a counterclaim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4, 2016, this Court, with the consent of the defendants, made an order consolidating the action against Mr. and Mrs. Shaw and the Roots Foreclosure in a single action with the single style of cause that is apparent on the face of these Reasons for Judgment. In doing so, the Court ordered that the actions be consolidated into a single proceeding for all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August 8, 2016, the plaintiff secured a trial date with the consent of counsel for the defendants, which contemplated a ten-day trial commencing on February 26, 2018. The defendants thereafter filed a notice requiring trial by jury on September 8, 2016. No issue arises with respect to the extension of time that the plaintiff requires under Rule 12-6(5)(a)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to bring this application to strike the defendants'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Significant document disclosure on the part of all parties has taken place. Thus far, the plaintiff alone has produced nearly 3,000 documents. The plaintiff has conducted extensive examinations for discovery of Mr. Shaw, though numerous requests for information arising from that discovery remain outstanding. The examinations for discovery of Mrs. Shaw, the plaintiff, and of Roots, have not taken place. No expert reports have been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history of events that led to the present dispute are, in large measure, uncontroversial. Mr. Shaw founded Insight Film Studios Inc. ("Insight") in 1990. He built Insight into the largest independent film and production company in Canada. Insight produced as many as 42 film and television productions each year and employed several hundred people, directly or indirectly. Insight, like many Canadian studios and production houses, relied on refundable labour tax credits offered by the Government of Canada and most provincial governments to finance its productions. Labour tax credits were offered by these governments with a view to encouraging the development of a domestic film and television production industry and to attracting productions from other countries who would employ skilled Canadian workers on their productions.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order to produce a film or television production, Insight would incorporate a wholly-owned subsidiary production company for the purpose of financing and producing a project. In the course of doing business, Insight created more than 120 such production companies. Each production company would hire most, if not all, of its production employees from Insight and would be invoiced by Insight for the services provided by its employees. The production company would then be eligible to claim a labour tax credit from provincial and federal governments based on,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amount invoiced by Insight.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Insight began to borrow money from the plaintiff in 2001. Prior to commencing production, Insight or the production company would commission an independent third party opinion from an accounting firm as to the estimated value of the tax credits that the production company was entitled to. Lenders, including the plaintiff, would then rely on that opinion to lend money to the production company. Typically the plaintiff would lend the production company 90% of the value of the estimated labour tax credit. Under the terms of a typical loan agreement, the plaintiff would receive a financing fee up front, and it would set up two credit facilities; the first was used to pay for the production of the projects, the second was to be used to pay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Once the production was complete, the production company filed its tax return, claimed its labour tax credit, and used those funds to repay the loans to the plaintiff. In the usual course, the production company would then be dissolved.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material period and up to 2008, the Canada Revenue Agency allowed production companies to claim labour tax credits based on 65% of the invoice issued from a non-on-site company. In 2008, the CRA retroactively changed its policy and its approach to calculating labour tax credits. More than 70 Insight productions were affected by the change, and the change in policy significantly affected Insight's tax obligations. It also affected Insight's lenders, including the plaintiff. Having lent money on the expectation that loans would be repaid from labour tax credits, the plaintiff faced a shortfall that had to be recovered from either the production companies or from the guarantors of those production companies. It is here that Mr. and Mrs. Shaw, as well as Roots, are directly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Shaw provided guarantees for four separate production companies ("the Four Production Companies") in the total amount of $780,000. Mrs. Shaw was jointly and severally liable for $125,000 of this amount. Roots also provided a guarantee, secured by a mortgage over the Shaw family home, for Insight in the amount of $325,000 (collectively "the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one time, Insight owed tens of millions of dollars to the plaintiff and to other lenders.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April 2009, the plaintiff made demand of the defendants and of Insight under various credit agreements, guarantees, and other loan documents. It is at this point that matters become less clear and more 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Shaw and Insight, over the ensuing years, participated in what all parties describe as the "Recovery Project". The Recovery Project had Mr. Shaw and Insight working to recover as much revenue as possible to pay off outstanding loans to the plaintiff and to other lenders. The plaintiff and other lenders entered into various forbearance agreements with Insight under which the plaintiff agreed not to enforce its rights for a period of time. One term of these forbearance agreements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prior to taking steps to realize on the Prodco [guarantees] and/or Shaw Guarantees, the Lender will give Kirk Shaw and the other Shaw Guarantors 10 days to propose a settlement of their liability under the Shaw Guarantees and the Prodco Guarantees, provided that the Lender's only obligation respecting such a settlement will be to consider same in good faith, without any obligation to accept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relevant that Mr. Shaw and Insight worked closely with two speciality accounting firms ("the Accounting Firms") to assist with the Recovery Project. Insight retained the Accounting Firms directly. An important aspect of the work done by the Accounting Firms was to allocate various labour and other expenses to various films and production companies. This is significant because this allocation exercise, as I understand it, contained within it some elements of discretion and judgment. The import of this issue is that certain expenses or fees or costs could be allocated either to various production companies or to the Four Production Companies whose loans were guaranteed by the defendants, thereby affecting both the amounts that remained outstanding by the Four Production Companies and the amounts that were guaranteed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Furthermore, it is relevant that Mr. Shaw was paid a salary for his ongoing work and efforts in the Recovery Project. Ultimately, various lenders, including the plaintiff, recovered approximately 90% of the sums they had advanced to Insight or its various production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action, as I have said, is limited to the guarantees that Mr. Shaw and Mrs. Shaw provided with respect to the Four Production Companies and the guarantee and mortgage provided by Roots. The amount being claimed by the plaintiff in this action under the Guarantees and the mortgage is approximately $850,000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12-6(2) and the Issues raised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 12-6(2) identifies a number of legal issues or types of dispute that must be heard by a court without a jury . In particular, Rule 12-6(2)(c), which the plaintiff argues is relevant, provides: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trial must be heard by the court without a jury if the trial relates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redemption or foreclosure of 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 12-6(5)(a) in turn provides:</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on whom a notice under subrule (3) has been served may apply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after service for an order that the trial or part of it be heard by the court without a jury on the ground that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that cannot be made conveniently with a jury,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Each of the foregoing provisions, and the subparagraphs within them, give rise to a separate or distinct body of law. Before turning to these authorities, however, it is useful to understand the nature and breadth of the issues that are raised in or by the consolidated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action is comparatively straightforward. It seeks to collect on the Guarantees that were signed by each of the defendants and to enforce the mortgage that was given by Roots.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positions, on the other hand, are numerous and varied. When I say this, I am referring to the issues raised in the defendants' response to civil claim and in the counterclaim filed by Mr. and Mrs. Shaw and, to a lesser extent, on the evidence or positions advanced by Mr. Shaw at his examinations for discovery in support of these defences. There are several broad themes, as well as several specific causes of action advanced in the defendants' response to civil claim and in the counterclaim filed by Mr. and Mrs. Shaw. These themes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forbearance agreements included various express and implied terms. Those express and implied terms included both an obligation to deal with the defendants either equitably or in good faith, as well as restrictions on how the cost of the Recovery Project would be allocated to the Four Production Companies. Specifically, it is argued that no legal or professional expenses associated with the Recovery Project could be allocated to these companies.</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Guarantees signed by the defendants were limited to guarantee the loans for the purposes of producing films and did not extend to the expenses incurred during the Recovery Project.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representatives of the Accounting Firms made various representations to the defendants and that those representations are binding on the plaintiff. This assertion gives rise to questions of agency and of implied and/or ostensive authority.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fees charged by the Accounting Firms and by certain law firms involved in the Recovery Project, which were allocated to or borne by the production companies were excessive. This assertion will require expert evidence in order to be properly advanced.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Mr. Shaw was compensated, while working on the Recovery Project, at a "rate far below what he could have earned on the open market". This assertion may also require expert evidence and it advances a claim based on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failure of the plaintiff to relieve the defendants of their obligations has unjustly enriched the plaintiff.</w:t>
      </w:r>
    </w:p>
    <w:p>
      <w:pPr>
        <w:numPr>
          <w:numId w:val="1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and Insight relied on representations made by the plaintiff that it would act in good faith when enforcing the Guarantees. The defendants plead that these representations "estopped the plaintiff from relying strictly on the terms of the forbearance agreements or the guarantees".</w:t>
      </w:r>
    </w:p>
    <w:p>
      <w:pPr>
        <w:numPr>
          <w:numId w:val="15"/>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had broad discretion on how to allocate labour costs and the defendants were vulnerable to the plaintiff in the exercise of this discretion. These considerations, in turn, it is argued, give rise to a fiduciary duty on the part of the plaintiff to both consider the interests of the defendants and to act in good faith.</w:t>
      </w:r>
    </w:p>
    <w:p>
      <w:pPr>
        <w:numPr>
          <w:numId w:val="1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also argue that the plaintiff improperly allocated various categories of costs to the Four Production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These broad themes give rise to the following specific causes of action and legal issues:</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implied and express terms in the Guarantees and forbearance agreements;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an obligation to act in good faith arising either in contract or by virtue of various representations or by virtue of the plaintiff's fiduciary duty to the defendants;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agency;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estoppel;</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representation;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to consider or act in the interests of the defendants;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incurring excessive professional fees and improperly allocating those professional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this backdrop, I return to the relevant legal framework for each of Rules 12-6(2) and 12-6(5).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Relevant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general legal framework that pertains to an application to set aside a jury notice is well established. In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2008 BCSC 1192</w:t>
        </w:r>
      </w:hyperlink>
      <w:r>
        <w:rPr>
          <w:rFonts w:ascii="arial" w:eastAsia="arial" w:hAnsi="arial" w:cs="arial"/>
          <w:color w:val="000000"/>
          <w:sz w:val="20"/>
          <w:lang w:val="en-US" w:eastAsia="en-US" w:bidi="ar-SA"/>
        </w:rPr>
        <w:t>, Madam Justice Griffin succinctly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There is a common law right to a jury. A party ought not to be deprived of this important right except for cogent reasons: </w:t>
      </w:r>
      <w:r>
        <w:rPr>
          <w:rFonts w:ascii="arial" w:eastAsia="arial" w:hAnsi="arial" w:cs="arial"/>
          <w:i/>
          <w:color w:val="000000"/>
          <w:sz w:val="20"/>
          <w:lang w:val="en-US" w:eastAsia="en-US" w:bidi="ar-SA"/>
        </w:rPr>
        <w:t>King v. Colonial Homes Ltd.</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[1956] S.C.R. 528</w:t>
        </w:r>
      </w:hyperlink>
      <w:r>
        <w:rPr>
          <w:rFonts w:ascii="arial" w:eastAsia="arial" w:hAnsi="arial" w:cs="arial"/>
          <w:color w:val="000000"/>
          <w:sz w:val="20"/>
          <w:lang w:val="en-US" w:eastAsia="en-US" w:bidi="ar-SA"/>
        </w:rPr>
        <w:t xml:space="preserve"> at 533.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Craig J.A. explained the plaintiff's entitlement to a jury in civil cases (at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is entitled to trial by jury, except in certain types of cases specified in the Rules, and he can be deprived of this right only if a party opposing a trial by jury establishes "clearly" that one of more of the exceptions in R. 39(20) [the predecessor to Rule 39(27)] is applicable. </w:t>
      </w:r>
      <w:r>
        <w:rPr>
          <w:rFonts w:ascii="arial" w:eastAsia="arial" w:hAnsi="arial" w:cs="arial"/>
          <w:i/>
          <w:color w:val="000000"/>
          <w:sz w:val="20"/>
          <w:lang w:val="en-US" w:eastAsia="en-US" w:bidi="ar-SA"/>
        </w:rPr>
        <w:t>McDonald v. Inland Natural Gas Co</w:t>
      </w:r>
      <w:r>
        <w:rPr>
          <w:rFonts w:ascii="arial" w:eastAsia="arial" w:hAnsi="arial" w:cs="arial"/>
          <w:color w:val="000000"/>
          <w:sz w:val="20"/>
          <w:lang w:val="en-US" w:eastAsia="en-US" w:bidi="ar-SA"/>
        </w:rPr>
        <w:t>. (1966), 57 W.W.R. 87 at 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w:t>
      </w:r>
      <w:r>
        <w:rPr>
          <w:rFonts w:ascii="arial" w:eastAsia="arial" w:hAnsi="arial" w:cs="arial"/>
          <w:i/>
          <w:color w:val="000000"/>
          <w:sz w:val="20"/>
          <w:lang w:val="en-US" w:eastAsia="en-US" w:bidi="ar-SA"/>
        </w:rPr>
        <w:t>McDonald v. Inland Natural Gas Co</w:t>
      </w:r>
      <w:r>
        <w:rPr>
          <w:rFonts w:ascii="arial" w:eastAsia="arial" w:hAnsi="arial" w:cs="arial"/>
          <w:color w:val="000000"/>
          <w:sz w:val="20"/>
          <w:lang w:val="en-US" w:eastAsia="en-US" w:bidi="ar-SA"/>
        </w:rPr>
        <w:t>. (1966), 57 W.W.R. 87 (B.C.C.A.), Branca J.A. commented at 95 that "while the right of a trial by jury goes back far and is imbedded deeply in the history of our law, and while a litigant is not to be deprived of that right unless he is clearly within an exception created by law, where such an exception applies, that right should be refused."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onus is on the applicant seeking to set aside a jury notice to show that the party who selected trial by jury is not entitled to that mode of trial: </w:t>
      </w:r>
      <w:r>
        <w:rPr>
          <w:rFonts w:ascii="arial" w:eastAsia="arial" w:hAnsi="arial" w:cs="arial"/>
          <w:i/>
          <w:color w:val="000000"/>
          <w:sz w:val="20"/>
          <w:lang w:val="en-US" w:eastAsia="en-US" w:bidi="ar-SA"/>
        </w:rPr>
        <w:t>Creasy v. Sweny</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(1942), 57 B.C.R. 457</w:t>
        </w:r>
      </w:hyperlink>
      <w:r>
        <w:rPr>
          <w:rFonts w:ascii="arial" w:eastAsia="arial" w:hAnsi="arial" w:cs="arial"/>
          <w:color w:val="000000"/>
          <w:sz w:val="20"/>
          <w:lang w:val="en-US" w:eastAsia="en-US" w:bidi="ar-SA"/>
        </w:rPr>
        <w:t>, [1942] 3 W.W.R. 457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relevant case law also establishes an analytical framework for each of the subparagraphs in Rule 12-6(5). In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Lambert J.A. at paras, 44-46, determined that Rule 12-6(5), or its predecessor provision, required that a judge engage in a two-step process of fact finding and discretion. First, a judge must make findings of fact on the basis of the evidence in relation to the subrules; second, a judge must exercise his or her discretion as contemplated by the subrule. Since judicial discretion is applied differently to these sub-provisions, it flows logically that these sub-provisions should be treated disjunctively rather than as factors in a holistic assessment. If it were otherwise, the nature of the discretion to be applied in any given case would be ambiguous. The two-step analysis that was established in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was recently confirmed in </w:t>
      </w:r>
      <w:r>
        <w:rPr>
          <w:rFonts w:ascii="arial" w:eastAsia="arial" w:hAnsi="arial" w:cs="arial"/>
          <w:i/>
          <w:color w:val="000000"/>
          <w:sz w:val="20"/>
          <w:lang w:val="en-US" w:eastAsia="en-US" w:bidi="ar-SA"/>
        </w:rPr>
        <w:t>Rados v. Pannu</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2015 BCCA 459</w:t>
        </w:r>
      </w:hyperlink>
      <w:r>
        <w:rPr>
          <w:rFonts w:ascii="arial" w:eastAsia="arial" w:hAnsi="arial" w:cs="arial"/>
          <w:color w:val="000000"/>
          <w:sz w:val="20"/>
          <w:lang w:val="en-US" w:eastAsia="en-US" w:bidi="ar-SA"/>
        </w:rPr>
        <w:t xml:space="preserve"> at para. 7.</w:t>
      </w:r>
      <w:r>
        <w:rPr>
          <w:rFonts w:ascii="arial" w:eastAsia="arial" w:hAnsi="arial" w:cs="arial"/>
          <w:sz w:val="20"/>
          <w:lang w:val="en-US" w:eastAsia="en-US" w:bidi="ar-SA"/>
        </w:rPr>
        <w:cr/>
      </w:r>
    </w:p>
    <w:p>
      <w:pPr>
        <w:numPr>
          <w:numId w:val="2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Rule 12-6(2)(c)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12-6(2)(c) "relates to ...foreclosure of a mortgage". It is clear that the words "relates to" in Rule 12-6(2) have been interpreted more narrowly than the lay meaning of those words would suggest. This has been the case for a very long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 xml:space="preserve">, Griffin J. addressed the various predecessor provisions to Rule 12-6(2). At paragraphs 19-20, she referred to and relied on numerous authorities, including common law cases that had been decided much earlier. That survey revealed a consistent and longstanding recognition that for a matter to "relate to" one of the legal issues or categories of legal dispute identified in Rule 12-6(2), that matter must "form the main or central issue ...in the action"; see </w:t>
      </w:r>
      <w:r>
        <w:rPr>
          <w:rFonts w:ascii="arial" w:eastAsia="arial" w:hAnsi="arial" w:cs="arial"/>
          <w:i/>
          <w:color w:val="000000"/>
          <w:sz w:val="20"/>
          <w:lang w:val="en-US" w:eastAsia="en-US" w:bidi="ar-SA"/>
        </w:rPr>
        <w:t>Whiteway v. Nyack</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[1980] B.C.J. No. 993</w:t>
        </w:r>
      </w:hyperlink>
      <w:r>
        <w:rPr>
          <w:rFonts w:ascii="arial" w:eastAsia="arial" w:hAnsi="arial" w:cs="arial"/>
          <w:color w:val="000000"/>
          <w:sz w:val="20"/>
          <w:lang w:val="en-US" w:eastAsia="en-US" w:bidi="ar-SA"/>
        </w:rPr>
        <w:t xml:space="preserve"> (C.A.)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Additionally, it is necessary "to look at what is, in reality, the action to be tried"; see </w:t>
      </w:r>
      <w:r>
        <w:rPr>
          <w:rFonts w:ascii="arial" w:eastAsia="arial" w:hAnsi="arial" w:cs="arial"/>
          <w:i/>
          <w:color w:val="000000"/>
          <w:sz w:val="20"/>
          <w:lang w:val="en-US" w:eastAsia="en-US" w:bidi="ar-SA"/>
        </w:rPr>
        <w:t>Hopper v. Drake</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(1903), 10 B.C.R. 17</w:t>
        </w:r>
      </w:hyperlink>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case, the Roots mortgage, though part of a consolidated action, is not "a main or central issue" in the action. Furthermore, though the Roots mortgage provides the plaintiff with its only secured claim, it cannot be said that that mortgage is "in reality" what this action is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Accordingly, I do not consider that Rule 12-6(2)(c) is properly engaged or that it provides a basis to set aside the jury notice.</w:t>
      </w:r>
      <w:r>
        <w:rPr>
          <w:rFonts w:ascii="arial" w:eastAsia="arial" w:hAnsi="arial" w:cs="arial"/>
          <w:sz w:val="20"/>
          <w:lang w:val="en-US" w:eastAsia="en-US" w:bidi="ar-SA"/>
        </w:rPr>
        <w:cr/>
      </w:r>
    </w:p>
    <w:p>
      <w:pPr>
        <w:numPr>
          <w:numId w:val="27"/>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Rule 12-6(5)(a)(ii); "the issues are ... intricate or complex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have addressed this consideration first because it dominates and is determinative of this application. Various factors or considerations assist in fixing the relative complexity of an action. In </w:t>
      </w:r>
      <w:r>
        <w:rPr>
          <w:rFonts w:ascii="arial" w:eastAsia="arial" w:hAnsi="arial" w:cs="arial"/>
          <w:i/>
          <w:color w:val="000000"/>
          <w:sz w:val="20"/>
          <w:lang w:val="en-US" w:eastAsia="en-US" w:bidi="ar-SA"/>
        </w:rPr>
        <w:t>Andersen v. Porter</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2000 BCSC 1000</w:t>
        </w:r>
      </w:hyperlink>
      <w:r>
        <w:rPr>
          <w:rFonts w:ascii="arial" w:eastAsia="arial" w:hAnsi="arial" w:cs="arial"/>
          <w:color w:val="000000"/>
          <w:sz w:val="20"/>
          <w:lang w:val="en-US" w:eastAsia="en-US" w:bidi="ar-SA"/>
        </w:rPr>
        <w:t>, Wilson J., at para. 14, provided examples of such factors. Several of those examples were, however, primarily directed to a medical malpractice action. Counsel for the plaintiff provided me with various authorities that arise in the commercial context and that are both relevant and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Bank of Montreal v. Stephen and Stephen</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[1983] P.E.I.J. No. 33</w:t>
        </w:r>
      </w:hyperlink>
      <w:r>
        <w:rPr>
          <w:rFonts w:ascii="arial" w:eastAsia="arial" w:hAnsi="arial" w:cs="arial"/>
          <w:color w:val="000000"/>
          <w:sz w:val="20"/>
          <w:lang w:val="en-US" w:eastAsia="en-US" w:bidi="ar-SA"/>
        </w:rPr>
        <w:t xml:space="preserve"> (S.C.), the plaintiff bank sued on a guarantee. The defendants were placed into receivership. Large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plaintiff states the issue is to determine the legal liability of the guarantors under the Bank of Montreal form of guarantee. The defendants ... state that the issues are: (1) were the defendants discharged from their guarantee because of a material alteration in the original contract to finance entered into by the plaintiff and Michael Bros. Ltd.; (2) is Michael Bros. Ltd. legally indebted to the plaintiff at all or to the extent claimed in the statement of claim; (3) was Michael Bros. Ltd. legally in default of any indebtedness to the plaintiff when demands for payment were made upon the defendants under their guarantee; (4) were any lawful demands made upon the defendants under their guarantee; (5) were the defendants discharged from their guarantee either in whole or in part by reason of any impairment of collateral securities of Michael Bros. Ltd. held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the face of it, the issues in </w:t>
      </w:r>
      <w:r>
        <w:rPr>
          <w:rFonts w:ascii="arial" w:eastAsia="arial" w:hAnsi="arial" w:cs="arial"/>
          <w:i/>
          <w:color w:val="000000"/>
          <w:sz w:val="20"/>
          <w:lang w:val="en-US" w:eastAsia="en-US" w:bidi="ar-SA"/>
        </w:rPr>
        <w:t>Stephen</w:t>
      </w:r>
      <w:r>
        <w:rPr>
          <w:rFonts w:ascii="arial" w:eastAsia="arial" w:hAnsi="arial" w:cs="arial"/>
          <w:color w:val="000000"/>
          <w:sz w:val="20"/>
          <w:lang w:val="en-US" w:eastAsia="en-US" w:bidi="ar-SA"/>
        </w:rPr>
        <w:t xml:space="preserve"> were much more straightforward than the issues raised in this case. Nevertheless, Large J.concluded: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that a jury would be hard-pressed to sort out the facts. The trial judge could very well risk having his instructions misapplied, misinterpreted or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arriving at this decision, Large J. relied on several authorities. One such authority was </w:t>
      </w:r>
      <w:r>
        <w:rPr>
          <w:rFonts w:ascii="arial" w:eastAsia="arial" w:hAnsi="arial" w:cs="arial"/>
          <w:i/>
          <w:color w:val="000000"/>
          <w:sz w:val="20"/>
          <w:lang w:val="en-US" w:eastAsia="en-US" w:bidi="ar-SA"/>
        </w:rPr>
        <w:t>Butler v. Charlottetown</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[1944] 3 D.L.R. 350</w:t>
        </w:r>
      </w:hyperlink>
      <w:r>
        <w:rPr>
          <w:rFonts w:ascii="arial" w:eastAsia="arial" w:hAnsi="arial" w:cs="arial"/>
          <w:color w:val="000000"/>
          <w:sz w:val="20"/>
          <w:lang w:val="en-US" w:eastAsia="en-US" w:bidi="ar-SA"/>
        </w:rPr>
        <w:t xml:space="preserve"> (P.E.I. S.C.), where the court, at para. 8, identified various categories of cases that were not suitable for determination by a jury, including "cases in which the major issues are questions of law, and the issues of fact are either negligible in importance, or so interwoven with the issues of law as to make trial without a jury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These comments and concerns are apposite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Bank of Montreal v. Citak</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[1997] O.J. No. 4518</w:t>
        </w:r>
      </w:hyperlink>
      <w:r>
        <w:rPr>
          <w:rFonts w:ascii="arial" w:eastAsia="arial" w:hAnsi="arial" w:cs="arial"/>
          <w:color w:val="000000"/>
          <w:sz w:val="20"/>
          <w:lang w:val="en-US" w:eastAsia="en-US" w:bidi="ar-SA"/>
        </w:rPr>
        <w:t xml:space="preserve"> (C.J.), the defendant bank commenced an action to enforce a personal guarantee against the plaintiff. The plaintiff filed a jury notice that the defendant then applied to set aside. One aspect of the decision relates to the prohibition in s. 108(2.11) of the Ontario </w:t>
      </w:r>
      <w:r>
        <w:rPr>
          <w:rFonts w:ascii="arial" w:eastAsia="arial" w:hAnsi="arial" w:cs="arial"/>
          <w:i/>
          <w:color w:val="000000"/>
          <w:sz w:val="20"/>
          <w:lang w:val="en-US" w:eastAsia="en-US" w:bidi="ar-SA"/>
        </w:rPr>
        <w:t>Courts of Justice Act</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R.S.O. 1990 c. C. 43</w:t>
        </w:r>
      </w:hyperlink>
      <w:r>
        <w:rPr>
          <w:rFonts w:ascii="arial" w:eastAsia="arial" w:hAnsi="arial" w:cs="arial"/>
          <w:color w:val="000000"/>
          <w:sz w:val="20"/>
          <w:lang w:val="en-US" w:eastAsia="en-US" w:bidi="ar-SA"/>
        </w:rPr>
        <w:t xml:space="preserve"> against an equitable claim being determined by a jury. Rule 12-6 contains no such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other aspect of the decision is, however, relevant. Farley J. looked at the pleadings to determine "the pith and substance of the claims"; see </w:t>
      </w:r>
      <w:r>
        <w:rPr>
          <w:rFonts w:ascii="arial" w:eastAsia="arial" w:hAnsi="arial" w:cs="arial"/>
          <w:i/>
          <w:color w:val="000000"/>
          <w:sz w:val="20"/>
          <w:lang w:val="en-US" w:eastAsia="en-US" w:bidi="ar-SA"/>
        </w:rPr>
        <w:t>Citak</w:t>
      </w:r>
      <w:r>
        <w:rPr>
          <w:rFonts w:ascii="arial" w:eastAsia="arial" w:hAnsi="arial" w:cs="arial"/>
          <w:color w:val="000000"/>
          <w:sz w:val="20"/>
          <w:lang w:val="en-US" w:eastAsia="en-US" w:bidi="ar-SA"/>
        </w:rPr>
        <w:t xml:space="preserve"> para. 21; and </w:t>
      </w:r>
      <w:r>
        <w:rPr>
          <w:rFonts w:ascii="arial" w:eastAsia="arial" w:hAnsi="arial" w:cs="arial"/>
          <w:i/>
          <w:color w:val="000000"/>
          <w:sz w:val="20"/>
          <w:lang w:val="en-US" w:eastAsia="en-US" w:bidi="ar-SA"/>
        </w:rPr>
        <w:t>Royal Bank of Canada v. Johnson</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[1984] B.C.J. No. 2947</w:t>
        </w:r>
      </w:hyperlink>
      <w:r>
        <w:rPr>
          <w:rFonts w:ascii="arial" w:eastAsia="arial" w:hAnsi="arial" w:cs="arial"/>
          <w:color w:val="000000"/>
          <w:sz w:val="20"/>
          <w:lang w:val="en-US" w:eastAsia="en-US" w:bidi="ar-SA"/>
        </w:rPr>
        <w:t xml:space="preserve"> (S.C.) at para. 7, where Gibbs J., relying on an earlier authority, said that the character of an action is to be determined "from the issues raised 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Citak</w:t>
      </w:r>
      <w:r>
        <w:rPr>
          <w:rFonts w:ascii="arial" w:eastAsia="arial" w:hAnsi="arial" w:cs="arial"/>
          <w:color w:val="000000"/>
          <w:sz w:val="20"/>
          <w:lang w:val="en-US" w:eastAsia="en-US" w:bidi="ar-SA"/>
        </w:rPr>
        <w:t>, Farley J.said: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my view, the 1997 Action raises issues of considerable complexity which make the action ill-suited for a jury. These issues include the equitable duties of a privately appointed receiver (coopers) and a secured creditor (the Bank) to the debtor (Marco-Polo) and particularly whether Coopers was in breach of its equitable and/or statutory obligations owed to Marco-Polo in the disposition strategy and implementation and whether the inventory was disposed of in good faith and in a commercially reasonable manner. See Levy-Russell, supra, at pp. 192-197, where Lane J. found that these duties involved the consideration and application of complex legal principles as to the powers and duties of a private receiver under a security agreement. In addition, the contractual duties of Coopers under clause 10 of the General Security Agreement and its statutory duties under s. 247 of the Bankruptcy and Insolvency Act, R.S.O. 1985, c. B-3, as amended, must be considered and reconciled (or otherwise if appropriate). The foregoing mixed questions of fact and law involving the existence and scope of the equitable, statutory and contractual duties of Coopers and the Bank to Marco-Polo and whether such had been breached, are, in my view, inappropriate for consideration by a jury: see Oliver v. Gothard (1992), 11 C.P.C. (3d) 342 (Ont. Gen. Div.) at pp. 347-8. Here what we have is a receivership situation involving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bona fides, contractual rights, realization on security and conversion, which are ill-suited for a jury to consider. The jury should not be expected to perform extremely difficult (verging on the nearly impossible) tasks. See Moase Produce Limited v. Royal Bank of Canada </w:t>
      </w:r>
      <w:hyperlink r:id="rId481" w:history="1">
        <w:r>
          <w:rPr>
            <w:rFonts w:ascii="arial" w:eastAsia="arial" w:hAnsi="arial" w:cs="arial"/>
            <w:i/>
            <w:color w:val="0077CC"/>
            <w:sz w:val="20"/>
            <w:u w:val="single"/>
            <w:shd w:val="clear" w:color="auto" w:fill="FFFFFF"/>
            <w:lang w:val="en-US" w:eastAsia="en-US" w:bidi="ar-SA"/>
          </w:rPr>
          <w:t>(1985), 56 Nfld. &amp; P.E.I.R. 130</w:t>
        </w:r>
      </w:hyperlink>
      <w:r>
        <w:rPr>
          <w:rFonts w:ascii="arial" w:eastAsia="arial" w:hAnsi="arial" w:cs="arial"/>
          <w:color w:val="000000"/>
          <w:sz w:val="20"/>
          <w:lang w:val="en-US" w:eastAsia="en-US" w:bidi="ar-SA"/>
        </w:rPr>
        <w:t xml:space="preserve"> (P.E.I.S.C.) at pp. 131-2; and 389118 Ontario Ltd. v. Alpine Electronics (Canada) Ltd., </w:t>
      </w:r>
      <w:hyperlink r:id="rId482" w:history="1">
        <w:r>
          <w:rPr>
            <w:rFonts w:ascii="arial" w:eastAsia="arial" w:hAnsi="arial" w:cs="arial"/>
            <w:i/>
            <w:color w:val="0077CC"/>
            <w:sz w:val="20"/>
            <w:u w:val="single"/>
            <w:shd w:val="clear" w:color="auto" w:fill="FFFFFF"/>
            <w:lang w:val="en-US" w:eastAsia="en-US" w:bidi="ar-SA"/>
          </w:rPr>
          <w:t>[1989] O.J. No. 1189</w:t>
        </w:r>
      </w:hyperlink>
      <w:r>
        <w:rPr>
          <w:rFonts w:ascii="arial" w:eastAsia="arial" w:hAnsi="arial" w:cs="arial"/>
          <w:color w:val="000000"/>
          <w:sz w:val="20"/>
          <w:lang w:val="en-US" w:eastAsia="en-US" w:bidi="ar-SA"/>
        </w:rPr>
        <w:t xml:space="preserve">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Though the foregoing descriptions do not mirror the various issues that have been raised by the response or the defence in this action, it is clear that there is considerable overlap, both factually and legally, in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Oakleigh Properties Ltd. v. Kebet Holdings Ltd.</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[1993] B.C.J. No. 247</w:t>
        </w:r>
      </w:hyperlink>
      <w:r>
        <w:rPr>
          <w:rFonts w:ascii="arial" w:eastAsia="arial" w:hAnsi="arial" w:cs="arial"/>
          <w:color w:val="000000"/>
          <w:sz w:val="20"/>
          <w:lang w:val="en-US" w:eastAsia="en-US" w:bidi="ar-SA"/>
        </w:rPr>
        <w:t xml:space="preserve"> (S.C.),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plaintiffs allege in their statement of claim that they entered into an agreement to lease premises in Richmond from the defendants for a term of 10 years. They allege that the defendants repudiated the agreement. They further plead that the defendants owed them "a fiduciary duty, as well as a general duty of care", and that the breaches of the lease are also breaches of "their fiduciary duty and general duty of care", and claim general damages "for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well as special and punitive or exemplary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defendants have pleaded a general denial, and further allege that any agreement that was made was subject to certain conditions that were not performed. They allege that "the document was not one which, in law, could create enforceable relations". In a reply, the plaintiffs allege that the defendants "have waived and/or are estopped from alleging the breach...of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But with respect, the pleadings do not define the issues in the way that counsel for the plaintiff now describes them. In addition to the question of the existence of a contract, there are issues with regard to the existence of a duty of care and more questions as to the existence of a fiduciary duty. These are essentially questions of law, although, of course, they rely ultimately on proof of a factual basis for the legal theory. Questions of a breach of the alleged duty of care and fiduciary duty should present a jury with no more difficulty than questions of breach of contract, but when it comes to the assessment of damages, the trial judge may well have to instruct the jury on the almost metaphysical distinctions between damages in contract and in tort. The jury will also have to be instructed on the issues of estoppel, waiver and acquiescence. The room for misunderstanding and confusion here is almost limitless; to give one fairly simple example, counsel were at odds before me on whether the pleadings here allege that a contract was created by estoppel, and whether any contract can be created by estoppel or whether estoppel only prevents a party from raising certain defences to the existence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Once again, these comments and concerns do not mirror the issues that are presented in this case. Nevertheless, there is significant congruence in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present case, the defendants raise no less than eight different equitable and legal causes of action. Their pleadings also raise numerous other legal concepts such as agency and estoppel. Carefully analyzed, there are literally several dozen distinct issues of law or issues of mixed fact and law that are raised. Let me provide one example of this. The defendants assert, as I have said, that the plaintiff owes them a duty of good faith. The plaintiff's obligation of good faith, however, is said to potentially arise in no less than four different ways: expressly, impliedly, by representation, and as a result of a fiduciary obligation. That duty of good faith is then said to have created various distinct obligations. For example, a duty to allocate expenses in a particular way or, for example, a duty to give the defendants credit for their role in the Recovery Project when enforcing the Guarantees or, for example, a duty to reasonably consider any settlement proposal the defendants might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Each of the various potential bases for an obligation of good faith, in conjunction with the content of that obligation, would have to be explained to the jury. I am mindful that courts consistently recognize the intelligence of juries; see </w:t>
      </w:r>
      <w:r>
        <w:rPr>
          <w:rFonts w:ascii="arial" w:eastAsia="arial" w:hAnsi="arial" w:cs="arial"/>
          <w:i/>
          <w:color w:val="000000"/>
          <w:sz w:val="20"/>
          <w:lang w:val="en-US" w:eastAsia="en-US" w:bidi="ar-SA"/>
        </w:rPr>
        <w:t>Bartram v. GlaxoSmithKline Inc.</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2016 BCSC 1409</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xml:space="preserve"> at para. 28; and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2009 BCSC 1042</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am also mindful that the onus on a party seeking to strike a jury notice is "not easily satisfied"; see </w:t>
      </w:r>
      <w:r>
        <w:rPr>
          <w:rFonts w:ascii="arial" w:eastAsia="arial" w:hAnsi="arial" w:cs="arial"/>
          <w:i/>
          <w:color w:val="000000"/>
          <w:sz w:val="20"/>
          <w:lang w:val="en-US" w:eastAsia="en-US" w:bidi="ar-SA"/>
        </w:rPr>
        <w:t>MacPherson v. Czaban</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2002 BCCA 518</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there has to be a tipping point. That tipping point is reached when the intricacy or complexity of the issues raised by an action actually impede or undermine the efficacy of the trial process and the confidence that the parties can have in the trial's outcome. In this case, this might arise in several ways. There would be a level of factual complexity in recounting or describing the evidence of how various costs were allocated to different production companies. Mr. Shaw's discovery evidence suggests that it may be necessary to turn to hundreds of different spreadsheets to address those allocations.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charge to the jury would also be complex; see </w:t>
      </w:r>
      <w:r>
        <w:rPr>
          <w:rFonts w:ascii="arial" w:eastAsia="arial" w:hAnsi="arial" w:cs="arial"/>
          <w:i/>
          <w:color w:val="000000"/>
          <w:sz w:val="20"/>
          <w:lang w:val="en-US" w:eastAsia="en-US" w:bidi="ar-SA"/>
        </w:rPr>
        <w:t>Collette v. Cartier Partners Securities Inc.</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2005 BCSC 501</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will be difficult to form questions for the jury; see </w:t>
      </w:r>
      <w:r>
        <w:rPr>
          <w:rFonts w:ascii="arial" w:eastAsia="arial" w:hAnsi="arial" w:cs="arial"/>
          <w:i/>
          <w:color w:val="000000"/>
          <w:sz w:val="20"/>
          <w:lang w:val="en-US" w:eastAsia="en-US" w:bidi="ar-SA"/>
        </w:rPr>
        <w:t>Holland v. Hallonquist</w:t>
      </w:r>
      <w:r>
        <w:rPr>
          <w:rFonts w:ascii="arial" w:eastAsia="arial" w:hAnsi="arial" w:cs="arial"/>
          <w:color w:val="000000"/>
          <w:sz w:val="20"/>
          <w:lang w:val="en-US" w:eastAsia="en-US" w:bidi="ar-SA"/>
        </w:rPr>
        <w:t xml:space="preserve"> (1968), 63 W.W.R. 207 (B.C.C.A.) at 219 para. 41; and </w:t>
      </w:r>
      <w:r>
        <w:rPr>
          <w:rFonts w:ascii="arial" w:eastAsia="arial" w:hAnsi="arial" w:cs="arial"/>
          <w:i/>
          <w:color w:val="000000"/>
          <w:sz w:val="20"/>
          <w:lang w:val="en-US" w:eastAsia="en-US" w:bidi="ar-SA"/>
        </w:rPr>
        <w:t>Collette</w:t>
      </w:r>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There is little doubt that there would be various alternate questions posed to the jury with the risks that are attendant to that exercise; see </w:t>
      </w:r>
      <w:r>
        <w:rPr>
          <w:rFonts w:ascii="arial" w:eastAsia="arial" w:hAnsi="arial" w:cs="arial"/>
          <w:i/>
          <w:color w:val="000000"/>
          <w:sz w:val="20"/>
          <w:lang w:val="en-US" w:eastAsia="en-US" w:bidi="ar-SA"/>
        </w:rPr>
        <w:t>Collette</w:t>
      </w:r>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Stephen</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Still further, this is not a case where the primary issues are factual in nature. In cases where the dominant or central issues are legal, the jurisprudence recognizes that there is a benefit in providing a judge somewhat more time for reflection -- that there is greater need for a mature consideration of the matters; see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at 219-220, and </w:t>
      </w:r>
      <w:r>
        <w:rPr>
          <w:rFonts w:ascii="arial" w:eastAsia="arial" w:hAnsi="arial" w:cs="arial"/>
          <w:i/>
          <w:color w:val="000000"/>
          <w:sz w:val="20"/>
          <w:lang w:val="en-US" w:eastAsia="en-US" w:bidi="ar-SA"/>
        </w:rPr>
        <w:t>McDonald v. Inland Natural Gas Co. Ltd</w:t>
      </w:r>
      <w:r>
        <w:rPr>
          <w:rFonts w:ascii="arial" w:eastAsia="arial" w:hAnsi="arial" w:cs="arial"/>
          <w:color w:val="000000"/>
          <w:sz w:val="20"/>
          <w:lang w:val="en-US" w:eastAsia="en-US" w:bidi="ar-SA"/>
        </w:rPr>
        <w:t>. (1966), 57 W.W.R. 87 at 96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This is to be compared with the role of a jury in circumstances where all of the various issues raised by the parties are likely to be determined in either hours or in a day or two. In </w:t>
      </w:r>
      <w:r>
        <w:rPr>
          <w:rFonts w:ascii="arial" w:eastAsia="arial" w:hAnsi="arial" w:cs="arial"/>
          <w:i/>
          <w:color w:val="000000"/>
          <w:sz w:val="20"/>
          <w:lang w:val="en-US" w:eastAsia="en-US" w:bidi="ar-SA"/>
        </w:rPr>
        <w:t>Collette</w:t>
      </w:r>
      <w:r>
        <w:rPr>
          <w:rFonts w:ascii="arial" w:eastAsia="arial" w:hAnsi="arial" w:cs="arial"/>
          <w:color w:val="000000"/>
          <w:sz w:val="20"/>
          <w:lang w:val="en-US" w:eastAsia="en-US" w:bidi="ar-SA"/>
        </w:rPr>
        <w:t>, Macaulay J. summarized these concerns and, at para. 39,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Where the legal issues are novel or complex, necessarily time-consuming to resolve, and render the charging process impracticable, the issues may be considered too complex and intricate for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Each of these comments and concerns is apposite in this case. These concerns, without more, as I have said, are dispositive of this application. I do not consider that I need address either Rule 12-6(5)(a)(i) or (iii) that the plaintiff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Accordingly, I consider that the jury notice that has been filed by the defendants should be struck and that the plaintiff is to have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Is there anything that arises from that,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KATZALAY: No,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SAVAGE: No,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All right. Thank you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Royal Canadian Legion, Branch No. 15 v. Burkitt, [2005] B.C.J. No. 2739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14 - 17,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S12974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2739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1752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145 A.C.W.S. (3d) 739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Canadian Legion, Branch No. 15, plaintiff, and Jeanette Milena Burkitt,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30"/>
      <w:bookmarkEnd w:id="299"/>
      <w:r>
        <w:rPr>
          <w:rFonts w:ascii="arial" w:eastAsia="arial" w:hAnsi="arial" w:cs="arial"/>
          <w:b/>
          <w:color w:val="000000"/>
          <w:sz w:val="20"/>
          <w:lang w:val="en-US" w:eastAsia="en-US" w:bidi="ar-SA"/>
        </w:rPr>
        <w:t>Tort law — Trespass — To goods — Conversion — Defendant liable to plaintiff Royal Canadian Legion Branch for fraudulent conversion of funds in the amount of $202,823 — Defendant was secretary who added $1,000 to her bi-weekly pay cheques and cashed or deposited 159 cheques from the Branch in addition to payroll cheques into her personal assets.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27"/>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Royal Canadian Legion, Branch No. 15 alleging fraudulent conversion of its funds by its former bookkeeper, Burkitt -- Fraud was alleged to have occurred over period of time from March 1999 to June 2002 -- Plaintiff alleged that the defendant accomplished fraud by forging the name of signing officers and by increasing the amount on her payroll cheques by $1,000 after signature by a signing officer -- In May 2002, Welford, another member of Branch 15, received a phone call from the manager of Branch 15's account at TD Bank, stating that a term deposit of $50,000 had been used up in its entirety -- Welford approached the defendant the next day and presented her with a fax from the Bank manager indicating that the $50,000 was gone -- The defendant could not explain where the funds went -- Welford arranged for the treasurer and two retired accountants to review the financial records -- Defendant resigned from Branch 15's employ in July 2002, before the report was completed -- Defendant denied claims in their entirety but without specific defences raised -- HELD: Judgment for the plaintiff in the total amount of $202,823 -- defendant's bi-weekly payroll entitlement was at all times approximately $400 to $500 -- Executives with signing authority had no recollection of signing cheques payable to defendant in excess of $1,000 -- Evidence confirmed that, between 1999 and 2002, the defendant received amounts in the range of $1,470 on fifty-eight payroll cheques -- For each of the cheques, defendant's actual wage entitlement and entitlement recorded in Branch 15's books were value of the cheque less $1,000 -- Between 1999 and 2002, defendant cashed or deposited 159 cheques from Branch 15 in addition to payroll cheques into her personal assets -- Report clearly established transfer of $244,586 from Branch 15 to the defendant over the period of 1999 to 2002 -- With recorded earnings of $46,792, that left an unaccounted for sum of $197,794 -- Defendant was also liable for $5,029 in overdraft bank charges -- While this was a suitable case for punitive damages, such damages were neither pleaded nor sought.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1" w:name="Counsel_31"/>
      <w:bookmarkEnd w:id="3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5"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Gordon J. Dykstra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her own behalf: J.M. Burkitt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2" w:name="Judgment_31"/>
      <w:bookmarkEnd w:id="302"/>
      <w:r>
        <w:pict>
          <v:line id="_x0000_s1186" style="position:absolute;z-index:2517934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3" w:name="RUSSELL J."/>
            <w:bookmarkEnd w:id="303"/>
            <w:r>
              <w:rPr>
                <w:rFonts w:ascii="arial" w:eastAsia="arial" w:hAnsi="arial" w:cs="arial"/>
                <w:b/>
                <w:color w:val="000000"/>
                <w:sz w:val="30"/>
                <w:lang w:val="en-US" w:eastAsia="en-US" w:bidi="ar-SA"/>
              </w:rPr>
              <w:t>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Royal Canadian Legion, Branch No. 15 ("Branch 15") is the plaintiff in an action alleging fraud by conversion of Branch 15's funds by its former bookkeeper, Jeanette Milena Burkitt. The fraud is alleged to have occurred over a period of time from March, 1999 to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Branch 15 alleges Ms. Burkitt accomplished fraud by forging the name of signing officers and by increasing the amount on her payroll cheques by one thousand dollars after signature by a signing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Burkitt's statement of defence is a denial of the claims in their entirety but without any specific defences raised. She was represented by counsel at the time her defence was filed but was self-represented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accountant for Branch 15 has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begin by recounting the evidence of the witnesses, followed by case law on allegations of conversion and will conclude with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WITNESSES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called Peter Welford, current president of Branch 15. Mr. Welford testified that the charitable purpose of the Royal Canadian Legion from its inception was to raise funds to assist service personnel and their survivors when in need. He stated that Branch 15's funds came from sales of poppies and wreaths in the months of October and November and from gaming monies. The funds raised in these ways are regarded as trust monies and go to charitable purposes only and cannot be used for operating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Branch 15 also raises funds by way of meat draws and 50/50 draws, also with funds going to charity. Other funds of Branch 15 are generated by membership fees, potluck dinners, dances, and sales of food and alcohol. Branch 15 has seen its membership diminish to 700 or slightly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Welford has been a member of Branch 15 since 1999 but only involved in its administration since 2000. He is a retired engineering technologist.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Welford presented a list marked as Exhibit 8 of the table officers of Branch 15 from 1999 to 2002. Among those officers, he indicated that several did not have signing authority. These "excluded" officers were Godrey Miller [sic], Fay Lathrop, Ken Hennig, and Charles Nicol. Mr. Miller is deceased and Mr. Nicol no longer has capacity to give evidence due to a heart attack and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Ms. Burkitt, is noted as Secretary throughout these years and, according to Mr. Welford, was given signing authority very shortly after she joined Branch 15 in February,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Exhibit 9, an extract from Branch 15 minutes dated February 11, 1999, notes as follows under "New Business":</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now out of the hole and it is time to hire a Secretary. Motion to: Mike Zomar Sr. to hire Janet as the Secretary of our legion (she has been doing our books and working in the office) Executive to draw up duties to outline 5 days a week, 7 hours a day and $11 an hour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Seconded by: Roy Garrett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Carried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Welford's evidence was that the "Janet" indicated in the minutes in fact referred to the defendant, Ms. Burkitt. When asked to explain the expression "now out of the hole", Mr. Welford explained that Branch 15 would be receiving a legacy of $350,000 (the "Legacy") and so could afford to hire Ms. Burkitt to perform bookkeeping and secretarial tasks and to supervise the other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other employees were three or four bar staff and a contract janitor. None of the other employees had anything to do with the finances of Branch 15. The bar staff would take in cash, prepare sales sheets, which were to balance with the amount in the till, and give the cash and the sheets to Ms. Burkitt who would put the cash in the safe overnight and make a bank deposit in the morning. Mr. Welford was not aware of any other employee who would make deposits. It was an almost daily task Ms. Burkitt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Burkitt was to keep the financial records current on the Branch 15 computer by making all entries to the system, pay the bills by writing cheques, and prepare all payroll cheques, including her own. All cheques were to be signed by two of three signing officers, of which she was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Legacy was used to repay loans to Branch 15, to pay bills that were due, and to pay down Branch 15's mortgage to a manageable amount, leaving $50,000 for a term deposit (the "Term Deposit") which was to be rolled over until and unless an exigent reason emerged for using it. Mr. Welford called this amount Branch 15's reserve buffer.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May 23, 2002, Branch 15's financial problems surfaced. Mr. Welford recalled the exact date and time - late in the afternoon - because he was utterly shocked to receive a phone call from Mr. Lewis, the manager of Branch 15's account at the Toronto Dominion Bank, stating that the term deposit had been used up in its entirety. Mr. Welford asked that Mr. Lewis put this in writing and Mr. Lewis faxed the news to him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next morning, Mr. Welford put the fax in front of Ms. Burkitt and asked her what was going on. She had no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Welford did not commence an investigation for a few days because he was going to a Royal Canadian Legion convention along with his table officers and his wife. However, upon his return, he was met with a financial situation which required an urgent response. Branch 15's cheques were bouncing and bills were unpaid. He arranged a $30,000 emergency loan from a subsidiary organization. This saved Branch 15 from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next step Mr. Welford took was to arrange for treasurer, Roy Gomm, a retired Certified General Accountant, and Maureen McCargar, a retired Chartered Accountant, to review the financial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review took two or three weeks. It pointed out anomalies such as the fact that almost all of Ms. Burkitt's paycheques had been increased unilaterally by one thousand dollars. For these altered paycheques, Ms. Burkitt's actual payroll entitlement was in all cases the figure on the cheque less the thousand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Burkitt resigned from Branch 15's employ on July 3, 2002, before the Gomm-McCargar report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Welford recalled that in 2002, Ms. Burkitt's terms of employment were for twenty-two hours of work per week at $12.35 per hour. She was hired at $11 per hour but received a raise almost immediately when her bookkeeping duties were expanded to include more office-manager duties. She was paid bi-weekly. Her cheques were usually in the range of $450 - $500 per pay period and Mr. Welford signed cheques for that amount. He testified he had never signed a cheque to Ms. Burkitt in the amount of $1,470 and had never seen such a cheque until the investigation was commenced. He has since seen many such cheques in the range of $1,470.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has never seen any cheques payable to Ms. Burkitt for payment of money other than for payroll such as repayment for advances made by her to Branch 15. He has seen cheques with what purports to be his signature but which he says are not his signature. He is certain he has not signed any cheques payable to Ms. Burkitt for amounts which were not payroll.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knows of no policy of Branch 15 allowing employees to advance money to the Branch and then be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was an occasion when Branch 15 members lent money to the Branch. However, they were issued debentures in exchange for the sums paid. The debentures were repurchased by Branch 15 and careful records kept of both the debt and its repayment.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Welford stated that Branch 15 suffered consequences as a result of its financial crisis. It was forced to sell its large building and to relocate to much smaller and more affordable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Burkitt was invited to cross-examine Mr. Welford but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Irene Evans was the next witness called by Branch 15. Ms. Evans was at first Vice-President of Branch 15 in 1999 and became President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Her recollection was occasionally spotty but she stated without equivocation that the cheques she signed for Ms. Burkitt's payroll were always in the range of $500 and she would not have signed a cheque for an amount of $1,000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donated money to Branch 15 from time to time, including payment for a water heater in the amount of $400. She stated she and Ms. Burkitt were going to go halves on the water heater but she wrote the cheque. She was not reimbursed but did not want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never signed blank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Evans gave evidence that she may have signed cheques to Ms. Burkitt for groceries from time to time. When questioned by the Court, she said that Ms. Burkitt might make a trip to Costco and buy hot dogs and buns for Branch 15 and then be reimbursed in the amount of $50-60. This occurred perhaps once a week or so but other than petty cash reimbursement with receipts taken from bar staff, there was no system for payment by employees and subsequent reimbursement.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Again, although invited, Ms. Burkitt declined to cross-examine Ms.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Maureen McCargar gave evidence on behalf of Branch 15. She is the retired Chartered Accountant whom Mr. Welford asked to perform a review and audit of Branch 15's books after he learned of the disappearance of the Term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is a member of the Royal Canadian Legion and now an employee of Branch 15. She keeps the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June, 2002, she commenced a complete audit which took four months to finish. After the first two months, she made an initial report to the Executive Committee because she had found money missing for which there was no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began by reviewing the May 2002 bank statement. She had no idea what had gone wrong and was looking for cash to pay Branch 15's outstanding financial obligations. She phoned creditors to ask for time to pay. She discovered that parts of the general ledger and bank statements were incomplete: many returned cheques were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obtaining copies of cheques from the TD Bank, she noted that the majority of cheques, which had cleared Branch 15's accounts, were made out to Jeanette Burkitt.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reviewing the cheques made out to Ms. Burkitt, she noted that they were split among various expenses. For example, with a $3,000 cheque, Ms. Burkitt would note $1,000 for food; $1,500 utilities; $500 petty cash, but such cheques were all payable to Ms. Burkitt.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McCargar is aware of the loans made by members to Branch 15. She stated that the records were clear about who lent money and in what amount. She said that Ms. Burkitt did not lend Branch 15 any money but wrote herself a cheque for repayment.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were no notes in the records respecting advances allegedly made by Ms. Burkitt. There were no notes respecting any purchases for which she claimed repayment.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far as Ms. McCargar knew, all of Branch 15's financial records were contained in the two filing cabinets in the office. There were no other records of which she was aware and she inspected all records kept in the Branch 15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noted an odd matter respecting the deposits made by Ms. Burkitt. As soon as Ms. Burkitt made a Branch 15 deposit, she would have her own cheque certified. Other Branch 15 cheques were bouncing but she arranged to have Legion cheques payable to her certified as soon as the cash went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Upon questioning by the court about the hot water tank mentioned by Mr. Evans, Ms. McCargar stated that while Ms. Evans had made the purchase and was to be repaid the $400, the cheque for reimbursement was made payable to Ms. Burkitt.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Again, although invited to cross-examine Ms. McCargar, the defendant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Before commencing the second day of trial, the court asked Ms. Burkitt if she understood the process in which she found herself. She replied she did not and her lawyer had withdrawn and withheld her file since she was unable to pay him. The defendant replied in the affirmative when asked if she understood what was at stake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file revealed the defendant filed a notice of intention to act in person on November 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expressed its concern that she did not appear able to conduct her own defence and then gave her some basic information on direct and cross-examination and the consequences of not cross-examining the plaintiff's witnesses. The defendant also accepted a suggestion she speak to duty counsel once the expert witness completed her direct examination. The court stood down to allow the defendant to review the expert report which had been served on her counsel in 2004. The defendant was also advised by the court that she would be given time to prepare a cross-examination of the expert with the opportunity to review the source documents on which the report was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Roseann Terhart was called by Branch 15 as an expert in forensic accounting. She is a Chartered Accountant with the firm of Meyers Norris Penny entitled to use the designation Chartered Fraud Examiner ("CFE") following her name. She is a member of the Chartered Fraud Examiners as a result of receiving certification and training in investigation of fraud and education in criminology, legal aspects of fraud and investigation techniques. She has been a forensic accountant for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accepted Ms. Terhart's qualifications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constructing her report, Ms. Terhart examined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Deposit account history for Branch 15's bank account;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Original cancelled cheques from Branch 15's bank account;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Certified bank copies of cancelled cheques from Branch 15's bank account;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bookkeeping records for Branch 15: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ledger for January 1, 1999 to December 31, 1999;</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Journal entry detail for the years 2000, 2001 and 2002.</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Burkitt's payroll records;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Burkitt's 1999, 2000, and 2001 Form T4s issued by the Canada Custom and Revenue Agency;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Deposit account history for Ms. Burkitt's personal bank account at TD Canada Trust (the "Personal Account");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Deposit account history for Ms. Burkitt's joint (with husband) bank account at TD Canada Trust (the "Joint Account");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with Mr. Peter Welford.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documents and evidence that underlie Ms. Terhart's report were submitted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Terhart's report states that from 1999-2002, $244,586.82 was transferred to Ms. Burkitt by cheques issued from Branch 15's bank account. Ms. Terhart divides this total into three categories of transfers:</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$46,792.21 in legitimate payroll transfers.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$58,000 in illegitimate payroll transfers, obtained by adding an extra $1,000 to fifty-eight payroll cheques.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$139,794.61 in additional illegitimate transfers, obtained by drafting one hundred and fifty-nine unauthorized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report analyzes each of these three fund streams in substantial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Burkitt's T4 slips and the Legion's accounting books both record her total wages for the period of 1999-2001 as being approximately $40,843 (there are small variances due to rounding differences). There was no T4 slip available for 2002. Ms. Burkitt's wages as recorded in Branch 15's accounting books for 2002 were $5,948.54. Ms. Burkitt's total legitimate wages for the period of 1999 to 2002 were thus found to be approximately $46,792.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report demonstrates, however, that $1,000 was added to the legitimate wage amount on fifty-eight payroll cheques issued to Ms. Burkitt (the "Altered Payroll Cheques"). The court received copies of the Altered Payroll Cheques in support of this assertion. These additional payments of $1,000 were not recorded as wages paid to Ms. Burkitt in Branch 15's books. Instead, they were recorded as other types of expenses or sometimes not recorded at all. As a result, the payroll cheques issued to Ms. Burkitt between 1999 and 2002 were for a total value that is $58,000 more than the legitimate payroll amount that is recorded in Branch 15's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report then demonstrates, with the cheques as supporting evidence, that one hundred and fifty-nine cheques were paid to either Ms. Burkitt's Personal Account or her Joint Account over the period of 1999 to 2002 (the "Additional Cheques"). The report provides a detailed breakdown of how the Additional Cheques were accounted for in Branch 15's records. The top three accounting categories were repairs and maintenance ($21,985.03), GST payments ($20,269.94), and food and beverages ($14,656.55). No records were found for $16,350.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report then shows how each of the cheques issued to Ms. Burkitt from Branch 15 over the period of 1999 to 2002 was paid or cashed. Of the $244,586.82 in cheques issued to Ms. Burkitt, $195,513.04 was paid into the Personal Account or the Joint Account. The remaining $49,073.78 was cashed or deposited at various other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the report notes that Branch 15 was charged processing fees and interest while its bank account was in an overdraft position. Over the period of 1999 to 2002, the Legion paid $2,297 as a presentment charge (a charge on each cheque cashed when the account's overdraft position was in excess of $5,000), $845 in overdraft protection fees, and $1,887.49 in overdraft interest for a total of $5,029.49.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Thus, to summarize the contents of the report, Branch 15 paid $244,586.82 to Ms. Burkitt over the period of 1999 to 2002. Ms. Burkitt's total legitimate wages and earnings for that same period were $46,792.21. $58,000 of the total amount resulted from increases of $1,000 to each of the fifty-eight Altered Payroll Cheques. The one hundred and fifty-nine Additional Cheques issued to Ms. Burkitt account for the remaining $139,794.61 of the total amount. The report also demonstrates that Branch 15 incurred bank fees and interest in the amount of $5,029.49 from the resulting overdraft position on its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cross-examination, Ms. Terhart acknowledged that certain of the documents upon which her report was based may have been changed prior to her investigation, but stated that there was no evidence that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Carl Barrett was called by Branch 15 to give evidence. Mr. Barrett was President of Branch 15 in 1999 and Treasurer of Branch 15 from 1999 to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Barrett stated that the defendant's job was never for fourty hours per week. Mr. Barrett further stated that at the beginning of her employment with Branch 15, the defendant did not work more than twelve to fifteen hours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Barrett stated that when employees did shopping for Branch 15, the normal process was to get cash in advance from the bartender on duty and to return the change along with a receipt of the purchase. These expenditures were for small items like kitchen and bar supplies, and usually amounted to $40 to $100. Mr. Barrett stated that he made use of this process approximately twice per week, but did not think that Ms. Burkitt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Barrett recalled one instance where Ms. Burkitt claimed to advance $1,600 to help pay for a new water heater. Other than that, Mr. Barrett testified that to his knowledge, the defendant did not make any advances to Branch 15. He also stated that Ms. Burkitt never notified him that she was going to withdraw funds from Branch 15 to reimburse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Barrett testified that before receiving the Legacy, Branch 15's finances were desperate. $60,000 in loans had been raised from the Legion's members, all of which were repaid at the time that the Legacy was received. Ms. Burkitt was not one of the persons who loaned money to the Legion.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cross-examination, Mr. Barrett stated his belief that Ms. Burkitt had never donated money to Branch 15. He also denied that she paid an entertainer named Randy Friskey for his services to the Legion. To Mr. Barrett's knowledge, Mr. Friskey donated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Branch 15 called Mr. Earl Freeland to give evidence. Mr. Freeland was the Vice-President of Branch 15 from 2000-2001.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Freeland testified that he had signing authority for Branch 15's bank account and signed cheques on behalf of Branch 15. He stated that he signed cheques relating to groceries, payroll, and miscellaneous expenses. On occasion he signed Ms. Burkitt's payroll cheques. He had no recollection of signing cheques in excess of $1,000 that were payable to Ms. Burkitt. He did not believe that Ms. Burkitt had advanced money to Branch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was no cross-examination of Mr. Freeland.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Branch 15 called Mr. Roy Gomm to give evidence. Mr. Gomm is a Certified General Accountant (CGA) with almost fourty years of accounting experience. He was also the Treasurer for Branch 15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Gomm stated that he had never signed cheques for Ms. Burkitt except for payroll.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Gomm testified that problems with Branch 15's finances began to appear in 2002. In July, 2002, Mr. Gomm began reconstructing Branch 15's recent financial history. Mr. Gomm testified that he did not have a sense of the extent of the problems until TD Canada Trust informed Branch 15 that the Term Deposit had been fully depleted.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this time, Mr. Gomm testified, Ms. Burkitt was asked for bank statements. The analysis of the financial records proved very difficult, as cheque numbers did not correspond to those recorded in Branch 15's electronic files, and the statements themselves were obscured in parts by marks from a heavy pen. In reviewing bank copies of Branch 15's payroll cheques payable to Jeanette Burkitt, Mr. Gomm found that the amounts were for $1,000 more than what he had signed for. He did not confront Ms. Burkitt with this because she had already resigned from Branch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cross-examination, Mr. Gomm stated that he was not aware of any of Ms. Burkitt's activities prior to 2002. He also stated that he was not aware of any donations or loans that Ms. Burkitt may have made to Branch 15 except to the extent that she claimed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Branch 15 called Mr. Frederick MacLeod to give evidence. Mr. MacLeod was President of Branch 15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MacLeod testified that either he, Mr. Barrett or Mr. Welford signed payroll cheques. He stated that he reviewed the amounts on all payroll cheques that he signed. The payroll cheques issued to Ms. Burkitt were for approximately $500. There were never any cheques issued to Ms. Burkitt for over $1,000 for any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MacLeod also stated that he was not aware of any process whereby Ms. Burkitt would have advanced money to Branch 15 and subsequently sought reimbursement.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was no cross-examination of Mr. MacLeod.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This concluded the case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WITNESS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Burkitt called herself as her sole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Burkitt testified that she worked thirty-five hours per week as a full-time employee of Branch 15 when she commenced full time employment in 1999. She asserted that at some point she made a loan of $4,000 to Branch 15 to prevent Branch 15's accounts from being frozen for failure to pay Provincial Sales Tax. This loan, she stated, was subsequently repaid to her. She also asserted that she spent approximately $3,000 of her own money paying a band on behalf of Branch 15. She did not tell anyone about either of these cash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Burkitt also stated that she went shopping for Branch 15 two to three times a week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Counsel for the Legion took the defendant through her years of employment with the plaintiff. Ms. Burkitt agreed that her hours had decreased over time. She also agreed that her salary rate did not change from pay period to pay period and she was making $12.35 per hour yet the cheques she was issuing herself would have meant she was being paid on one cheque, $35 per hour, on another in the same general time period, $33.27 per hour, at a later date, $25.03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Burkitt agreed that her T-4 slip for 1999 did not correspond with her assertion on discovery that she was earning $3000 per month with Branch 15. That T-4 slip indicated total gross earnings of $17,569 for 1999. She conceded her answers given in discovery were wrong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During her cross-examination, Ms. Burkitt admitted that she had added $1,000 to a payroll cheque on at least one occasion after it had been signed by a signing officer of Branch 15. She also agreed she took the altered cheque to the bank and cashed it. She could not recall whether she did this fifty-eight times, but stated that she did not disagree with the proposition if that was what the audit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Counsel for the plaintiff then asked Ms. Burkitt questions about the Additional Cheques. Aside from the $7,000 that Ms. Burkitt claimed to have loaned Branch 15, she stated that she had occasionally used her own funds when shopping for Branch 15. She admitted that the alleged loans and shopping expenses did not amount to $139,000 over the four-year period. Later in cross-examination, the defendant asserted that on one occasion she had deposited $10,000 cash into Branch 15's account through three deposits. When pressed about records, Ms. Burkitt said they might be with her former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Burkitt later stated in cross-examination that the amount of the loan she allegedly made to Branch 15 was $10,000 and came from an inheritance she had received. She agreed there was no indication in her bank account she had made such a loan but said that she had gone to her bank, taken out $10,000 in cash and put it into the Branch 15 account via three direct deposits. She stated she had made other donations to Branch 15 during the time she was overpaying herself. However, once again, she had no explanation for why there was no record although she claimed she had told Messrs. Barrett and Gomm of her donations and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Counsel for the Branch 15 obtained Ms. Burkitt's agreement that just before the Branch 15 received the Legacy in July, 2001, it was close to bankruptcy and had to borrow $66,000 from its members. She agreed she did not subscribe to the loan. However, she admitted that she had paid herself $63,000 in excess of her actual earnings from Branch 15 for the years 1999 and 2000 and the $66,000 loan just put Branch 15 back into a break-even position. She would not agree that it was her theft which caused the Branch 15 to be in a difficult financial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agreed that after the Legacy was received, Branch 15 paid down its mortgage, repaid the members' loans, placed $64,000 in its general accounts and then funded a $50,000 GIC to cover overdrafts and be a reserve fund. In total, she agreed that would leave $114,000 available to Branch 15. But by July 2002, she agreed the money was all gone. She also agreed that in the same period of time, July 2001 to July 2002, she had taken $133,000 but said that a substantial amount of that money went to pay Branch 15's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Burkitt continued to assert that many of the Additional Cheques were repayments to her. She said she would advance money to the Legion as needed and then repay herself whenever the Legion's account was in funds since she was the one person in the Legion with current knowledge of the bank balance at any time. However, she had no explanation for why she would write herself repayment cheques twice on the same day, for example, December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Counsel for the Legion questioned Ms. Burkitt about the history of her marriage. She stated she was married to Trevor Burkitt, manager of the photo department at a local supermarket. He earned approximately $25-30,000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agreed that he had a very expensive hobby and at one time owned six antique cars. She helped him with money, she said because she was afraid he would leave her if she refused. She was candid he had married her for money and then left her when it was gone. However, she would not admit she had stolen to support that hobby. She said the money for his hobby had come from her inheritance but was unable to offer any proof for such an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When counsel for Branch 15 asked her directly, Ms. Burkitt admitted that in addition to the money she took by altering her payroll cheques, $58,000, she had also taken other monies totalling $139,794 for a total theft from Branch 15 of $197,794.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answer to a final question from counsel for the Branch 15 about the justification for her actions, Ms. Burkitt said her husband had an expensive hobby which he wanted very badly and used a form of mental abuse against her. She stated she was left a big property by her mother and father which was now gone. As a result, her husband had left and she had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Despite her admissions to counsel for the Legion regarding the taking of the money, at no time did she apologize or admit remorse. The only matter about which she seemed regretful was the fact that her husband had left despite the money she had given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central issue in this case is whether or not the defendant wrongfully converted the funds of the plaintiff. Given the extent of her admissions, there does not seem much doubt that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TORT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tort of conversion was summarized by the Federal Court of Canada in Shibamoto &amp; Co. v. Western Fish Producers, Inc. Estate, </w:t>
      </w:r>
      <w:hyperlink r:id="rId496" w:history="1">
        <w:r>
          <w:rPr>
            <w:rFonts w:ascii="arial" w:eastAsia="arial" w:hAnsi="arial" w:cs="arial"/>
            <w:i/>
            <w:color w:val="0077CC"/>
            <w:sz w:val="20"/>
            <w:u w:val="single"/>
            <w:shd w:val="clear" w:color="auto" w:fill="FFFFFF"/>
            <w:lang w:val="en-US" w:eastAsia="en-US" w:bidi="ar-SA"/>
          </w:rPr>
          <w:t>[1991] 3 F.C. 214</w:t>
        </w:r>
      </w:hyperlink>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43 F.T.R. 1</w:t>
        </w:r>
      </w:hyperlink>
      <w:r>
        <w:rPr>
          <w:rFonts w:ascii="arial" w:eastAsia="arial" w:hAnsi="arial" w:cs="arial"/>
          <w:color w:val="000000"/>
          <w:sz w:val="20"/>
          <w:lang w:val="en-US" w:eastAsia="en-US" w:bidi="ar-SA"/>
        </w:rPr>
        <w:t xml:space="preserve"> (T.D.), aff'd </w:t>
      </w:r>
      <w:hyperlink r:id="rId497" w:history="1">
        <w:r>
          <w:rPr>
            <w:rFonts w:ascii="arial" w:eastAsia="arial" w:hAnsi="arial" w:cs="arial"/>
            <w:i/>
            <w:color w:val="0077CC"/>
            <w:sz w:val="20"/>
            <w:u w:val="single"/>
            <w:shd w:val="clear" w:color="auto" w:fill="FFFFFF"/>
            <w:lang w:val="en-US" w:eastAsia="en-US" w:bidi="ar-SA"/>
          </w:rPr>
          <w:t>(1992), 145 N.R. 106</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[1992] F.C.J. No. 479</w:t>
        </w:r>
      </w:hyperlink>
      <w:r>
        <w:rPr>
          <w:rFonts w:ascii="arial" w:eastAsia="arial" w:hAnsi="arial" w:cs="arial"/>
          <w:color w:val="000000"/>
          <w:sz w:val="20"/>
          <w:lang w:val="en-US" w:eastAsia="en-US" w:bidi="ar-SA"/>
        </w:rPr>
        <w:t xml:space="preserve"> (F.C.A.)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 of conversion involves the wrongful taking, using or destroying of goods or the exercise of control over them in a manner that is inconsistent with the title of the owner. It arises when there exists an intentional exercise of control over a chattel which seriously impedes the right of the true owner to control it. What must be shown is a voluntary act in respect of another's goods which amounts to an expropriation of the owner's proprietary or possessory rights in them. These principles of law are well established by the jurisprudence. In Dickey v. McCaul </w:t>
      </w:r>
      <w:hyperlink r:id="rId498" w:history="1">
        <w:r>
          <w:rPr>
            <w:rFonts w:ascii="arial" w:eastAsia="arial" w:hAnsi="arial" w:cs="arial"/>
            <w:i/>
            <w:color w:val="0077CC"/>
            <w:sz w:val="20"/>
            <w:u w:val="single"/>
            <w:shd w:val="clear" w:color="auto" w:fill="FFFFFF"/>
            <w:lang w:val="en-US" w:eastAsia="en-US" w:bidi="ar-SA"/>
          </w:rPr>
          <w:t>(1887), 14 O.A.R. 166</w:t>
        </w:r>
      </w:hyperlink>
      <w:r>
        <w:rPr>
          <w:rFonts w:ascii="arial" w:eastAsia="arial" w:hAnsi="arial" w:cs="arial"/>
          <w:color w:val="000000"/>
          <w:sz w:val="20"/>
          <w:lang w:val="en-US" w:eastAsia="en-US" w:bidi="ar-SA"/>
        </w:rPr>
        <w:t xml:space="preserve"> (C.A.) the Court stated at page 171 that "in order to constitute a conversion there must be a wrongful taking or using or destroying of the goods, or an exercise of dominion over them inconsistent with the title of the owner." In Cyr v. Laine </w:t>
      </w:r>
      <w:hyperlink r:id="rId499" w:history="1">
        <w:r>
          <w:rPr>
            <w:rFonts w:ascii="arial" w:eastAsia="arial" w:hAnsi="arial" w:cs="arial"/>
            <w:i/>
            <w:color w:val="0077CC"/>
            <w:sz w:val="20"/>
            <w:u w:val="single"/>
            <w:shd w:val="clear" w:color="auto" w:fill="FFFFFF"/>
            <w:lang w:val="en-US" w:eastAsia="en-US" w:bidi="ar-SA"/>
          </w:rPr>
          <w:t>(1953), 32 M.P.R. 106</w:t>
        </w:r>
      </w:hyperlink>
      <w:r>
        <w:rPr>
          <w:rFonts w:ascii="arial" w:eastAsia="arial" w:hAnsi="arial" w:cs="arial"/>
          <w:color w:val="000000"/>
          <w:sz w:val="20"/>
          <w:lang w:val="en-US" w:eastAsia="en-US" w:bidi="ar-SA"/>
        </w:rPr>
        <w:t xml:space="preserve"> (N.B.C.A.) at page 107, the Court provided a concise definition of conversion as "a positive wrongful act or dealing with the goods in a manner, and with an intention, inconsistent with the owner's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Shibamoto (supra), the defendants acted as agents to purchase fish for the plaintiff. The plaintiff entrusted the defendants with funds to fulfill this task. The court found that the defendants had diverted the plaintiff's funds for their own personal uses ([paragraph] 13). The court thus found that the tort of conversion was made out with respect to these wrongfully diverted funds ([paragraph] 26 and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tort of conversion has been applied in British Columbia cases involving misappropriated or wrongfully used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Pezzotti v. Zuliani, </w:t>
      </w:r>
      <w:hyperlink r:id="rId500" w:history="1">
        <w:r>
          <w:rPr>
            <w:rFonts w:ascii="arial" w:eastAsia="arial" w:hAnsi="arial" w:cs="arial"/>
            <w:i/>
            <w:color w:val="0077CC"/>
            <w:sz w:val="20"/>
            <w:u w:val="single"/>
            <w:shd w:val="clear" w:color="auto" w:fill="FFFFFF"/>
            <w:lang w:val="en-US" w:eastAsia="en-US" w:bidi="ar-SA"/>
          </w:rPr>
          <w:t>[1999] B.C.J. No. 605</w:t>
        </w:r>
      </w:hyperlink>
      <w:r>
        <w:rPr>
          <w:rFonts w:ascii="arial" w:eastAsia="arial" w:hAnsi="arial" w:cs="arial"/>
          <w:color w:val="000000"/>
          <w:sz w:val="20"/>
          <w:lang w:val="en-US" w:eastAsia="en-US" w:bidi="ar-SA"/>
        </w:rPr>
        <w:t xml:space="preserve"> (S.C), the plaintiffs had $30,000 invested in a small business of which the main defendant was director and president. The investment was to cover the operating expenses of the business. Substantially all of the $30,000 had been spent within six months of investment without any advancement of the business. The majority of the $30,000 had been used to pay wages and business expenses of the business. A portion of the $30,000 had been used by the defendant to repay a personal loan to the business' accountant (co-defendant). A final portion had been used by the defendant to make a personal investment. The plaintiffs sued the defendants for conversion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determining whether conversion had occurred, the court stated "... the plaintiffs must establish that any or all of the defendants used any or all of the $30,000 payment for a purpose other than the purpose for which it was given" ([paragraph] 65). The court found that the use of the investment to pay wages and business expenses was legitimate. However, the main defendant's use of the funds to repay a personal loan and make a personal investment were not legitimate business expenses, and constituted a conversion of the plaintiff's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Kuhn v. Union Securities Ltd., </w:t>
      </w:r>
      <w:hyperlink r:id="rId501" w:history="1">
        <w:r>
          <w:rPr>
            <w:rFonts w:ascii="arial" w:eastAsia="arial" w:hAnsi="arial" w:cs="arial"/>
            <w:i/>
            <w:color w:val="0077CC"/>
            <w:sz w:val="20"/>
            <w:u w:val="single"/>
            <w:shd w:val="clear" w:color="auto" w:fill="FFFFFF"/>
            <w:lang w:val="en-US" w:eastAsia="en-US" w:bidi="ar-SA"/>
          </w:rPr>
          <w:t>[2002] B.C.J. No. 1567</w:t>
        </w:r>
      </w:hyperlink>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2002 BCSC 979</w:t>
        </w:r>
      </w:hyperlink>
      <w:r>
        <w:rPr>
          <w:rFonts w:ascii="arial" w:eastAsia="arial" w:hAnsi="arial" w:cs="arial"/>
          <w:color w:val="000000"/>
          <w:sz w:val="20"/>
          <w:lang w:val="en-US" w:eastAsia="en-US" w:bidi="ar-SA"/>
        </w:rPr>
        <w:t xml:space="preserve">, aff'd </w:t>
      </w:r>
      <w:hyperlink r:id="rId502" w:history="1">
        <w:r>
          <w:rPr>
            <w:rFonts w:ascii="arial" w:eastAsia="arial" w:hAnsi="arial" w:cs="arial"/>
            <w:i/>
            <w:color w:val="0077CC"/>
            <w:sz w:val="20"/>
            <w:u w:val="single"/>
            <w:shd w:val="clear" w:color="auto" w:fill="FFFFFF"/>
            <w:lang w:val="en-US" w:eastAsia="en-US" w:bidi="ar-SA"/>
          </w:rPr>
          <w:t>[2003] B.C.J. No. 2784</w:t>
        </w:r>
      </w:hyperlink>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2003 BCCA 683</w:t>
        </w:r>
      </w:hyperlink>
      <w:r>
        <w:rPr>
          <w:rFonts w:ascii="arial" w:eastAsia="arial" w:hAnsi="arial" w:cs="arial"/>
          <w:color w:val="000000"/>
          <w:sz w:val="20"/>
          <w:lang w:val="en-US" w:eastAsia="en-US" w:bidi="ar-SA"/>
        </w:rPr>
        <w:t>, this court considered numerous allegations of conversion arising from a relationship between a brokerage house (defendant), a broker formerly employed by the brokerage house and a former client of the brokerage house (plaintiffs). The plaintiffs were married, but held separate accounts with the defendant. The defendant had used funds held in a reserve account for the plaintiff broker to offset bad debts of the plaintiff broker's clients. The defendant had also sold securities held in an account for the plaintiff client and applied the proceeds to offset debts owing by the client and debts owing by her husband, the plaintiff broker. The plaintiffs claimed that all of these transfers constituted conversions ([paragraph] 5 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For each alleged conversion, Martinson J. analyzed whether or not the defendant had made an improper use of the plaintiffs' funds and securities. In all but one case, Martinson J. found that the defendant had not acted improperly. The Court found that the use of assets in the plaintiff client's account to offset debts in the plaintiff broker's account was a wrongful conversion ([paragraph] 87). The defendant had wrongfully believed that the accounts were cross-guaranteed. There was in fact no basis for such a transfer ([paragraph] 80-82). The defendant was thus liable to the plaintiff client for the value of the converted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From these cases, conversion is made out where there is a positive wrongful act or dealing with goods, or in this case, funds, in a manner, and with an intention, inconsistent with the owner's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TO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is abundant evidence to support the conclusion that the defendant fraudulently converted the funds of the plaintiff. To begin with, there is her own admission that she altered the face amount of her pay cheques perhaps as many as fifty-eight times at $1000 a time for a total of $58,000. She also agreed she had paid herself substantial amounts from the Legion's accounts without any justification except some vague suggestion she had loaned or advanced money to the Legion and was entitled to repayment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witnesses for the plaintiff have consistently supported the following facts: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standing policy or process whereby the employees or executive of Branch 15 would advance money to Branch 15 and subsequently receive re-payment.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Burkitt did not participate in the one instance where members of the executive extended loans to Branch 15.</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Burkitt's bi-weekly payroll entitlement was at all times approximately $400 to $500.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Executives with signing authority have no recollection of signing cheques payable to Ms. Burkitt in excess of $1,000.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1999 and 2002, Ms. Burkitt received amounts in the range of $1,470 on fifty-eight payroll cheques. For each of these cheques, her actual wage entitlement and the entitlement recorded in Branch 15's books were the value of the cheque less $1,000.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1999 and 2002, Ms. Burkitt cashed or deposited one hundred and fifty-nine cheques from Branch 15 in addition to her payroll cheques into her personal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report of Ms. Terhart clearly establishes the transfer of $244,586.82 from Branch 15 to Ms. Burkitt over the period of 1999 to 2002. With recorded wages and earnings of $46,792.21, this leaves an unaccounted sum of $197,794.61.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For her part, Ms. Burkitt does not contest that these transfers occurred. Her sole defence is that the transfers constituted repayments for funds that she had advanced to the plaintiff. There is no record of such advances, and I do not find the defendant's evidence to be credible in this regard. I note as well that the defendant's evidence of advances, loans and donations made to the Legion was as variable as the circumstances of the question dictated. Her evidence was not consistent. As well, even taking into account the fact she did not have access to her file, a matter I find surprising, given that a solicitor's lien attaches only to the work product generated by the unpaid solicitor, she made no effort to obtain copies of cheques, or bank statements or any other documents which she said supported her contention of repayments directly from her bank or from the plaintiff's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thus find that the defendant took and converted $197,794.61 of the plaintiff's funds to her own use over the period of 1999 to 2002, and I award judgment in this amount. I also award the plaintiff judgment in the amount of $5,029.49 for bank charges that were incurred as a direct result of the defendant's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This case would have been an appropriate one for the award of punitive damages. In Robitaille et al. v. Vancouver Hockey Club Ltd. </w:t>
      </w:r>
      <w:hyperlink r:id="rId503" w:history="1">
        <w:r>
          <w:rPr>
            <w:rFonts w:ascii="arial" w:eastAsia="arial" w:hAnsi="arial" w:cs="arial"/>
            <w:i/>
            <w:color w:val="0077CC"/>
            <w:sz w:val="20"/>
            <w:u w:val="single"/>
            <w:shd w:val="clear" w:color="auto" w:fill="FFFFFF"/>
            <w:lang w:val="en-US" w:eastAsia="en-US" w:bidi="ar-SA"/>
          </w:rPr>
          <w:t>(1981), 30 B.C.L.R. 286</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124 D.L.R. (3d) 228</w:t>
        </w:r>
      </w:hyperlink>
      <w:r>
        <w:rPr>
          <w:rFonts w:ascii="arial" w:eastAsia="arial" w:hAnsi="arial" w:cs="arial"/>
          <w:color w:val="000000"/>
          <w:sz w:val="20"/>
          <w:lang w:val="en-US" w:eastAsia="en-US" w:bidi="ar-SA"/>
        </w:rPr>
        <w:t>, the British Columbia Court of Appeal adopted the following statement with respect to punitive damages at [paragraph] 250: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 are reserved for situations where the defendant has done more than inflict injury on others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intentional acts. He must have acted maliciously, or with such recklessness as to indicate an indifference to the safety of others, or have engaged in some other type of behaviour which is regarded as so socially reprehensible as to justify the awarding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More recently, in Fung v. Lu (1997), 9 C.P.C. (4th) 81, </w:t>
      </w:r>
      <w:hyperlink r:id="rId504" w:history="1">
        <w:r>
          <w:rPr>
            <w:rFonts w:ascii="arial" w:eastAsia="arial" w:hAnsi="arial" w:cs="arial"/>
            <w:i/>
            <w:color w:val="0077CC"/>
            <w:sz w:val="20"/>
            <w:u w:val="single"/>
            <w:shd w:val="clear" w:color="auto" w:fill="FFFFFF"/>
            <w:lang w:val="en-US" w:eastAsia="en-US" w:bidi="ar-SA"/>
          </w:rPr>
          <w:t>[1997] B.C.J. No. 1316</w:t>
        </w:r>
      </w:hyperlink>
      <w:r>
        <w:rPr>
          <w:rFonts w:ascii="arial" w:eastAsia="arial" w:hAnsi="arial" w:cs="arial"/>
          <w:color w:val="000000"/>
          <w:sz w:val="20"/>
          <w:lang w:val="en-US" w:eastAsia="en-US" w:bidi="ar-SA"/>
        </w:rPr>
        <w:t xml:space="preserve"> (S.C.), Callaghan J. provided the following overview of punitive damages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awarded, firstly, in situations where the defendant's misconduct is so malicious, oppressive and high-handed that it offends the court's sense of decency, and secondly, in order to deter the defendant and others from acting in such a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this case, I have found that the defendant stole substantial funds from the Royal Canadian Legion, a worthy charitable organization. This theft was committed intentionally and over a prolonged period of time, and capitalized upon the trust invested in her by Branch 15. Even as Branch 15's bank accounts were depleted and its financial difficulties began to surface, the defendant continued to steal what few funds remained. Her behaviour can only be described as selfish, morally base and utterly reprehensible. Her lack of remorse and her rationalization confirm that she has not taken responsibility for 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However, punitive damages were neither pleaded nor sought against Ms. Burkitt and in this circumstance, however justified they may be, I am unable to award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To summarize, I make the following damage awards in favour of the plaintiff:</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converted funds in the amount of $197,794.61;</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overdraft bank charges in the amount of $5,029.49.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Despite counsel for Branch 15's argument, I am not satisfied that I have the authority to award the plaintiff as special costs the actual costs it has incurred for the preparation and presentation of its case based on the behaviour of the defendant prior to trial as punishment and as a deterrent. Punitive damages are more suited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will have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7"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Schray v. Jim Pattison Industries Ltd. (c.o.b. Save-On-Foods), [2006] B.C.J. No. 1696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S080003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1696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1120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351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Elsie Hilda Schray, plaintiff, and Jim Pattison Industries Ltd. operating as Save-On-Foods and the said Jim Pattison Industries Ltd. and Pinetree Village Holdings Inc., defendants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Heard: July 12, 2006. Judgment: July 24, 2006. (40 paras.)</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8"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31"/>
      <w:bookmarkEnd w:id="304"/>
      <w:r>
        <w:rPr>
          <w:rFonts w:ascii="arial" w:eastAsia="arial" w:hAnsi="arial" w:cs="arial"/>
          <w:b/>
          <w:color w:val="000000"/>
          <w:sz w:val="20"/>
          <w:lang w:val="en-US" w:eastAsia="en-US" w:bidi="ar-SA"/>
        </w:rPr>
        <w:t>Tort law — Occupiers' liability — Duty of occupier — The plaintiff's action for damages sustained as a result of a slip and fall in the defendants' grocery store was summarily dismissed — It was clearly established that the defendants had in place and implemented a reasonable system of inspection and maintenance consisting of regular half-hourly sweeps, as well as periodic pass-through checks by other employees — The defendants' duty of care was fully discharged, and, whether or not water on the floor caused the plaintiff to fall, her claim could not succeed.</w:t>
      </w:r>
    </w:p>
    <w:p>
      <w:pPr>
        <w:jc w:val="both"/>
        <w:rPr>
          <w:rFonts w:ascii="arial" w:eastAsia="arial" w:hAnsi="arial" w:cs="arial"/>
          <w:sz w:val="20"/>
          <w:lang w:val="en-US" w:eastAsia="en-US" w:bidi="ar-SA"/>
        </w:rPr>
      </w:pPr>
      <w:bookmarkStart w:id="305" w:name="Legislation Cited_26"/>
      <w:bookmarkEnd w:id="3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9"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512"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6" w:name="Counsel_32"/>
      <w:bookmarkEnd w:id="3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0"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Jim Pattison Industries Ltd. and Save-On-Foods: N.L. Trevethan and S. Marcinkow,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Pinetree Village Holdings Inc.: No one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7" w:name="Judgment_32"/>
      <w:bookmarkEnd w:id="307"/>
      <w:r>
        <w:pict>
          <v:line id="_x0000_s1191" style="position:absolute;z-index:251844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8" w:name="HOLMES J."/>
            <w:bookmarkEnd w:id="308"/>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Jim Pattison Industries Ltd. and Jim Pattison Industries Ltd. operating as Save-On-Foods ("the defendants", for the purposes of this application) apply under Rule 18A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for an order that Elsie Schray's action against them be dismissed. Ms. Schray claims damages in respect of injuries she sustained when she slipped and fell in the defendants' Coquitlam store on February 19, 2002. Her action is founded on the defendants' statutory duty, which they concede,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submit that the plaintiff cannot on the evidence meet her burden to establish three essential elements of her claim, namely that:</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water on the floor where and when the plaintiff fell</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caused her to fall,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take reasonable care to ensure that the floor was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responds that the case is not suitable for determination under Rule 18A because the evidence as a whole is internally inconsistent, and its nature and quality does not permit a just determination of the issues. Before the court are numerous untested affidavits, and also transcripts of the examinations for discovery of Ms. Schray and Stephen Heggie, the store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conclude that the case is suitable for determination under Rule 18A and Ms. Schray's claim must be dismissed. As I find, the question whether there was water on the floor when Ms. Schray fell cannot appropriately be determined on the evidence. However, Ms. Schray's claim cannot succeed in light of the uncontradicted evidence as to the defendants' reasonable system of inspection and sweeping of the area where she fell. Whether or not water on the floor caused Ms. Schray's fall, she fails to establish that the defendants did not take reasonable care for her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duties of an occupier are set out in s. 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occupier whenever a person is injured on the premises. To establish liability, a plaintiff must point to "some act (or some failure to act) on the part of the occupier which caused the [plaintiff's] injury": </w:t>
      </w:r>
      <w:r>
        <w:rPr>
          <w:rFonts w:ascii="arial" w:eastAsia="arial" w:hAnsi="arial" w:cs="arial"/>
          <w:b/>
          <w:i/>
          <w:color w:val="000000"/>
          <w:sz w:val="20"/>
          <w:lang w:val="en-US" w:eastAsia="en-US" w:bidi="ar-SA"/>
        </w:rPr>
        <w:t>Bauman v. Stein</w:t>
      </w:r>
      <w:hyperlink r:id="rId410"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at 127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similar test applies under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An occupier's duty of care does not require the occupier to remove every possibility of danger. The test is one of reasonableness, not perfection. Thus, an occupier may avoid liability if it establishes that it had in place a reasonable system of inspection: </w:t>
      </w:r>
      <w:r>
        <w:rPr>
          <w:rFonts w:ascii="arial" w:eastAsia="arial" w:hAnsi="arial" w:cs="arial"/>
          <w:b/>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also bears the burden of proving that the hazard in question caused the injury: </w:t>
      </w:r>
      <w:r>
        <w:rPr>
          <w:rFonts w:ascii="arial" w:eastAsia="arial" w:hAnsi="arial" w:cs="arial"/>
          <w:b/>
          <w:i/>
          <w:color w:val="000000"/>
          <w:sz w:val="20"/>
          <w:lang w:val="en-US" w:eastAsia="en-US" w:bidi="ar-SA"/>
        </w:rPr>
        <w:t>Keraiff v. Grunerud</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(1990), 43 B.C.L.R. (2d) 228</w:t>
        </w:r>
      </w:hyperlink>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67 D.L.R. (4th) 475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An occupier's duty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in relation to slips and falls in grocery stores was described as follows by Trainor J. in </w:t>
      </w:r>
      <w:r>
        <w:rPr>
          <w:rFonts w:ascii="arial" w:eastAsia="arial" w:hAnsi="arial" w:cs="arial"/>
          <w:b/>
          <w:i/>
          <w:color w:val="000000"/>
          <w:sz w:val="20"/>
          <w:lang w:val="en-US" w:eastAsia="en-US" w:bidi="ar-SA"/>
        </w:rPr>
        <w:t>Rees v. B.C. Place</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[1986] B.C.J. No. 2594</w:t>
        </w:r>
      </w:hyperlink>
      <w:r>
        <w:rPr>
          <w:rFonts w:ascii="arial" w:eastAsia="arial" w:hAnsi="arial" w:cs="arial"/>
          <w:color w:val="000000"/>
          <w:sz w:val="20"/>
          <w:lang w:val="en-US" w:eastAsia="en-US" w:bidi="ar-SA"/>
        </w:rPr>
        <w:t xml:space="preserve"> (25 November 1986), Vancouver C850843 (B.C.S.C.) (quoted with approval by Hutcheon J.A. in </w:t>
      </w:r>
      <w:r>
        <w:rPr>
          <w:rFonts w:ascii="arial" w:eastAsia="arial" w:hAnsi="arial" w:cs="arial"/>
          <w:b/>
          <w:i/>
          <w:color w:val="000000"/>
          <w:sz w:val="20"/>
          <w:lang w:val="en-US" w:eastAsia="en-US" w:bidi="ar-SA"/>
        </w:rPr>
        <w:t>Coulson v. Canada Safeway Ltd.</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(1988), 32 B.C.L.R. (2d) 212</w:t>
        </w:r>
      </w:hyperlink>
      <w:r>
        <w:rPr>
          <w:rFonts w:ascii="arial" w:eastAsia="arial" w:hAnsi="arial" w:cs="arial"/>
          <w:color w:val="000000"/>
          <w:sz w:val="20"/>
          <w:lang w:val="en-US" w:eastAsia="en-US" w:bidi="ar-SA"/>
        </w:rPr>
        <w:t xml:space="preserve"> at 214, </w:t>
      </w:r>
      <w:hyperlink r:id="rId515" w:history="1">
        <w:r>
          <w:rPr>
            <w:rFonts w:ascii="arial" w:eastAsia="arial" w:hAnsi="arial" w:cs="arial"/>
            <w:i/>
            <w:color w:val="0077CC"/>
            <w:sz w:val="20"/>
            <w:u w:val="single"/>
            <w:shd w:val="clear" w:color="auto" w:fill="FFFFFF"/>
            <w:lang w:val="en-US" w:eastAsia="en-US" w:bidi="ar-SA"/>
          </w:rPr>
          <w:t>[1989] 2 W.W.R. 264</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proceedings are brought under the Occupier's Liability Act and that Act provides that an occupier has a duty to take that care that is reasonable in all the circumstances of the case to see that a person, in using the premises, will be reasonably safe.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requirement to satisfy that obligation is to take the kind of steps that were taken by the Defendants here to put into place a system to safeguard against dangerous substances being allowed to remain on the surface of the concourse. And then secondly to be sure that there was compliance by the people who were carrying out that responsibility with the system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Consequently, to prove her case, Ms. Schray must establish that there was water on the floor, that the water caused her to fall, and that the defendants failed in their duty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to have implemented and carried out reasonable and realistic procedural safeguards to maintain the floor in a clean and safe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noted above, the defendants contend that the Ms. Schray's case fails in each of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Condition of the Floor when Ms. Schray Fell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common ground that Ms. Schray fell in the "front end" of the store, near the last of the check-out stations near the store entrance, as she and her husband walked toward the store pharmacy to have a prescription filled for their daughter, who waited in a doctor's office nearby.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Schray was 70 years of age at the time. She sustained dislocation and fracture to her shoulder, and claims also in respect of the ongoing effects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Schray's position that there was water on the floor when she fell is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Schray's husband deposes that as he attended to his wife on the floor, "there was a fair amount of water all around the area she had fallen", and that he "felt the left leg of her pants on which she had fallen and they were wet".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Schray in her affidavit deposes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As I was being removed from the area on which I had slipped I noticed that the left side of my pants on which I had fallen were very wet with what I believe to have been water. That was the only part of my clothing that was wet.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examination for discovery Ms. Schray testified similarly about water on the outer upper thigh area of her pants; she explained that that area of her pants was "damp", and "not soaking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rely on the evidence of several store employees who each deposed that the floor was dry and free of debris immediately after Ms. Schray's fall. Some of those employees examined the area for the specific purpose of trying to determine what had caused the fall. For example, George Clarke deposes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Plaintiff's fall, I was a Meat and Deli General Clerk and working in that department. I did not witness the Plaintiff's fall. However, due to my first aid training, I attended at the scene shortly after the Plaintiff's fall. The Plaintiff fell near the entrance of the store, almost in behind the till, and she had fallen so that her feet were towards the back of the store and her head towards the front. She was still on the floor when I arrived at the scene, lying on her back, and appeared to be favouring her left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specifically recall trying to determine what happened to cause her fall. I looked at all of the floor area around the Plaintiff, but did not notice anything on the floor such as debris, moisture, water, or anything else that could have contributed to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 direct evidence as to the condition of the floor at the precise time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there is evidence about the condition of the floor in the half-hour before the fall. Mr. Heggie deposes that during his several walk-throughs as store manager in the half hour before the fall, he observed the floor to be dry on each occasion: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myself had walked by the area in which the Plaintiff fell numerous times from 9am until the incident occurred. It is my invariable practice to always be on the lookout for hazards to customer safety, including items on the floor, whenever I am moving about the store. From 9am until the incident occurred at or about 9:30a.m., the floor was dry and clear of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Also, Randy Ungaro, a general clerk in the store, deposes that only a few seconds before the fall he walked over the area of the fall and observed the floor to be dry, without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was raining when Ms. Schray entered the store. She and her husband had walked outside for two to three minutes from the doctor's office. She was wearing a knee-length coat, but it was open. Mr. Trevethan submits that any wetness on the thigh area of Ms. Schray's pants may have resulted from her outdoor walk in the rain, and that she has failed to establish that such is any less likely than that there was water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also possible, and consistent with all of the evidence, that the floor became wet after the last of Mr. Heggie's and Mr. Ungaro's observations of the area before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And, as Mr. Taylor notes, it would also be consistent with all the evidence that there was water on the floor when Ms. Schray fell and that the store employees did not see it afterwards because Ms. Schray lay on top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the inconsistencies in the evidence as to whether the floor was wet or dry immediately after the fall renders unsuitable for summary determination the question whether the floor was wet when Ms. Schray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situation is different from that in </w:t>
      </w:r>
      <w:r>
        <w:rPr>
          <w:rFonts w:ascii="arial" w:eastAsia="arial" w:hAnsi="arial" w:cs="arial"/>
          <w:b/>
          <w:i/>
          <w:color w:val="000000"/>
          <w:sz w:val="20"/>
          <w:lang w:val="en-US" w:eastAsia="en-US" w:bidi="ar-SA"/>
        </w:rPr>
        <w:t>Cropley v. Daishinpan (Canada) Inc. (c.o.b. Cannery Seafood Restaurant)</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[2002] B.C.J. No. 2398</w:t>
        </w:r>
      </w:hyperlink>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2002 BCSC 1477</w:t>
        </w:r>
      </w:hyperlink>
      <w:r>
        <w:rPr>
          <w:rFonts w:ascii="arial" w:eastAsia="arial" w:hAnsi="arial" w:cs="arial"/>
          <w:color w:val="000000"/>
          <w:sz w:val="20"/>
          <w:lang w:val="en-US" w:eastAsia="en-US" w:bidi="ar-SA"/>
        </w:rPr>
        <w:t>, where the court made a finding of fact as to a similar matter on an application under Rule 18A despite a conflict in the evidence. The plaintiff had advanced two different theories as to what caused her fall, and supported one of them (as to which the court found against her) by only her own evidence based largely on supposition; the parties there also agreed that the case was appropriate for disposition in a summary trial pursuant to Rule 18A. Here, the evidence contains direct conflicts among numerous witnesses based on their considered observations of the floor area in light of the fact that Ms. Schray had just fallen.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therefore make no determination as to whether the floor was wet when Ms. Schray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Did Water on the Floor Cause Ms. Schray's Fall?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submit that Ms. Schray asks the court to speculate as to the cause of her fall: they submit that even if it is established that there was water on the floor when she fell, nothing in the evidence indicates that the water caused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Taylor submits that any failure to adduce positive evidence demonstrating a causal effect between water on the floor and her fall invites not speculation, but rather the drawing of appropriate and obvious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submission would carry more force were there evidence to dispel any basis for other reasonable inferences. For example, Ms. Schray tendered no evidence as to the grip of the low-heeled (approximately 1"-1 1/2") shoes she was wearing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causation may be established by inference, it is questionable whether Ms. Schray's case meets its burden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I prefer to make no determination as to this matter since I have already indicated my conclusion that the evidence does not permit a just determination as to whether there was water on the floor when Ms. Schray fell. That key factual issue is unresolved, and it is artificial to engage in an assessment of what inferences would reasonably flow were the situation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Did the Defendants Fail to Take Reasonable Care to Implement a Reasonable Inspection and Maintenance System?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noted earlier Mr. Heggie's and Mr. Ungaro's evidence about their observations of the floor being dry and free of debris in the time leading up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Carole Wright, general clerk, deposes as to her responsibilities to inspect and sweep and/or mop the floor areas at the front end of the store and make notations on the store Sweep Log: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all times while completing such an inspection, I normally carry either a broom or a mop in order to attend to any debris or moisture I might discover.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morning in question, I performed inspections and sweeps and/or mops of the front-end of the Store on a half-hourly basis commencing at 8:00 a.m. and ending at approximately 4:00 p.m., the end of my shift. My name appears beside each of those times on the Sweep Log, indicating that I performed inspections and sweeps at those times. It is my understanding that the Plaintiff's fall happened shortly after 9:30 a.m. in the morning. The entries beside my name in the Sweep Log indicate that I performed an inspection of the area at 9:00 a.m., 9:30 a.m., and 10:00 a.m. I did not discover any debris or moisture on the floor in the area that the Plaintiff fell during those times. If I had found any sort of debris or moisture, it would have been my custom to post a warning sign and then commence a clean-up.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was raining that day, and it is my understanding that it was, I would be especially diligent in closely inspecting or scrutinizing the store area to ensure that not only was there no debris or pooling water, but that there was even no moisture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Wright appends to her affidavit a copy of the Sweep Log for the week which documents her half-hourly inspections during the day of Ms. Schray's fall. Mr. Taylor submits, and I agree, that the Sweep Log, as appended to Ms. Wright's affidavit, is not admissible as a business record of the defendants to establish that those sweeps were performed. That is because, as an examination of Mr. Heggie's affidavit discloses, the entries for 9:30 a.m. and after were made after Ms. Schray's fall, such that the entries cannot be assumed to represent the simple recording of events in the course of the defendants' business. In particular, the 9:30 a.m. entry on the Sweep Log appended to Ms. Wright's affidavit must have been made some considerable time after 9:30 a.m. and Ms. Schray's fall: Mr. Heggie explained that immediately after the fall, he retrieved the Sweep Log and made the copy appended to his affidavit that shows entries only to and including 9:00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consider that the copy of the Sweep Log appended to Mr. Heggie's affidavit is a business record of the defendants which provides evidence that Ms. Wright performed her sweeps at 8:00 a.m., 8:30 a.m. and 9:00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Taylor submits that the evidence as a whole therefore discloses a conflict between Ms. Wright's affidavit evidence that she performed half-hourly sweeps throughout the day, and the documentary evidence (through the Sweep Log appended to Mr. Heggie's affidavit running through to and including 9:00 a.m.) that by inference she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perform a sweep at 9:30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agree. The fact that a 9:30 a.m. sweep is not recorded on the admitted business record does not in the circumstances undermine the reliability of Ms. Wright's affidavit evidence that she performed that sweep. There is no evidence to suggest that policy or customary practice required her to record the sweep immediately after she had performed it; I note also that there has been no application to cross-examine Ms. Wright or any other of the defendants' witnesses in this or any other area. Furthermore, the fact that the admitted business record shows regular half-hourly sweeps through to 9:00 a.m. provides support to Ms. Wright's affidavit evidence that she was performing regular sweeps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Wright's affidavit evidence is clear and is founded not solely on the Sweep Log, but rather on her personal recollection: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my knowledge and recollection, the floor area where the Plaintiff fell was dry before, at the time of the fall, and afterwards when I checked it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any event, a half-hourly schedule for sweeps provides a more rigorous system for inspection and maintenance than other systems which have been found to be reasonable. In </w:t>
      </w:r>
      <w:r>
        <w:rPr>
          <w:rFonts w:ascii="arial" w:eastAsia="arial" w:hAnsi="arial" w:cs="arial"/>
          <w:b/>
          <w:i/>
          <w:color w:val="000000"/>
          <w:sz w:val="20"/>
          <w:lang w:val="en-US" w:eastAsia="en-US" w:bidi="ar-SA"/>
        </w:rPr>
        <w:t>Gryschuk v. Westfair Foods Ltd.</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[1999] B.C.J. No. 302</w:t>
        </w:r>
      </w:hyperlink>
      <w:r>
        <w:rPr>
          <w:rFonts w:ascii="arial" w:eastAsia="arial" w:hAnsi="arial" w:cs="arial"/>
          <w:color w:val="000000"/>
          <w:sz w:val="20"/>
          <w:lang w:val="en-US" w:eastAsia="en-US" w:bidi="ar-SA"/>
        </w:rPr>
        <w:t xml:space="preserve"> (S.C.) this court accepted as reasonable in the circumstances sweeps every two to three hours in a high risk produce section of a grocery store. The circumstances of the present case do not demand a higher standard of maintenance and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all the circumstances, it is clearly established that the defendants had in place and implemented a reasonable system of inspection and maintenance consisting of regular half-hourly sweeps, as well as periodic pass-through checks by other employees, such as Mr. Heggie. The defendants' duty of care was fully discharged, and, whether or not water on the floor caused Ms. Schray to fall, her claim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Schwartz v. Riverside Forest Products Ltd., [2004] B.C.J. No. 2441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S033275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2441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1548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B.C.L.R. (4th) 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213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 Schwartz and Marie Paxton, plaintiffs, and Riverside Forest Products Limited, International Wood &amp; Allied Workers of Canada, International Wood &amp; Allied Workers of Canada Local 1-425 and Wade Fisher, defendants, and International Wood &amp; Allied Workers of Canada Local 1-425, Wade Fisher, Brian Dyck, Ken Schwartz and Marion Stewart,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3"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9" w:name="Keywords_32"/>
      <w:bookmarkEnd w:id="309"/>
      <w:r>
        <w:rPr>
          <w:rFonts w:ascii="arial" w:eastAsia="arial" w:hAnsi="arial" w:cs="arial"/>
          <w:b/>
          <w:color w:val="000000"/>
          <w:sz w:val="20"/>
          <w:lang w:val="en-US" w:eastAsia="en-US" w:bidi="ar-SA"/>
        </w:rPr>
        <w:t xml:space="preserve">Civil procedure — Parties — Striking out parties — Contracts — Breach of contract — Labour law — Unions — Duties — Representation of members — Liability in tort — Damages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Fiduciary duty — Damages for breach.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0" w:name="Case Summary_28"/>
            <w:bookmarkEnd w:id="3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Schwartz and Paxton, for an order for leave to discontinue their action against the defendant, Riverside Forest Products. The one remaining party, the defendant, International Wood &amp; Allied Workers of Canada, opposed the motion. The statement of claim alleged breach by Riverside of alleged contracts for the hauling of logs by Schwartz and Paxton. The claim against the Allied Workers was for breach of contracts and fiduciary duty in that it negotiated away Schwartz and Paxton's log-hauling status and rights, which was beyond the negotiating authority it had been granted by Schwartz and Paxton. Pursuant to mediation, Schwartz and Paxton settled their claims with Riverside. Allied Workers argued that it was not aware of the settlement and it would be prejudiced by inability to use transcripts and further discovery of Riverside, and the need to modify its case in a short time before an anticipated lengthy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1" w:name="Holdings of Court_25"/>
            <w:bookmarkEnd w:id="31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Allied Workers failed to establish the very unusual circumstances that were required to justify the denial of Swartz's application to discontinue against Riverside. Allied Workers would not be able to use the discovery or transcripts of Riverside, in any event, as that testimony would only be admissible against the party who was examined and only the opposite party could tender the evidence at trial. Allied Workers had yet to conduct its own examinations for discovery. Under the rules it could conduct its own examination of Riverside. The claims against Allied Workers and Riverside had revolved around very different issues. Allied Workers had plenty of time to modify their case before trial and in any event had known of the settlement for many months. There was no prejudice to Allied Workers if the discontinuance were granted.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2" w:name="Legislation Cited_27"/>
      <w:bookmarkEnd w:id="3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4"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28, 36(2), 40(27)(a), 40(35).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3" w:name="Counsel_33"/>
      <w:bookmarkEnd w:id="31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5"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J.G. McQueen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Riverside Forest Products Limited: S.B. Margolis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Industrial Wood &amp; Allied Workers of Canada Local 1-425: I.A. Prkacin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4" w:name="Judgment_33"/>
      <w:bookmarkEnd w:id="314"/>
      <w:r>
        <w:pict>
          <v:line id="_x0000_s1196"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5" w:name="KIRKPATRICK J."/>
            <w:bookmarkEnd w:id="315"/>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Ken Schwartz ("Schwartz") and Marie Paxton ("Paxton") apply for an order under Rule 36(2) for leave to discontinue their action against the defendant, Riverside Forest Products Limited ("Riverside"). Riverside supports the motion. The defendants, International Wood &amp; Allied Workers of Canada (the "Union") and Wade Fisher ("Fisher") are no longer parties to the action. The third party proceedings have been discontinued. The remaining defendant, International Wood &amp; Allied Workers of Canada Local 1-425 (the "Local"), opposes the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was commenced on November 19, 1999. There have been three amendments to the statement of claim. Reduced to its essence, the statement of claim alleges breach by Riverside of alleged contracts for the hauling of logs by Schwartz and Paxton. The claim against the Local is for breach of contract and breach of fiduciary duty in that it is alleged to have negotiated away the plaintiffs' log-hauling status and rights under their alleged contracts with Riverside.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say that they authorized the Local and Fisher to act as their agents in negotiations with Riverside. The plaintiffs say that they granted the Local and Fisher a limited authority to act on their behalf in respect of rate negotiations. They also say that the Local and Fisher acted beyond their warrant of authority and in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December 17, 2003, Riverside delivered a Notice to Mediate to the parties to the action. The mediation was held in April 2004. The plaintiffs settled their claims against Riverside. The Local asserts that the settlement was reached without their knowledge. Subsequently, in May 2004, the parties then remaining (the Local, the Union and Fisher) refused to consent to the amendment of the statement of claim to reflect the rule laid down in British Columbia Ferry Corp. v. T&amp;N plc </w:t>
      </w:r>
      <w:hyperlink r:id="rId525"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(C.A.), and to the discontinuance of the action against Riverside. Hence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Local opposes the application. I first observe the long-established principle that a plaintiff, as dominus litis, is the master of the litigation: Young v. Valcourt, </w:t>
      </w:r>
      <w:hyperlink r:id="rId526" w:history="1">
        <w:r>
          <w:rPr>
            <w:rFonts w:ascii="arial" w:eastAsia="arial" w:hAnsi="arial" w:cs="arial"/>
            <w:i/>
            <w:color w:val="0077CC"/>
            <w:sz w:val="20"/>
            <w:u w:val="single"/>
            <w:shd w:val="clear" w:color="auto" w:fill="FFFFFF"/>
            <w:lang w:val="en-US" w:eastAsia="en-US" w:bidi="ar-SA"/>
          </w:rPr>
          <w:t>[1982] 1 W.W.R. 575</w:t>
        </w:r>
      </w:hyperlink>
      <w:r>
        <w:rPr>
          <w:rFonts w:ascii="arial" w:eastAsia="arial" w:hAnsi="arial" w:cs="arial"/>
          <w:color w:val="000000"/>
          <w:sz w:val="20"/>
          <w:lang w:val="en-US" w:eastAsia="en-US" w:bidi="ar-SA"/>
        </w:rPr>
        <w:t xml:space="preserve"> (B.C.S.C.). A plaintiff's motion to discontinue should normally be allowed unless very unusual circumstances exist: Niccoli v. Canadian Home Assurance Company and London Assurance Corporation (1966), 57 W.W.R. 113 (B.C.S.C.) and First City Investments Inc. v. Shrum, Liddle &amp; Hebenton, </w:t>
      </w:r>
      <w:hyperlink r:id="rId527" w:history="1">
        <w:r>
          <w:rPr>
            <w:rFonts w:ascii="arial" w:eastAsia="arial" w:hAnsi="arial" w:cs="arial"/>
            <w:i/>
            <w:color w:val="0077CC"/>
            <w:sz w:val="20"/>
            <w:u w:val="single"/>
            <w:shd w:val="clear" w:color="auto" w:fill="FFFFFF"/>
            <w:lang w:val="en-US" w:eastAsia="en-US" w:bidi="ar-SA"/>
          </w:rPr>
          <w:t>[1988] B.C.J. No. 1933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grounds of opposition to the discontinuance of the action against Riverside are set out in the Local's outline. The Local argues that if Riverside is not a party, the Local will be prejudiced as follows:</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inability to use transcripts from the plaintiffs' examination for discovery of Riverside;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inability to use transcripts from Riverside's examination for discovery of the plaintiffs;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inability to avail itself of discovery procedures regarding Riverside;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proposed further amended statement of claim is permitted to be entered in its present form and a discontinuance is allowed against Riverside, greater complexity and expense will be created as the Local will be required to commence third party proceedings in order to ensure that its right to a fair trial is protected;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Local will require amendments to its statement of defence which would mirror the defence already provided by Riverside;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asking to discontinue their claim against Riverside, the plaintiffs seek to amend their statement of claim while leaving in it claims pertaining to Riverside, which Riverside has denied, that the Local is not in a position to defend;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delay in settling with Riverside and their proposed further amended claim leaves the remaining defendant with less than four months to ensure that it is fully prepared to present not only its case, but Riverside's "would be" case as well, in a 25-day trial commencing on January 10,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answer to the Local's asserted prejudice, I note the following with respect to each item of alleged prejudice: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40(27)(a) provides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otherwise admissible, the evidence given on an examination for discovery by a party or by a person examined under Rule 27(4) to (12) may be given in evidence at trial, unless the court otherwise orders, but the evidence is admissible only against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adverse party who was examined,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adverse party whose status as a party entitled the examining party to conduct the examination under Rule 27(4) to (12),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was examined under section 17 of the Class Proceedings Act as a member of a class, the members of that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unable to see that the Local would, in any event, be permitted to use the plaintiffs' examination for discovery of Riverside if the trial proceeded with Riverside as a party. Rule 40(27)(a) establishes that testimony given on examination for discovery is only admissible against the party examined or the party whose representative was examined. Further, only the opposite party conducting the examination may tender evidence taken on discovery at trial: Anderson v. Cox </w:t>
      </w:r>
      <w:hyperlink r:id="rId528" w:history="1">
        <w:r>
          <w:rPr>
            <w:rFonts w:ascii="arial" w:eastAsia="arial" w:hAnsi="arial" w:cs="arial"/>
            <w:i/>
            <w:color w:val="0077CC"/>
            <w:sz w:val="20"/>
            <w:u w:val="single"/>
            <w:shd w:val="clear" w:color="auto" w:fill="FFFFFF"/>
            <w:lang w:val="en-US" w:eastAsia="en-US" w:bidi="ar-SA"/>
          </w:rPr>
          <w:t>(1978), 7 B.C.L.R. 159</w:t>
        </w:r>
      </w:hyperlink>
      <w:r>
        <w:rPr>
          <w:rFonts w:ascii="arial" w:eastAsia="arial" w:hAnsi="arial" w:cs="arial"/>
          <w:color w:val="000000"/>
          <w:sz w:val="20"/>
          <w:lang w:val="en-US" w:eastAsia="en-US" w:bidi="ar-SA"/>
        </w:rPr>
        <w:t xml:space="preserve"> (S.C.); Cartwright v. Toronto </w:t>
      </w:r>
      <w:hyperlink r:id="rId529" w:history="1">
        <w:r>
          <w:rPr>
            <w:rFonts w:ascii="arial" w:eastAsia="arial" w:hAnsi="arial" w:cs="arial"/>
            <w:i/>
            <w:color w:val="0077CC"/>
            <w:sz w:val="20"/>
            <w:u w:val="single"/>
            <w:shd w:val="clear" w:color="auto" w:fill="FFFFFF"/>
            <w:lang w:val="en-US" w:eastAsia="en-US" w:bidi="ar-SA"/>
          </w:rPr>
          <w:t>(1914), 50 S.C.R. 215</w:t>
        </w:r>
      </w:hyperlink>
      <w:r>
        <w:rPr>
          <w:rFonts w:ascii="arial" w:eastAsia="arial" w:hAnsi="arial" w:cs="arial"/>
          <w:color w:val="000000"/>
          <w:sz w:val="20"/>
          <w:lang w:val="en-US" w:eastAsia="en-US" w:bidi="ar-SA"/>
        </w:rPr>
        <w: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Local has not conducted examinations for discovery. The trial is scheduled to begin on January 10, 2005. The Local was added as a defendant to the action in October 2002, at which time the trial was scheduled for February 17, 2003. I do not think that the failure by the Local to conduct its own examinations for discovery of the plaintiffs can justify keeping Riverside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discontinuance of the action against Riverside will mean that the Local cannot employ Riverside's examination for discovery of the plaintiffs at trial. That may create some modest prejudice. However, I think that it is doubtful that Riverside's examination for discovery of the plaintiffs would be of much assistance to the Local. The issue in respect of Riverside concerned breach of contract. The claim against the Local is for breach of fiduciary duty. Furthermore, the evidence that the Local needs could be obtained on its own examination for discovery of the plaintiffs. The scope of the plaintiffs' statement of claim will continue to include the matters concerning Riverside. The Local will thus be unfettered in the scope of questions it may ask the plaintiffs.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Local may employ Rule 28 or Rule 40(35) to examine Riverside.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discontinuance against Riverside will simplify, not complicate, the proceedings.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true that the discontinuance against Riverside will require the Local to amend its statement of defence to include defences which had been pleaded by Riverside. However, this is not prejudicial to the Local. There is ample time before trial to finalize the pleadings.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plaintiffs seek an order of discontinuance and an amendment of the statement of claim conforming to the rule in the British Columbia Ferry Corp. case, it is necessary that the claims pertaining to Riverside remain in the statement of claim. The court must be apprised of all sources of potential liability other than the Local. As I have noted, this will enhance the Local's examination for discovery of the plaintiffs should it elect to conduct such examination.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Local has known since April 2004 that the plaintiffs had settled their claims against Riverside. The Local chose not to conduct its own examinations in the knowledge that Riverside wanted to be released from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to the above, the Local argues that Riverside's continued participation in the action is necessary to establish that there were no contracts between the plaintiffs and Riverside. If there were no contracts, then there would be no "negotiating away" of the plaintiffs' alleged contract rights by the Local. The Local is concerned that Riverside's absence from the action will enhance the plaintiffs' ability to prove the existence of the alleged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Local therefore argues that the court should not grant the discontinuance because to do so would prevent the Local from seeking declaratory relief that no contract existed between the plaintiffs and Riverside. In support of that submission, the Local relies on the decision in British Columbia Ferry Corp. at [paragraph] 26 and 31:</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law in this province supports the existence of a broad discretion to grant declaratory relief, unfettered by any such limitation. In Sara v. Sara (1962), 40 W.W.R. 257, this court adopted such an approach to declaratory relief by giving effect to the majority decision of the English Court of Appeal in Guaranty Trust Company of New York v. Hannay &amp; Company, [1915] K.B. 536. In the latter case it was argued that a right to a declaration could only arise in those cases where the person seeking such relief had a cause of action apart from Order XXV., r. 5, the equivalent to our sub-Rule 5(22). After reviewing a number of authorities, Pickford L.J.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therefore that the effect of the rule is to give a general power to make a declaration whether there be a cause of action or not, and at the instance of any party who is interested in the subject-matter of the decision. (p. 562)</w:t>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It would, in my view, be manifestly wrong if a private accord between plaintiff and third party could work to deprive a defendant of the ability to establish an element of proof essential to a just resolution of the action on which all parties had joined issue. But that is precisely what will occur here if the defendants are denied the declaratory relief they seek under Rule 5(22). In those circumstances, I am of the view that the third party claims for declaratory relief should be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think this argument must fail. First, the Local has not commenced third party proceedings against Riverside and no declaratory relief has been claimed by the Local. Second, the burden of establishing the existence of the contracts with Riverside rests on the plaintiffs. The Local is free to subpoena witnesses to support its contention that no contracts existed between the plaintiffs and Riverside, including members of the Local who were in similar, if not identical, circumstances to the plaintiffs. Third, a factual finding that no contracts were formed between the plaintiffs and Riverside would be sufficient to displace the claim of damages against the Local.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Local further argues that Riverside's participation in the action is required to establish the status of the plaintiffs' employment with Riverside prior to the Local's involvement in 1997. The Local argues that only Riverside has knowledge as to whether the Local's involvement altered the plaintiffs' position as a result of the implementation of the Hauling Rate Agreement negotiated with Riverside by the Local, on behalf of the plaintiffs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view, this argument must also fail. The plaintiffs have the burden of proving that there was a change of status in their employment with Riverside. They must prove the circumstances that existed before and after the Local's involvement. If need be, the Local may examine a representative of Riverside to testify as to those circumstances under Rule 28, or the Local may subpoena a representative of Riverside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same applies to the Local's contention that Riverside has at its disposal the best evidence of any loss suffered by the plaintiffs as a result of the alleged breach by the Local.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conclude that the Local has not established the "very unusual circumstances" that would justify the denial of the plaintiffs' application to discontinue against Riverside and amend their pleadings to conform to the British Columbia Ferry Corp. decision. The overwhelming impression left by the Local's opposition to this motion is that it decided early on in the litigation to ride Riverside's coattails with respect to trial preparation. When the plaintiffs' claims against Riverside were settled, the Local was obliged to bridge the trial preparation gap. The failure to do so cannot now be visited upon Riverside, which only wants out of the litigation. In my view, it is just and reasonable that the discontinuance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Order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Sharda v. Kitimat (District), [2012] B.C.J. No. 2911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Terrace,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6 and 21, 2012.</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September 21,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17913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Terrace</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2911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2096</w:t>
      </w:r>
    </w:p>
    <w:p>
      <w:pPr>
        <w:spacing w:before="120" w:line="260" w:lineRule="atLeast"/>
        <w:rPr>
          <w:lang w:val="en-US" w:eastAsia="en-US" w:bidi="ar-SA"/>
        </w:rPr>
      </w:pPr>
      <w:r>
        <w:rPr>
          <w:rFonts w:ascii="arial" w:eastAsia="arial" w:hAnsi="arial" w:cs="arial"/>
          <w:color w:val="000000"/>
          <w:sz w:val="20"/>
          <w:lang w:val="en-US" w:eastAsia="en-US" w:bidi="ar-SA"/>
        </w:rPr>
        <w:t>Between Raghubansh Rai Sharda, Appellant, and District of Kitimat, Respondent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8" style="position:absolute;z-index:2516940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6" w:name="Keywords_33"/>
      <w:bookmarkEnd w:id="316"/>
      <w:r>
        <w:rPr>
          <w:rFonts w:ascii="arial" w:eastAsia="arial" w:hAnsi="arial" w:cs="arial"/>
          <w:b/>
          <w:color w:val="000000"/>
          <w:sz w:val="20"/>
          <w:lang w:val="en-US" w:eastAsia="en-US" w:bidi="ar-SA"/>
        </w:rPr>
        <w:t>Tort law — Fraud and misrepresentation — Negligent misrepresentation (Hedley Byrne principle) — Appeal by plaintiff from decision dismissing his action for negligent misrepresentation dismissed — Plaintiff alleged building inspector's report negligently misrepresented that use of drywall screws to attach siding to building was approved — Report did not refer to use of drywall screws — After issuing report, building inspector notified plaintiff in writing that screws were not appropriate and had to be removed — Plaintiff failed to comply — Trial judge did not err in assessment of evidence and in characterization of report — Given that plaintiff failed or to testify, she had little choice but to reach conclusions she did.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7" w:name="Case Summary_29"/>
            <w:bookmarkEnd w:id="31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the plaintiff from a Small Claims Court decision dismissing his action for negligent misrepresentation. The plaintiff had made renovations and called for a building inspection. The defendant's building inspector attended at the property. The inspection report noted certain deficiencies but contained no reference to the use of drywall screws which had been used by the plaintiff to attach the siding to the building, since the inspector was not sure whether the use of drywall screws complied with the building code. After researching the issue, the inspector notified the plaintiff in writing that the screws used were not appropriate fasteners and instructed the plaintiff in writing to remove the screws. When the plaintiff failed to remove the screws, the defendant registered a building code violation against the property. The plaintiff alleged that the inspector had negligently represented to him that the renovation work was approved. The trial judge found that the inspector never represented to the plaintiff in his report that the drywall screws were approved and that it was not reasonable for the plaintiff to place any reliance on that report as an approval of the screws. The plaintiff did not testify at trial. </w:t>
            </w:r>
            <w:r>
              <w:rPr>
                <w:lang w:val="en-US" w:eastAsia="en-US" w:bidi="ar-SA"/>
              </w:rPr>
              <w:cr/>
            </w:r>
          </w:p>
          <w:p>
            <w:pPr>
              <w:spacing w:before="120" w:line="260" w:lineRule="atLeast"/>
              <w:ind w:left="240"/>
              <w:jc w:val="both"/>
              <w:rPr>
                <w:lang w:val="en-US" w:eastAsia="en-US" w:bidi="ar-SA"/>
              </w:rPr>
            </w:pPr>
            <w:bookmarkStart w:id="318" w:name="Holdings of Court_26"/>
            <w:bookmarkEnd w:id="318"/>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trial judge was entitled to accept the evidence of the inspector. The trial judge gave detailed reasons for accepting the evidence of the inspector. The plaintiff chose not to give evidence even after she had warned him she only had one side of the conversation between the plaintiff and the inspector and of the consequences of his failure to testify. Given that the plaintiff failed or refused to testify, she had little other choice than to reach the conclusions she did. The trial judge did not deliberately mischaracterize the inspection report. While the trial judge did not include the word listed in her recitation of the note that appeared on the framing and inspection report, there was simply no evidence whatsoever to suggest any bias on the part of the trial judge either in her reasons or during the trial. The judge made no legal error in her reasons or in her interpretation of the report. She properly described and applied the law of negligent misrepresentation. </w:t>
            </w:r>
            <w:r>
              <w:rPr>
                <w:lang w:val="en-US" w:eastAsia="en-US" w:bidi="ar-SA"/>
              </w:rPr>
              <w:cr/>
            </w:r>
          </w:p>
          <w:p>
            <w:pPr>
              <w:rPr>
                <w:lang w:val="en-US" w:eastAsia="en-US" w:bidi="ar-SA"/>
              </w:rPr>
            </w:pPr>
          </w:p>
        </w:tc>
      </w:tr>
    </w:tbl>
    <w:p>
      <w:pPr>
        <w:jc w:val="both"/>
        <w:rPr>
          <w:lang w:val="en-US" w:eastAsia="en-US" w:bidi="ar-SA"/>
        </w:rPr>
      </w:pPr>
      <w:bookmarkStart w:id="319" w:name="Legislation Cited_28"/>
      <w:bookmarkEnd w:id="31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99" style="position:absolute;z-index:2517452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Small Claims Act, </w:t>
      </w:r>
      <w:hyperlink r:id="rId537" w:history="1">
        <w:r>
          <w:rPr>
            <w:rFonts w:ascii="arial" w:eastAsia="arial" w:hAnsi="arial" w:cs="arial"/>
            <w:i/>
            <w:color w:val="0077CC"/>
            <w:sz w:val="20"/>
            <w:u w:val="single"/>
            <w:shd w:val="clear" w:color="auto" w:fill="FFFFFF"/>
            <w:lang w:val="en-US" w:eastAsia="en-US" w:bidi="ar-SA"/>
          </w:rPr>
          <w:t>RSBC 1996, CHAPTER 430, s. 12</w:t>
        </w:r>
      </w:hyperlink>
      <w:r>
        <w:rPr>
          <w:rFonts w:ascii="arial" w:eastAsia="arial" w:hAnsi="arial" w:cs="arial"/>
          <w:color w:val="000000"/>
          <w:sz w:val="20"/>
          <w:lang w:val="en-US" w:eastAsia="en-US" w:bidi="ar-SA"/>
        </w:rPr>
        <w:t>, s. 12(2), s. 13(1)</w:t>
      </w:r>
      <w:r>
        <w:rPr>
          <w:lang w:val="en-US" w:eastAsia="en-US" w:bidi="ar-SA"/>
        </w:rPr>
        <w:cr/>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On appeal from: Provincial Court of British Columbia, March 10, 2012 (Sharda v. Kitimat (District), Kitimat Registry No. 16271) </w:t>
            </w:r>
            <w:r>
              <w:rPr>
                <w:lang w:val="en-US" w:eastAsia="en-US" w:bidi="ar-SA"/>
              </w:rPr>
              <w:cr/>
            </w:r>
          </w:p>
          <w:p>
            <w:pPr>
              <w:rPr>
                <w:lang w:val="en-US" w:eastAsia="en-US" w:bidi="ar-SA"/>
              </w:rPr>
            </w:pPr>
          </w:p>
        </w:tc>
      </w:tr>
    </w:tbl>
    <w:p>
      <w:pPr>
        <w:jc w:val="both"/>
        <w:rPr>
          <w:lang w:val="en-US" w:eastAsia="en-US" w:bidi="ar-SA"/>
        </w:rPr>
      </w:pPr>
      <w:bookmarkStart w:id="320" w:name="Counsel_34"/>
      <w:bookmarkEnd w:id="32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0" style="position:absolute;z-index:2517964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on his own behalf, (via teleconference): R.R. Sharda.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Respondent, (via teleconference): E.J. Toews.</w:t>
      </w:r>
      <w:r>
        <w:rPr>
          <w:lang w:val="en-US" w:eastAsia="en-US" w:bidi="ar-SA"/>
        </w:rPr>
        <w:cr/>
      </w:r>
    </w:p>
    <w:p>
      <w:pPr>
        <w:spacing w:after="240"/>
        <w:rPr>
          <w:lang w:val="en-US" w:eastAsia="en-US" w:bidi="ar-SA"/>
        </w:rPr>
      </w:pPr>
      <w:bookmarkStart w:id="321" w:name="Judgment_34"/>
      <w:bookmarkEnd w:id="321"/>
      <w:r>
        <w:pict>
          <v:line id="_x0000_s1201" style="position:absolute;z-index:2518466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22" w:name="B.M. GREYELL J. (orally)"/>
            <w:bookmarkEnd w:id="322"/>
            <w:r>
              <w:rPr>
                <w:rFonts w:ascii="arial" w:eastAsia="arial" w:hAnsi="arial" w:cs="arial"/>
                <w:b/>
                <w:color w:val="000000"/>
                <w:sz w:val="30"/>
                <w:lang w:val="en-US" w:eastAsia="en-US" w:bidi="ar-SA"/>
              </w:rPr>
              <w:t>B.M. GREYELL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appellant Raghubansh Sharda challenges the order of a Provincial Court Judge made in the Small Claims Division on March 10,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Sharda commenced an action against the District of Kitimat (the "District") in Small Claims Court, claiming damages for negligent misrepresentation arising from a building inspection which occurred June 9, 2008, and an inspection report issued as a result of such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Sharda had applied for and obtained a building permit from the District to make changes to the windows and siding of a building he owned at 70 - 76 Wedeene Street in the District.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 commenced working on the renovation and ultimately called for a building inspection. That inspection occurred June 9,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Anthony, a building inspector from the District, attended the property that day and issued an inspection report which instructed Mr. Sharda to correct certain window flashings and dealt with the setbacks of a shed on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inspection report he issued contained no reference to the use of drywall screws which had been used by Mr. Sharda to attach the siding to the building.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Anthony, who Mr. Sharda called as a witness, testified that on June 9, before he completed the report, he advised Mr. Sharda he was not sure whether the use of drywall screws complied with the building code but that he would check and get back to him. Mr. Anthony's evidence in this regard is set out by the trial judge at para. 5 of her judgment: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Over the next couple of days Mr. Anthony researched the use of the drywall screws. He returned on June 11th to examine the screws and advised Mr. Sharda that they were not an appropriate fastener. He called the next morning and confirmed this conclusion over the phone and then later on that same date by letter. In that letter he directed Mr. Sharda to remove the screws he had used and to replace them with appropriate fasteners. Mr. Sharda did not do this. As a result the Council of the District of Kitimat made a decision later in the summer of 2008 to place a Notice to Title on the Property to ensure that any future purchaser or owner would be aware of the building code violation with regard to the siding.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Sharda argued before the trial judge and on his appeal to this Court that Mr. Anthony had not raised any issue regarding the use of drywall screws during the June 9, 2008 inspection or at any time thereafter. He argued Mr. Anthony had not been truthful in his evidence and that the trial judge should not have accepted Mr. Anthony's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Sharda also argued before the trial judge that Mr. Anthony, on behalf of the District, had negligently represented to him that the renovation work done to June 9, 2008, was approved as Mr. Anthony, on behalf of the District, had issued an inspection report on that date and not noted on that report any deficiency, rejection, or concern about the use of drywall screws. Mr. Sharda argued the inspection report was, in essence, a final report approving the work done and that he had relied on the report to his detriment. He argued the District was bound by the inspection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Sharda's action was commenced following the placement of the Notice to Title registered by the District against his property. As stated, he seeks damages for negligent misrepresentation. In essence, he says he relied on the inspection report of June 9 to finish the siding of the house using drywall screws. Hence he acted to his detriment.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trial commenced October 14, 2010, and continued October 15, 2010, July 22, 2011, and January 17 through 19, 2012, some six days in total. Mr. Sharda was self-represented at the trial as he was on this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Sharda attempted to prove his case before the trial judge by calling four witnesses from the District and by cross-examining them. Mr. Sharda called Mr. Anthony, the building inspector who had attended on June 9. In addition, he called Mr. Trafford Hall, the Manager for the District of Kitimat; Mr. Peter Brock, the Chief Building Inspector for the District; and Mr. Timothy Gleig, the Chief Engineer for the District. He also called a Mr. Hyson who had assisted Mr. Sharda in certain aspects of the renovation. Mr. Hyson was present at the site on June 9 and testified as to the state of the siding which had been installed on the house at the time of the June 9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my review of the trial judge's reasons, she gave Mr. Sharda a great deal of liberty in the scope of his examination of these witnesses. Mr. Sharda chose not to testify himself notwithstanding a number of suggestions from the trial judge that, given the credibility issues she was faced with determining, he should do so. I will return to this issue shortly in these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trial judge issued her 25 page decision on March 16, 2012. At para. 6, she described the issues in the case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issues which must be determined are whether Mr. Anthony negligently misrepresented to Mr. Sharda that the drywall screws he was using to attach the siding were appropriate fasteners when he conducted his inspection on June 9th and whether the inspection report he issued on that date was an approval regarding the use of drywall screws as of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apparent to me from the issues raised that the trial judge accurately set out the issues she had to determine.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a review of the evidence of each of the witnesses, and an expression of concern that Mr. Sharda did not testify, the trial judge then reviewed the applicable law and the provisions of the building code in the District (paras. 66 - 68).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 analysis, commencing under the heading of "Negligent Misrepresentation," reasoned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[69] It was Mr. Sharda's responsibility as an owner-builder to inform himself before he began his work as to the requirements of the Building Code in relation to the materials he used and to ensure he complied with these requirements. He did not do this in relation to the use of drywall screws as fasteners for the vinyl siding. He completed approximately 75% of the siding, i.e. the back, both sides and part of the front of the building before calling for an inspection.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[70] Once he called for the inspection it was reasonable for Mr. Sharda to rely on the information given to him by Mr. Anthony. As set out in the </w:t>
      </w:r>
      <w:r>
        <w:rPr>
          <w:rFonts w:ascii="arial" w:eastAsia="arial" w:hAnsi="arial" w:cs="arial"/>
          <w:b/>
          <w:i/>
          <w:color w:val="000000"/>
          <w:sz w:val="20"/>
          <w:lang w:val="en-US" w:eastAsia="en-US" w:bidi="ar-SA"/>
        </w:rPr>
        <w:t>Ingles</w:t>
      </w:r>
      <w:r>
        <w:rPr>
          <w:rFonts w:ascii="arial" w:eastAsia="arial" w:hAnsi="arial" w:cs="arial"/>
          <w:color w:val="000000"/>
          <w:sz w:val="20"/>
          <w:lang w:val="en-US" w:eastAsia="en-US" w:bidi="ar-SA"/>
        </w:rPr>
        <w:t xml:space="preserve"> decision Mr. Anthony owed a duty of care to Mr. Sharda to conduct his inspection to the standard of an ordinary, reasonable and prudent inspector.</w:t>
      </w:r>
    </w:p>
    <w:p>
      <w:pPr>
        <w:spacing w:before="120" w:line="260" w:lineRule="atLeast"/>
        <w:ind w:left="720"/>
        <w:rPr>
          <w:lang w:val="en-US" w:eastAsia="en-US" w:bidi="ar-SA"/>
        </w:rPr>
      </w:pPr>
      <w:r>
        <w:rPr>
          <w:rFonts w:ascii="arial" w:eastAsia="arial" w:hAnsi="arial" w:cs="arial"/>
          <w:color w:val="000000"/>
          <w:sz w:val="20"/>
          <w:lang w:val="en-US" w:eastAsia="en-US" w:bidi="ar-SA"/>
        </w:rPr>
        <w:t>[71] The only evidence other than that of Mr. Anthony as to the ordinary, prudent standard of care expected of a building inspector was that of the chief building inspector Peter Brock. Brock, who has 24 years experience, stated that it is not necessary for an inspector to note any doubts about construction materials on an inspection report where those doubts have otherwise been communicated to the builder in the course of the inspection. As I have stated already I found Mr. Brock to be a credible witness and I accepted his evidence.</w:t>
      </w:r>
    </w:p>
    <w:p>
      <w:pPr>
        <w:spacing w:before="120" w:line="260" w:lineRule="atLeast"/>
        <w:ind w:left="720"/>
        <w:rPr>
          <w:lang w:val="en-US" w:eastAsia="en-US" w:bidi="ar-SA"/>
        </w:rPr>
      </w:pPr>
      <w:r>
        <w:rPr>
          <w:rFonts w:ascii="arial" w:eastAsia="arial" w:hAnsi="arial" w:cs="arial"/>
          <w:color w:val="000000"/>
          <w:sz w:val="20"/>
          <w:lang w:val="en-US" w:eastAsia="en-US" w:bidi="ar-SA"/>
        </w:rPr>
        <w:t>[72] In the course of his inspection Mr. Anthony learned that Mr. Sharda was using drywall screws to attach the siding and he looked at the screws. He advised Mr. Sharda that he had never heard of this before. He didn't know if they were okay. They might be. He may have said, "It's not the end of the world." He completed the inspection form he was using to advise Mr. Sharda that he needed to correct the flashing around the windows and signed the report. He did not write the uncertainty he had expressed to Mr. Sharda about the screws on this form. The siding on the front of the building was at a point that it would have to be removed in order for the flashing work to be done. He then left, checked on the appropriateness of the screws over the next couple of days and returned two days later to examine the screws more closely and give Mr. Sharda his opinion that they could not be approved. He confirmed this opinion after further inquires the following morning.</w:t>
      </w:r>
    </w:p>
    <w:p>
      <w:pPr>
        <w:spacing w:before="120" w:line="260" w:lineRule="atLeast"/>
        <w:ind w:left="720"/>
        <w:rPr>
          <w:lang w:val="en-US" w:eastAsia="en-US" w:bidi="ar-SA"/>
        </w:rPr>
      </w:pPr>
      <w:r>
        <w:rPr>
          <w:rFonts w:ascii="arial" w:eastAsia="arial" w:hAnsi="arial" w:cs="arial"/>
          <w:color w:val="000000"/>
          <w:sz w:val="20"/>
          <w:lang w:val="en-US" w:eastAsia="en-US" w:bidi="ar-SA"/>
        </w:rPr>
        <w:t>[73] At no point in his dealings with Mr. Sharda did Mr. Anthony represent to him that the drywall screws were approved. On the contrary, he stated to him that he did not know if they were okay. Even if he then stated, 'It's not the end of the world', this does not change the fact that, at the very least he had clearly indicated to Mr. Sharda that there was a doubt about the drywall screws. The fact that Mr. Anthony then completed the Inspection Report in relation to the window flashing and signed it was not a representation that the screws were approved.</w:t>
      </w:r>
    </w:p>
    <w:p>
      <w:pPr>
        <w:spacing w:before="120" w:line="260" w:lineRule="atLeast"/>
        <w:ind w:left="720"/>
        <w:rPr>
          <w:lang w:val="en-US" w:eastAsia="en-US" w:bidi="ar-SA"/>
        </w:rPr>
      </w:pPr>
      <w:r>
        <w:rPr>
          <w:rFonts w:ascii="arial" w:eastAsia="arial" w:hAnsi="arial" w:cs="arial"/>
          <w:color w:val="000000"/>
          <w:sz w:val="20"/>
          <w:lang w:val="en-US" w:eastAsia="en-US" w:bidi="ar-SA"/>
        </w:rPr>
        <w:t>[74] The Report does not, on its face, state anything about the screws and whether their use was approved or rejected and it does not state that it is a "Final Inspection Report". It was signed and given to Mr. Sharda after a conversation in which a clear doubt was expressed about the use of drywall screws as fasteners. In this context it was not reasonable for Mr. Sharda to place any reliance on that report as an approval of the screws. He was in fact on notice, given his obligation to use materials approved by the Code, to ... ensure he got further information from Mr. Anthony or his own investigations as to whether the screws were proper fasteners to use.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[75] Mr. Anthony did not breach his duty of care toward Mr. Sharda. His conduct was that of an ordinary, reasonable and prudent building inspector. While I find that there was no misrepresentation made by Mr Anthony and no breach of any duty of care by him, I note that even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established Mr. Sharda would not be able to claim any damages arising from the obligation to reinstall the siding which was already attached to the building at the time Mr. Anthony attended on June 9th. His use of drywall screws to attach that siding had no relationship to his reliance on any advice or information given to him by Mr. Anthony.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judge then dealt with the inspection report at para. 76: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 I have already stated the fact that Mr. Anthony did not make any note on the Inspection Report regarding his doubts about the drywall screws was not a negligent misrepresentation on his part. Nothing in the language or content of that Report states that it is an approval regarding the use if the screws or a final inspection regarding the installation of the siding. The Report is not an approval either in law or in fact of the use of the drywall screws to attach the siding to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judge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[77] Mr. Sharda has not established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Anthony or the District of Kitimat. His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went on to deal with the question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Let me first turn to the law applicable to an appeal such as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12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an appeal of an order made in Small Claims Court may be brought to this Court on questions of fact and law. Section 12(2) provides that such appeal must not be heard as a new trial unless this court so orders. Section 13(1)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for the relief this court may grant on a hearing of the appeal, including the making of any order that could be made by the Small Claims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two grounds upon which Mr. Sharda appeals the trial judge's decision. He says the judge erred in relying on the evidence of Mr. Anthony, and he says the trial judge purposefully mischaracterized the nature of the June 9 inspection report. I will consider each ground in the above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First, Mr. Anthony's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Sharda says the trial judge erred in accepting the evidence of Mr. Anthony. He argued the trial judge should have found Mr. Anthony did not tell the truth when he testified about the conversation he had with Mr. Sharda on June 9 about his concern over the use of drywall screws to attach the siding. Mr. Sharda argues that Mr. Anthony's evidence was, and I put Mr. Sharda's submission in quotes, an "after-the-fact, cooked up story" to cover Mr. Anthony's mistake in not rejecting the use of the drywall screws in the inspection report. Mr. Sharda referred to a number of questions and answers in the transcript of Mr. Anthony's evidence which he argued demonstrated Mr. Anthony was lying.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law is clear and has been stated many times that an appellate court is only permitted to interfere with the findings of fact of the court appealed from where the trial judge has been shown to have committed a palpable and overriding error or made findings of fact that are clearly wrong, unreasonable, or unsupported by the evidence. I refer here to the Supreme Court of Canada's decision in </w:t>
      </w:r>
      <w:r>
        <w:rPr>
          <w:rFonts w:ascii="arial" w:eastAsia="arial" w:hAnsi="arial" w:cs="arial"/>
          <w:i/>
          <w:color w:val="000000"/>
          <w:sz w:val="20"/>
          <w:lang w:val="en-US" w:eastAsia="en-US" w:bidi="ar-SA"/>
        </w:rPr>
        <w:t>H.L. v. Canada (Attorney General)</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[2005] 1 S.C.R. 401</w:t>
        </w:r>
      </w:hyperlink>
      <w:r>
        <w:rPr>
          <w:rFonts w:ascii="arial" w:eastAsia="arial" w:hAnsi="arial" w:cs="arial"/>
          <w:color w:val="000000"/>
          <w:sz w:val="20"/>
          <w:lang w:val="en-US" w:eastAsia="en-US" w:bidi="ar-SA"/>
        </w:rPr>
        <w:t xml:space="preserve"> at para. 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law is also clear and has been stated many times that where there is some evidence to support an inference drawn by the trial judge, an appellate court will be hard-pressed to find a palpable and overriding error. Here, I refer to the often cited case of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 xml:space="preserve"> at para. 22.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Shimoyama v. Frizzell</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2011 BCSC 446</w:t>
        </w:r>
      </w:hyperlink>
      <w:r>
        <w:rPr>
          <w:rFonts w:ascii="arial" w:eastAsia="arial" w:hAnsi="arial" w:cs="arial"/>
          <w:color w:val="000000"/>
          <w:sz w:val="20"/>
          <w:lang w:val="en-US" w:eastAsia="en-US" w:bidi="ar-SA"/>
        </w:rPr>
        <w:t xml:space="preserve"> at para. 21, Mr. Justice Armstrong recently reviewed the law and, in doing so, quoted from Madam Justice MacKenzie (as she then was) in </w:t>
      </w:r>
      <w:r>
        <w:rPr>
          <w:rFonts w:ascii="arial" w:eastAsia="arial" w:hAnsi="arial" w:cs="arial"/>
          <w:i/>
          <w:color w:val="000000"/>
          <w:sz w:val="20"/>
          <w:lang w:val="en-US" w:eastAsia="en-US" w:bidi="ar-SA"/>
        </w:rPr>
        <w:t>Smithers Parts Ltd. v. Hudson</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2009 BCSC 1645</w:t>
        </w:r>
      </w:hyperlink>
      <w:r>
        <w:rPr>
          <w:rFonts w:ascii="arial" w:eastAsia="arial" w:hAnsi="arial" w:cs="arial"/>
          <w:color w:val="000000"/>
          <w:sz w:val="20"/>
          <w:lang w:val="en-US" w:eastAsia="en-US" w:bidi="ar-SA"/>
        </w:rPr>
        <w:t>, where she said, at para. 26: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palpable error is one that is plainly seen ... . An appeal court should only intervene when there is a material error, a serious misapprehension of the evidence, or an error in law ...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She went on to state: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court [that is, the Supreme Court on appeal] will only intervene in an appeal from Small Claims Court where the trial judge was clearly wrong in his apprehension of the law or the facts ...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rationale underlying these statements of the law is that a trial judge has the advantage of hearing the evidence and of observing the witness' demeanour in the witness box. Hence the trial judge is in the best position to assess the credibility of the witnesses and to reach conclusions based upon those observations. An appeal court, of course, is not in that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the trial judge gave detailed reasons for accepting the evidence of Mr. Anthony. Of significance and concern to the trial judge was the fact Mr. Sharda chose not to give evidence even after her urging he do so. My review of the transcript of these proceedings demonstrates that on a number of occasions, the trial judge explained the dilemma she was in to Mr. Sharda, that is, that she was faced with the necessity of making a credibility finding between Mr. Anthony and Mr. Sharda and that she did not have, at that point in time, any evidence from Mr. Sharda.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Sharda, in this case, took the perilous path of calling witnesses who, but for Mr. Hyson whose evidence the judge did not accept, did not support Mr. Sharda's position. Mr. Sharda sought to prove his case by cross-examining the District's witnesses. In her reasons for judgment, the trial judge reviewed the evidence of each witness and accepted and/or rejected their evidence, as she was obligated to do. At the end of the day, and after an assessment of that evidence, she decided Mr. Sharda had not proved his case on the balance of probabilities and she dismissed it. As stated, she did not have the opportunity to consider Mr. Sharda's evidence concerning the conversation he says he had with Mr. Anthony because Mr. Sharda chose not to give evidence even after she had warned him she only had one side of the conversation and of the consequences of his failure to testify. The trial judge made specific reference to Mr. Sharda's failure to testify and the impact it had on her decision: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[60] Mr. Sharda chose not to take the witness stand and give evidence himself as to his interaction with Mr. Anthony on June 9th through 12th or as to the state of the completion of the siding on June 9th or 11th. I was somewhat concerned in the course of the trial that he understand that if he did wish to tell me about his recollection of events on the dates in question he needed to give evidence and that he could not give me his version of events in the course of his submissions or otherwise from counsel table.</w:t>
      </w:r>
    </w:p>
    <w:p>
      <w:pPr>
        <w:spacing w:before="120" w:line="260" w:lineRule="atLeast"/>
        <w:ind w:left="720"/>
        <w:rPr>
          <w:lang w:val="en-US" w:eastAsia="en-US" w:bidi="ar-SA"/>
        </w:rPr>
      </w:pPr>
      <w:r>
        <w:rPr>
          <w:rFonts w:ascii="arial" w:eastAsia="arial" w:hAnsi="arial" w:cs="arial"/>
          <w:color w:val="000000"/>
          <w:sz w:val="20"/>
          <w:lang w:val="en-US" w:eastAsia="en-US" w:bidi="ar-SA"/>
        </w:rPr>
        <w:t>[61] I pointed this out to Mr. Sharda a number of times throughout the hearing. He appeared to understand. At the beginning of the last three days of his case on January 17, 2012 I explained that as the Claimant he was required to prove his case on the balance of probabilities and explained what this meant. He indicated that he understood this.</w:t>
      </w:r>
    </w:p>
    <w:p>
      <w:pPr>
        <w:spacing w:before="120" w:line="260" w:lineRule="atLeast"/>
        <w:ind w:left="720"/>
        <w:rPr>
          <w:lang w:val="en-US" w:eastAsia="en-US" w:bidi="ar-SA"/>
        </w:rPr>
      </w:pPr>
      <w:r>
        <w:rPr>
          <w:rFonts w:ascii="arial" w:eastAsia="arial" w:hAnsi="arial" w:cs="arial"/>
          <w:color w:val="000000"/>
          <w:sz w:val="20"/>
          <w:lang w:val="en-US" w:eastAsia="en-US" w:bidi="ar-SA"/>
        </w:rPr>
        <w:t>[62] After he had called what would otherwise be his final witness, Mr. Gleig, I advised Mr. Sharda that the only version of what had taken place between he and Mr. Anthony that was in evidence was that of Mr. Anthony. If I accepted the argument I understood he was intending to make; i.e. that Mr. Anthony should not be believed, as there were contradictions between some aspects of his evidence and the evidence of Mr. Hyson, then this would leave me with no credible version of what had occurred between them on that date.</w:t>
      </w:r>
    </w:p>
    <w:p>
      <w:pPr>
        <w:spacing w:before="120" w:line="260" w:lineRule="atLeast"/>
        <w:ind w:left="720"/>
        <w:rPr>
          <w:lang w:val="en-US" w:eastAsia="en-US" w:bidi="ar-SA"/>
        </w:rPr>
      </w:pPr>
      <w:r>
        <w:rPr>
          <w:rFonts w:ascii="arial" w:eastAsia="arial" w:hAnsi="arial" w:cs="arial"/>
          <w:color w:val="000000"/>
          <w:sz w:val="20"/>
          <w:lang w:val="en-US" w:eastAsia="en-US" w:bidi="ar-SA"/>
        </w:rPr>
        <w:t>[63] Mr. Sharda remained adamant that he did not intend to testify but would rely on discounting Mr. Anthony's credibility and then rest his case on the Inspection Report as a final inspection report and an approval of his use of drywall screws.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the trial judge properly assessed the evidence before her. I find her conclusions were clearly supported by the evidence and were reasonable. In fact, given that Mr. Sharda failed or refused to testify, she had little other choice than to reach the conclusions she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turn to the alleged mischaracterization of the inspection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Sharda says the trial judge deliberately mischaracterized the June 9 inspection report by omitting to insert the word </w:t>
      </w:r>
      <w:r>
        <w:rPr>
          <w:rFonts w:ascii="arial" w:eastAsia="arial" w:hAnsi="arial" w:cs="arial"/>
          <w:i/>
          <w:color w:val="000000"/>
          <w:sz w:val="20"/>
          <w:lang w:val="en-US" w:eastAsia="en-US" w:bidi="ar-SA"/>
        </w:rPr>
        <w:t>listed</w:t>
      </w:r>
      <w:r>
        <w:rPr>
          <w:rFonts w:ascii="arial" w:eastAsia="arial" w:hAnsi="arial" w:cs="arial"/>
          <w:color w:val="000000"/>
          <w:sz w:val="20"/>
          <w:lang w:val="en-US" w:eastAsia="en-US" w:bidi="ar-SA"/>
        </w:rPr>
        <w:t xml:space="preserve"> at para. 65 of her judgment. That paragraph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[65] The Inspection Report (Exhibit 1), is titled "Framing Inspection". Near the top of the report is the following note in boldface print:</w:t>
      </w:r>
    </w:p>
    <w:p>
      <w:pPr>
        <w:spacing w:before="120" w:line="260" w:lineRule="atLeast"/>
        <w:ind w:left="1080"/>
        <w:rPr>
          <w:lang w:val="en-US" w:eastAsia="en-US" w:bidi="ar-SA"/>
        </w:rPr>
      </w:pPr>
      <w:r>
        <w:rPr>
          <w:rFonts w:ascii="arial" w:eastAsia="arial" w:hAnsi="arial" w:cs="arial"/>
          <w:b/>
          <w:i/>
          <w:color w:val="000000"/>
          <w:sz w:val="20"/>
          <w:lang w:val="en-US" w:eastAsia="en-US" w:bidi="ar-SA"/>
        </w:rPr>
        <w:t>Note: A final inspection will require any unapproved items below to be reinspected</w:t>
      </w:r>
      <w:r>
        <w:rPr>
          <w:rFonts w:ascii="arial" w:eastAsia="arial" w:hAnsi="arial" w:cs="arial"/>
          <w:color w:val="000000"/>
          <w:sz w:val="20"/>
          <w:lang w:val="en-US" w:eastAsia="en-US" w:bidi="ar-SA"/>
        </w:rPr>
        <w:t>.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description of the bold portion which I have set out as referenced in the trial judge's decision is missing the word </w:t>
      </w:r>
      <w:r>
        <w:rPr>
          <w:rFonts w:ascii="arial" w:eastAsia="arial" w:hAnsi="arial" w:cs="arial"/>
          <w:i/>
          <w:color w:val="000000"/>
          <w:sz w:val="20"/>
          <w:lang w:val="en-US" w:eastAsia="en-US" w:bidi="ar-SA"/>
        </w:rPr>
        <w:t>listed</w:t>
      </w:r>
      <w:r>
        <w:rPr>
          <w:rFonts w:ascii="arial" w:eastAsia="arial" w:hAnsi="arial" w:cs="arial"/>
          <w:color w:val="000000"/>
          <w:sz w:val="20"/>
          <w:lang w:val="en-US" w:eastAsia="en-US" w:bidi="ar-SA"/>
        </w:rPr>
        <w:t xml:space="preserve"> between the words </w:t>
      </w:r>
      <w:r>
        <w:rPr>
          <w:rFonts w:ascii="arial" w:eastAsia="arial" w:hAnsi="arial" w:cs="arial"/>
          <w:i/>
          <w:color w:val="000000"/>
          <w:sz w:val="20"/>
          <w:lang w:val="en-US" w:eastAsia="en-US" w:bidi="ar-SA"/>
        </w:rPr>
        <w:t>items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below</w:t>
      </w:r>
      <w:r>
        <w:rPr>
          <w:rFonts w:ascii="arial" w:eastAsia="arial" w:hAnsi="arial" w:cs="arial"/>
          <w:color w:val="000000"/>
          <w:sz w:val="20"/>
          <w:lang w:val="en-US" w:eastAsia="en-US" w:bidi="ar-SA"/>
        </w:rPr>
        <w:t xml:space="preserve">. The words should read "Note: A final inspection report will require any unapproved items listed below to be inspected." Mr. Sharda says the trial judge deliberately left out the word </w:t>
      </w:r>
      <w:r>
        <w:rPr>
          <w:rFonts w:ascii="arial" w:eastAsia="arial" w:hAnsi="arial" w:cs="arial"/>
          <w:i/>
          <w:color w:val="000000"/>
          <w:sz w:val="20"/>
          <w:lang w:val="en-US" w:eastAsia="en-US" w:bidi="ar-SA"/>
        </w:rPr>
        <w:t>listed</w:t>
      </w:r>
      <w:r>
        <w:rPr>
          <w:rFonts w:ascii="arial" w:eastAsia="arial" w:hAnsi="arial" w:cs="arial"/>
          <w:color w:val="000000"/>
          <w:sz w:val="20"/>
          <w:lang w:val="en-US" w:eastAsia="en-US" w:bidi="ar-SA"/>
        </w:rPr>
        <w:t xml:space="preserve"> in order that she would not have to deal with the fact the use of the drywall screws was not listed as a rejection and, to use Mr. Sharda's words, "to protect the entire Kitimat organization."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my view, while the trial judge did not include the word </w:t>
      </w:r>
      <w:r>
        <w:rPr>
          <w:rFonts w:ascii="arial" w:eastAsia="arial" w:hAnsi="arial" w:cs="arial"/>
          <w:i/>
          <w:color w:val="000000"/>
          <w:sz w:val="20"/>
          <w:lang w:val="en-US" w:eastAsia="en-US" w:bidi="ar-SA"/>
        </w:rPr>
        <w:t>listed</w:t>
      </w:r>
      <w:r>
        <w:rPr>
          <w:rFonts w:ascii="arial" w:eastAsia="arial" w:hAnsi="arial" w:cs="arial"/>
          <w:color w:val="000000"/>
          <w:sz w:val="20"/>
          <w:lang w:val="en-US" w:eastAsia="en-US" w:bidi="ar-SA"/>
        </w:rPr>
        <w:t xml:space="preserve"> in her recitation of the note that appears on the framing and inspection report, she went on to describe the form in para. 65 accurately: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areas of inspection to be ticked do not include siding. All of these areas have a vertical line through the boxes where an acceptance or rejection would be noted. No acceptance or rejection is noted in any of the boxes. In the comments section the following is written:</w:t>
      </w:r>
    </w:p>
    <w:p>
      <w:pPr>
        <w:spacing w:before="120" w:line="260" w:lineRule="atLeast"/>
        <w:ind w:left="1080"/>
        <w:rPr>
          <w:lang w:val="en-US" w:eastAsia="en-US" w:bidi="ar-SA"/>
        </w:rPr>
      </w:pPr>
      <w:r>
        <w:rPr>
          <w:rFonts w:ascii="arial" w:eastAsia="arial" w:hAnsi="arial" w:cs="arial"/>
          <w:i/>
          <w:color w:val="000000"/>
          <w:sz w:val="20"/>
          <w:lang w:val="en-US" w:eastAsia="en-US" w:bidi="ar-SA"/>
        </w:rPr>
        <w:t>Tape flashing to building paper- verify setbacks for shed (in office)</w:t>
      </w:r>
    </w:p>
    <w:p>
      <w:pPr>
        <w:spacing w:before="120" w:line="260" w:lineRule="atLeast"/>
        <w:ind w:left="720"/>
        <w:rPr>
          <w:lang w:val="en-US" w:eastAsia="en-US" w:bidi="ar-SA"/>
        </w:rPr>
      </w:pPr>
      <w:r>
        <w:rPr>
          <w:rFonts w:ascii="arial" w:eastAsia="arial" w:hAnsi="arial" w:cs="arial"/>
          <w:color w:val="000000"/>
          <w:sz w:val="20"/>
          <w:lang w:val="en-US" w:eastAsia="en-US" w:bidi="ar-SA"/>
        </w:rPr>
        <w:t>Below this comment is a final boldface sentence printed on the form:</w:t>
      </w:r>
    </w:p>
    <w:p>
      <w:pPr>
        <w:spacing w:before="120" w:line="260" w:lineRule="atLeast"/>
        <w:ind w:left="1080"/>
        <w:rPr>
          <w:lang w:val="en-US" w:eastAsia="en-US" w:bidi="ar-SA"/>
        </w:rPr>
      </w:pPr>
      <w:r>
        <w:rPr>
          <w:rFonts w:ascii="arial" w:eastAsia="arial" w:hAnsi="arial" w:cs="arial"/>
          <w:b/>
          <w:i/>
          <w:color w:val="000000"/>
          <w:sz w:val="20"/>
          <w:lang w:val="en-US" w:eastAsia="en-US" w:bidi="ar-SA"/>
        </w:rPr>
        <w:t xml:space="preserve">This inspection becomes null and void with any change in construction for this premise, or upon failure to comply with the Building Regulations of the </w:t>
      </w:r>
      <w:r>
        <w:rPr>
          <w:rFonts w:ascii="arial" w:eastAsia="arial" w:hAnsi="arial" w:cs="arial"/>
          <w:b/>
          <w:i/>
          <w:color w:val="000000"/>
          <w:sz w:val="20"/>
          <w:u w:val="single"/>
          <w:lang w:val="en-US" w:eastAsia="en-US" w:bidi="ar-SA"/>
        </w:rPr>
        <w:t>Kitimat Municipal Code</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simply no evidence whatsoever to suggest any bias on the part of the trial judge either in her reasons or during the trial. In fact, I find on a review of the transcript, she extended herself to try to assist the appellant as an unrepresented litigant through the trial process, a process with which he was quite obviously unfamiliar.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also conclude the judge made no legal error in her reasons or in her interpretation of the June 9 report. She properly described and applied the law of negligent misrepresentation.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determination of whether the inspection report of June 9, 2008, was binding on the District or, as put by Mr. Sharda, was a final report and binding as to the District, was a factual determination. Again, on the facts before her, she decided the inspection report was not a final report. In this regard, she accepted the evidence of Mr. Brock and Mr. Gleig. Given her findings of the conversation of June 9, 2008, which she found to have occurred between Mr. Anthony and Mr. Sharda, she drew the conclusions to which I have previously 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Sharda, having called Mr. Brock and Mr. Gleig, and having called no evidence to the contrary, is bound by that evidence as was the judge. It was the evidence before her. I conclude that her reasons on the evidence before her were reasonable and supported by the evidence. It cannot be said that the trial judge was clearly wrong in her conclusions based on the facts before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Accordingly, the appeal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Does the District seek its costs in this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TOEWS: Yes, it does,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As the successful party, the District of Kitimat is awarded costs of this application. Thank you for appearing this morning. Court is adjourned.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B.M. GREYELL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Strata Plan LMS2869 v. Redekop Properties (Londsdale) Inc., [2002] B.C.J. No. 2599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Henderson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17,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S001832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2599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1608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121 A.C.W.S. (3d) 247</w:t>
      </w:r>
    </w:p>
    <w:p>
      <w:pPr>
        <w:spacing w:before="120" w:line="260" w:lineRule="atLeast"/>
        <w:rPr>
          <w:lang w:val="en-US" w:eastAsia="en-US" w:bidi="ar-SA"/>
        </w:rPr>
      </w:pPr>
      <w:r>
        <w:rPr>
          <w:rFonts w:ascii="arial" w:eastAsia="arial" w:hAnsi="arial" w:cs="arial"/>
          <w:color w:val="000000"/>
          <w:sz w:val="20"/>
          <w:lang w:val="en-US" w:eastAsia="en-US" w:bidi="ar-SA"/>
        </w:rPr>
        <w:t>Between The Owners, Strata Plan LMS2869, plaintiff, and Redekop Properties (Lonsdale) Inc., David Nickerson &amp; Associates Inc., Elbe, Lock, Walls &amp; Associates Inc., Woodside Construction Ltd., Woodside (9701) Construction Ltd., Gordon Spratt &amp; Associates Ltd. and Corporation of the City of North Vancouver,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3" style="position:absolute;z-index:2516951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23" w:name="Keywords_34"/>
      <w:bookmarkEnd w:id="323"/>
      <w:r>
        <w:rPr>
          <w:rFonts w:ascii="arial" w:eastAsia="arial" w:hAnsi="arial" w:cs="arial"/>
          <w:b/>
          <w:color w:val="000000"/>
          <w:sz w:val="20"/>
          <w:lang w:val="en-US" w:eastAsia="en-US" w:bidi="ar-SA"/>
        </w:rPr>
        <w:t>Practice — Parties — Adding or substituting parties — Adding or substituting defendants — Considerations — Circumstances when allowed — Application of limitation periods.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24" w:name="Case Summary_30"/>
            <w:bookmarkEnd w:id="32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Strata Plan to add Redekop Properties, the developer of the strata project, as a defendant. Strata Plan also sought to add the installer of balcony railings as a defendant. Strata Plan sued contractors and architects for deficiencies in the construction of its building. The issues included when the defects were known, and by whom. Strata Plan alleged that Redekop Properties acted negligently in developing the project, and made negligent representations on closing. The limitations legislation provided for two years for negligent misrepresentation. Redekop Properties provided no evidence of the date of closing. Strata Plan argued that Redekop Properties was necessary as a defendant, since its knowledge at various times during the construction and at closing would be material. Redekop Properties argued that its knowledge was not sufficiently related to the issues to justify adding it as a defendant, and that the limitation period had expired. Strata Plan alleged that the balcony railings installer should be added because it had a duty of care to Strata Plan, and acted negligently and not in accordance with the building code or good workmanship. The installer argued that there was a lack of particulars and insufficient evidence in Strata Plan's pleadings, and that it was not just and convenient for it to be added as a defendant. Examinations for discovery had not been held. </w:t>
            </w:r>
            <w:r>
              <w:rPr>
                <w:lang w:val="en-US" w:eastAsia="en-US" w:bidi="ar-SA"/>
              </w:rPr>
              <w:cr/>
            </w:r>
          </w:p>
          <w:p>
            <w:pPr>
              <w:spacing w:before="120" w:line="260" w:lineRule="atLeast"/>
              <w:ind w:left="240"/>
              <w:jc w:val="both"/>
              <w:rPr>
                <w:lang w:val="en-US" w:eastAsia="en-US" w:bidi="ar-SA"/>
              </w:rPr>
            </w:pPr>
            <w:bookmarkStart w:id="325" w:name="Holdings of Court_27"/>
            <w:bookmarkEnd w:id="325"/>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issue of Redekop Properties' knowledge was sufficiently related to the issue of who knew of defects and when they knew to justify adding it as a defendant. Since Redekop Properties failed to provide the date of closing, it had not established a limitations defence, and was added without prejudice to any limitations defence it might have. At this stage of the proceedings the allegations against the installer were sufficiently particular to justify adding it. Evidence supporting the allegations was not required until a later stage. </w:t>
            </w:r>
            <w:r>
              <w:rPr>
                <w:lang w:val="en-US" w:eastAsia="en-US" w:bidi="ar-SA"/>
              </w:rPr>
              <w:cr/>
            </w:r>
          </w:p>
          <w:p>
            <w:pPr>
              <w:rPr>
                <w:lang w:val="en-US" w:eastAsia="en-US" w:bidi="ar-SA"/>
              </w:rPr>
            </w:pPr>
          </w:p>
        </w:tc>
      </w:tr>
    </w:tbl>
    <w:p>
      <w:pPr>
        <w:jc w:val="both"/>
        <w:rPr>
          <w:lang w:val="en-US" w:eastAsia="en-US" w:bidi="ar-SA"/>
        </w:rPr>
      </w:pPr>
      <w:bookmarkStart w:id="326" w:name="Counsel_35"/>
      <w:bookmarkEnd w:id="32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4" style="position:absolute;z-index:2517463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V.P. Franco, for the plaintiff. R.W. Parks, for the proposed defendant, Peter Redekop. K. Xilinas, for the proposed defendant, West Coast Stucco Inc. M.A. Harris, for the proposed defendant, Lindahl Aluminium Ltd. B. Allard, for the defendant, Corporation of the City of North Vancouver.</w:t>
      </w:r>
      <w:r>
        <w:rPr>
          <w:lang w:val="en-US" w:eastAsia="en-US" w:bidi="ar-SA"/>
        </w:rPr>
        <w:cr/>
      </w:r>
    </w:p>
    <w:p>
      <w:pPr>
        <w:spacing w:after="240"/>
        <w:rPr>
          <w:lang w:val="en-US" w:eastAsia="en-US" w:bidi="ar-SA"/>
        </w:rPr>
      </w:pPr>
      <w:bookmarkStart w:id="327" w:name="Judgment_35"/>
      <w:bookmarkEnd w:id="327"/>
      <w:r>
        <w:pict>
          <v:line id="_x0000_s1205" style="position:absolute;z-index:25179750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28" w:name="HENDERSON J. (orally)"/>
            <w:bookmarkEnd w:id="328"/>
            <w:r>
              <w:rPr>
                <w:rFonts w:ascii="arial" w:eastAsia="arial" w:hAnsi="arial" w:cs="arial"/>
                <w:b/>
                <w:color w:val="000000"/>
                <w:sz w:val="30"/>
                <w:lang w:val="en-US" w:eastAsia="en-US" w:bidi="ar-SA"/>
              </w:rPr>
              <w:t>HENDERSON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this application to add certain parties as defendants, three of those putative defendants have appeared to oppose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putative or proposed defendant Redekop argues that the issues to be tried between it and the plaintiffs are sufficiently remote from those existing between the plaintiff and the other defendants that there is no sufficient interrelationship to justify adding him as a defendant in this action. I do not agree.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alleged that Redekop made negligent misrepresentations to these strata plan owners upon which they relied and which induced them to purchase the units in question. To prove that the representations were false or misleading, the evidence at trial will have to address the state of the condo development at various periods of time. It will have to identify with particularity the problems that came to light regarding the construction of the building, and it will have to focus upon when those problems were first known to exist and by whom. It will be necessary to show that at a certain point Redekop either knew or ought to have known that its disclosure statement needed to be amended.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and arguments pertaining to those issues I have touched upon would, if there were two separate trials, have to be advanced in both. That is sufficient to show that there is an interrelationship here of the sort that justifies the joinder of a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second point taken by the proposed defendant Redekop is that it is not just and convenient to try the cause of action against it with the causes alleged against the other defendants. I did not see any merit to that submission.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Redekop apparently played a significant role in the selling of the units and, in the course of that, made statutory disclosure to the owners pursuant to the Real Estate Act. Again, it seems to me that his role is sufficiently related to the role of the general contractor, the subcontractors and the architects, that it is just and convenient to try the actions together.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third point is of more significance. It is alleged that the limitation period for negligent misrepresentation is only two years and that the misrepresentations, if there were any, were made more than two years ago. It is alleged there was a failure to disclose material facts in the disclosure statement and that this failure to disclose was a breach of a continuing obligation to disclose which runs from the date the purchaser is deemed to have received the statement until the date of closing.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were unable to tell me when the various condo sales closed, so it is impossible on this application to determine how long ago the allegedly tortious conduct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Since counsel opposing the application has not provided any clear evidence from which I might infer when the closings were, I think his submission on this branch of the argument must fail. I am going to give leave to amend so as to add Redekop as a party. I will also order that this order is without prejudice to Redekop with respect to any limitation defence which might be available to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proposed defendant Lindahl argues, first, that there is an insufficient evidentiary foundation to support the allegations in the amended statement of claim. This presupposes that, on an application of this sort, the court is expected or obligated to look at evidence, as opposed to confirming its analysis to the face of the pleading.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are, indeed, decisions of this court which suggest that evidence on an application of this sort is necessary. In particular, suggestions of that sort may be found in Rafiki Properties Ltd. v. Integrated Housing Ltd., </w:t>
      </w:r>
      <w:hyperlink r:id="rId549" w:history="1">
        <w:r>
          <w:rPr>
            <w:rFonts w:ascii="arial" w:eastAsia="arial" w:hAnsi="arial" w:cs="arial"/>
            <w:i/>
            <w:color w:val="0077CC"/>
            <w:sz w:val="20"/>
            <w:u w:val="single"/>
            <w:shd w:val="clear" w:color="auto" w:fill="FFFFFF"/>
            <w:lang w:val="en-US" w:eastAsia="en-US" w:bidi="ar-SA"/>
          </w:rPr>
          <w:t>[1999] B.C.J. No. 243</w:t>
        </w:r>
      </w:hyperlink>
      <w:r>
        <w:rPr>
          <w:rFonts w:ascii="arial" w:eastAsia="arial" w:hAnsi="arial" w:cs="arial"/>
          <w:color w:val="000000"/>
          <w:sz w:val="20"/>
          <w:lang w:val="en-US" w:eastAsia="en-US" w:bidi="ar-SA"/>
        </w:rPr>
        <w:t xml:space="preserve">, Vancouver Registry No. C972889, in Martel v. David Investments Ltd., </w:t>
      </w:r>
      <w:hyperlink r:id="rId550" w:history="1">
        <w:r>
          <w:rPr>
            <w:rFonts w:ascii="arial" w:eastAsia="arial" w:hAnsi="arial" w:cs="arial"/>
            <w:i/>
            <w:color w:val="0077CC"/>
            <w:sz w:val="20"/>
            <w:u w:val="single"/>
            <w:shd w:val="clear" w:color="auto" w:fill="FFFFFF"/>
            <w:lang w:val="en-US" w:eastAsia="en-US" w:bidi="ar-SA"/>
          </w:rPr>
          <w:t>[1982] B.C.J. No. 831</w:t>
        </w:r>
      </w:hyperlink>
      <w:r>
        <w:rPr>
          <w:rFonts w:ascii="arial" w:eastAsia="arial" w:hAnsi="arial" w:cs="arial"/>
          <w:color w:val="000000"/>
          <w:sz w:val="20"/>
          <w:lang w:val="en-US" w:eastAsia="en-US" w:bidi="ar-SA"/>
        </w:rPr>
        <w:t xml:space="preserve">, and in Andrucson v. Oliver, Waldock, </w:t>
      </w:r>
      <w:hyperlink r:id="rId551" w:history="1">
        <w:r>
          <w:rPr>
            <w:rFonts w:ascii="arial" w:eastAsia="arial" w:hAnsi="arial" w:cs="arial"/>
            <w:i/>
            <w:color w:val="0077CC"/>
            <w:sz w:val="20"/>
            <w:u w:val="single"/>
            <w:shd w:val="clear" w:color="auto" w:fill="FFFFFF"/>
            <w:lang w:val="en-US" w:eastAsia="en-US" w:bidi="ar-SA"/>
          </w:rPr>
          <w:t>[1999] B.C.J. No. 862</w:t>
        </w:r>
      </w:hyperlink>
      <w:r>
        <w:rPr>
          <w:rFonts w:ascii="arial" w:eastAsia="arial" w:hAnsi="arial" w:cs="arial"/>
          <w:color w:val="000000"/>
          <w:sz w:val="20"/>
          <w:lang w:val="en-US" w:eastAsia="en-US" w:bidi="ar-SA"/>
        </w:rPr>
        <w:t>. Insofar as those decisions suggest that evidence in support of the allegations is necessary in order to make out a case for the plaintiff, even at a low standard of proof, it seems to me they are in conflict with several decisions of our Court of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MacMillan Bloedel Ltd. v. Binstead et al </w:t>
      </w:r>
      <w:hyperlink r:id="rId552"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Mr. Justice McFarlane spoke for the court and said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a balance, it is likely that the plaintiff would be able to prove its allegations on a balance of probabilities or to any other degree beyond showing that there may exist such a question or such an issue.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That was an oral judgment. It seems to me His Lordship was saying that an application of this sort should ordinarily be disposed of without regard to affidavit evidence because it is unnecessary for a plaintiff to prove, to any standard of proof at all, that there is a case supporting the allegations in the statement of claim (always presuming that the statement of claim is in proper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Hunt v. T &amp; N PLC. et al </w:t>
      </w:r>
      <w:hyperlink r:id="rId553" w:history="1">
        <w:r>
          <w:rPr>
            <w:rFonts w:ascii="arial" w:eastAsia="arial" w:hAnsi="arial" w:cs="arial"/>
            <w:i/>
            <w:color w:val="0077CC"/>
            <w:sz w:val="20"/>
            <w:u w:val="single"/>
            <w:shd w:val="clear" w:color="auto" w:fill="FFFFFF"/>
            <w:lang w:val="en-US" w:eastAsia="en-US" w:bidi="ar-SA"/>
          </w:rPr>
          <w:t>(1989), 41 B.C.L.R. (2d) 269</w:t>
        </w:r>
      </w:hyperlink>
      <w:r>
        <w:rPr>
          <w:rFonts w:ascii="arial" w:eastAsia="arial" w:hAnsi="arial" w:cs="arial"/>
          <w:color w:val="000000"/>
          <w:sz w:val="20"/>
          <w:lang w:val="en-US" w:eastAsia="en-US" w:bidi="ar-SA"/>
        </w:rPr>
        <w:t>, Mr. Justice Hutcheon addressed this question for the court. He said at page 271: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this case the proper test to apply to both the application to add a party and the applications to amend is to determine whether the pleadings as amended disclose a reasonable cause of action. In my view, I do not think that the bare pleading of "parent and alter ego" discloses a reasonable cause of action.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that short judgment the court approached the question as if the issue was to be resolved from a consideration of the pleading alone, without resort to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 decisions of this court which appear to suggest that evidence is necessary or that the amending party must make out its case on the evidence to a certain standard of proof are in conflict with the Court of Appeal decisions I have quoted and should not be followed. I find that the submission by Lindahl that there is an insufficient evidentiary foundation to justify amending the statement of claim is based upon a misconception. I do not need to consider the evidentiary foundation because I am satisfied that there is no burden at all upon the plaintiff to adduce evidence, provided its proposed amended statement of claim pleads in proper form a viable cause of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second point taken by Lindahl is that there is insufficient particularity in the proposed amended statement of claim. When that pleading turns its attention to Lindahl, it alleges that Lindahl was responsible for the supply and installation of the balcony railings and appurtenances that Lindahl owed the owners a duty of care and that Lindahl was negligent. It then goes on to say (in paragraph 130) that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At that point three items are identified specifically. These are not particulars in the traditional sense of that word; they more closely resemble restatements in different language of the cause of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first so-called particular is failing to carry out the railing work at the Calypso in a good and workman-like manner, free of construction deficiencies and defects; the second is failing to exercise all reasonable care, skill, diligence and competence as a railing subcontractor; and the third is failing to carry out the railing work in accordance with all applicable building codes and generally accepted construction standards.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satisfied that, if this litigation were more advanced and an application for particulars were made on behalf of Lindahl, the plaintiffs would be required to particularize those allegations. The question is whether that circumstance provides a justification today for refusing leave to amend.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is one of those cases where the plaintiffs need to make out their case, if they are to make it out at all, through the discovery process. The authorities recognize that a plaintiff may be required to plead in general terms initially, with a view to learning what it needs to learn through discoveries, and then particularize its pleading prior to trial. I find that this pleading is sufficiently particular at this stage of the litigation that leave to amend is appropriate. All of the respondents are at liberty to apply for particulars.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third argument advanced by Lindahl is that it is not just and convenient to join them as a defendant. Counsel said in argument that Lindahl's expert could not examine the same railings that the plaintiff's expert did due to the delay that has occurred since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remediation work. When I questioned counsel on this, it became clear that all that can be said is that there may have been some change to the railings, but, if so, counsel is unaware of what it 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nothing before me which satisfies me on the balance of probabilities that it would not be just and convenient to add Lindahl as a party. The application is granted with respect to Lindahl.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respondent West Coast Stucco essentially relied on the submissions of the two parties I have already identified. West Coast argued, again, that there was an insufficient evidentiary basis to justify their being joined and that the pleading related to them was insufficiently particular. For the reasons given above, I am satisfied that West Coast also can be joined as a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Costs?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(DISCUSSION BETWEEN THE COURT AND COUNSEL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I will make an order now with respect to all of the proposed defendants who have not appeared here today. I make an order granting you leave to amend.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costs regarding these three defendants, I do not see any particular reason why there should not be costs in the cause, and I will make them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Anything else, counsel? Ms. Franco, you have got leave to amend. You are going to have to particularize your pleading in due course or your friends will simply come back and ask for particulars. You cannot go to trial on a pleading that general.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HENDERSON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Stroszyn v. Mitsui Sumitomo Insurance Co., [2013] B.C.J. No. 1961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S131520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1961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2013 BCSC 1639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233 A.C.W.S. (3d) 981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25 C.C.L.I. (5th) 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[2013] I.L.R. I-5486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56 B.C.L.R. (5th) 388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2013 CarswellBC 2697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Edward Paul Stroszyn, Petitioner, and Mitsui Sumitomo Insurance Company Limited,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jc w:val="both"/>
        <w:rPr>
          <w:rFonts w:ascii="arial" w:eastAsia="arial" w:hAnsi="arial" w:cs="arial"/>
          <w:sz w:val="20"/>
          <w:lang w:val="en-US" w:eastAsia="en-US" w:bidi="ar-SA"/>
        </w:rPr>
      </w:pPr>
      <w:bookmarkStart w:id="329" w:name="Counsel_36"/>
      <w:bookmarkEnd w:id="3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D.W. Yule, Q.C., S.R. Skinner.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N.P. Kent, J.J. Watson.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0" w:name="Judgment_36"/>
      <w:bookmarkEnd w:id="330"/>
      <w:r>
        <w:pict>
          <v:line id="_x0000_s1208" style="position:absolute;z-index:2517473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1" w:name="T.W. BOWDEN J."/>
            <w:bookmarkEnd w:id="331"/>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Under Rule 2-1(2)(c)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petitioner seeks a determination of the following points of law:</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s. 82.1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operate to limit the exposure of Honda Canada Finance Inc. to $1,000,000 less any amounts recovered for loss or damage from bodily injury under the third party liability provisions issued by ICBC to Mary Chen and Honda Canada Finance Inc.? (the "Lessor Cap Issue");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Jason Chen or Mary Chen an unnamed insured under a policy of insurance that the respondent placed with Honda Canada Finance Inc.? (the "Excess Coverage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May 15, 2008, a vehicle driven by the petitioner was struck by a vehicle driven by Jason Chen and leased by Mary Chen from Honda Canada Finance Inc., ("Honda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Chen leased the Honda vehicle under a vehicle lease agreement with Honda Canada ("Lease Agreement"), which required Ms. Chen to obtain and maintain collision insurance, comprehensive fire and theft insurance, and third party liability insurance with a minimum coverage of $1,000,000 per claim. The Lease Agreement also required Ms. Chen to name Honda Canada as an additional insured and loss payee, where possible under the applicable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Chen maintained the third party liability coverage from ICBC in relation to the Honda vehicle under which Honda Canada is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Honda Canada is also the named insured under a policy of excess insurance issued by the respondent with a policy limit of $9 million ("Mitsui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result of the collision, the petitioner sustained serious injuries and brought a tort action against Jason Chen, Mary Chen, and Honda Canada (</w:t>
      </w:r>
      <w:r>
        <w:rPr>
          <w:rFonts w:ascii="arial" w:eastAsia="arial" w:hAnsi="arial" w:cs="arial"/>
          <w:i/>
          <w:color w:val="000000"/>
          <w:sz w:val="20"/>
          <w:lang w:val="en-US" w:eastAsia="en-US" w:bidi="ar-SA"/>
        </w:rPr>
        <w:t>Stroszyn v. Chen</w:t>
      </w:r>
      <w:r>
        <w:rPr>
          <w:rFonts w:ascii="arial" w:eastAsia="arial" w:hAnsi="arial" w:cs="arial"/>
          <w:color w:val="000000"/>
          <w:sz w:val="20"/>
          <w:lang w:val="en-US" w:eastAsia="en-US" w:bidi="ar-SA"/>
        </w:rPr>
        <w:t>, S.C.B.C. Vancouver Registry No. M084737). The quantum of damages of the petitioner was determined to be $1,600,000, by consent of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An agreement was entered into by the parties on December 20, 2012, pursuant to which the petitioner was paid $1,000,000, which represents the limit of the ICBC policy, leaving the two points of law to be dealt with by way of a petition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petitioner says that Mr. Chen is an insured under the Mitsui Policy with the result that the respondent must pay on his behalf to the petitioner the remaining $600,000 of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petitioner also says that s. 82.1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does not limit the liability of Honda Canada to $1,000,000 less any amount recovered for loss or damage under the third party liability provisions of the ICBC policy. The petitioner says that Honda Canada is liable to the extent of $600,000, notwithstanding the payment of $1,000,000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respondent says, based on its plain wording, the Mitsui Policy only provides insurance for the lessor, Honda Canada, and British Columbia's legislative regime does not change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respondent also says that when read in its entirety, the legislative scheme in British Columbia, in particular s. 82.1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limits the liability of a lessor to $1,000,000. The fundamental common law principles of joint liability then dictate that payment by or on behalf of one jointly liable defendant, like ICBC, discharges the liability of all other jointly liable parties, including the lessor, to the extent of the payment. The result, the respondent says, is that Honda Canada's potential liability of $1,000,000 has been completely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Lessor Cap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a result of the decision in </w:t>
      </w:r>
      <w:r>
        <w:rPr>
          <w:rFonts w:ascii="arial" w:eastAsia="arial" w:hAnsi="arial" w:cs="arial"/>
          <w:i/>
          <w:color w:val="000000"/>
          <w:sz w:val="20"/>
          <w:lang w:val="en-US" w:eastAsia="en-US" w:bidi="ar-SA"/>
        </w:rPr>
        <w:t>Yeung (Guardian ad litem of) v. Au,</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2006 BCCA 217</w:t>
        </w:r>
      </w:hyperlink>
      <w:r>
        <w:rPr>
          <w:rFonts w:ascii="arial" w:eastAsia="arial" w:hAnsi="arial" w:cs="arial"/>
          <w:color w:val="000000"/>
          <w:sz w:val="20"/>
          <w:lang w:val="en-US" w:eastAsia="en-US" w:bidi="ar-SA"/>
        </w:rPr>
        <w:t xml:space="preserve">, affirmed in </w:t>
      </w:r>
      <w:hyperlink r:id="rId563" w:history="1">
        <w:r>
          <w:rPr>
            <w:rFonts w:ascii="arial" w:eastAsia="arial" w:hAnsi="arial" w:cs="arial"/>
            <w:i/>
            <w:color w:val="0077CC"/>
            <w:sz w:val="20"/>
            <w:u w:val="single"/>
            <w:shd w:val="clear" w:color="auto" w:fill="FFFFFF"/>
            <w:lang w:val="en-US" w:eastAsia="en-US" w:bidi="ar-SA"/>
          </w:rPr>
          <w:t>2007 SCC 45</w:t>
        </w:r>
      </w:hyperlink>
      <w:r>
        <w:rPr>
          <w:rFonts w:ascii="arial" w:eastAsia="arial" w:hAnsi="arial" w:cs="arial"/>
          <w:color w:val="000000"/>
          <w:sz w:val="20"/>
          <w:lang w:val="en-US" w:eastAsia="en-US" w:bidi="ar-SA"/>
        </w:rPr>
        <w:t xml:space="preserve">, interpreting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corporate lessors in British Columbia were exposed to unlimited liability for damages arising out of the operation of a motor vehicle by a person operating the vehicle with the consent of the lessor.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response to the decision in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 xml:space="preserve">, the legislature in B.C. amended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to limit the liability of lessors to $1,000,000. The interpretation question that arises is whether, pursuant to s. 82.1, the liability of a lessor is reduced by any amount paid by the lessee's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86(1.2)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[MVA] provides:</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motor vehicle that is in the possession of its lessee, in an action to recover for loss or damage to persons or property arising out of the use or operation of the motor vehicle on a highway, a person driving or operating the motor vehicle who acquired possession of the motor vehicle with the consent, express or implied, of its lessor is deemed to be the agent or servant of, and employed as such by, that lessor and to be driving or operating the motor vehicle in the course of his or her employment with that lessor.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liability under subsection (1.2) of a lessor is subject to the applicable limit established under section 82.1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relieves a person deemed to be the agent or servant of the owner or lessee and to be driving or operating the motor vehicle in the course of his or her employment from the liability for such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It is not disputed that s. 86(1.2)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renders a lessor vicariously liable for damages resulting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who operates the vehicle with the consent of the lessor. Like s. 86, it appears that the purpose of s. 86(1.2) is to expand the availability of compensation for injured plaintiffs beyond the driver to include a lessor of a motor vehicle in the circumstances described.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Lombard General Insurance Company of Canada v. Canadian Direct Insurance Incorporated</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2013 BCSC 40</w:t>
        </w:r>
      </w:hyperlink>
      <w:r>
        <w:rPr>
          <w:rFonts w:ascii="arial" w:eastAsia="arial" w:hAnsi="arial" w:cs="arial"/>
          <w:color w:val="000000"/>
          <w:sz w:val="20"/>
          <w:lang w:val="en-US" w:eastAsia="en-US" w:bidi="ar-SA"/>
        </w:rPr>
        <w:t xml:space="preserve">). It is also clear that s. 86(1.3) incorporates into s. 86(1.2) the liability limit established under s. 82.1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so that a lessor's liability is not unlimited.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82.1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to recover for loss or damage to persons or property arising out of the use or operation of a leased motor vehicle on a highway in British Columbia, the maximum amount for which the lessor of the motor vehicle is liable, in that lessor's capacity as lessor of the motor vehicle, in respect of any one incident is the amount determined under subsection (2).</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amount for the purposes of subsection (1) is the greatest of the following amounts: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$1 000 000;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established, or determined in the manner prescribed, by regulation;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third party liability insurance coverage required by law to be carried in respect of the motor vehicle.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w:t>
      </w:r>
    </w:p>
    <w:p>
      <w:pPr>
        <w:numPr>
          <w:numId w:val="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respect of amounts payable by a lessor other than by reason of vicarious liability imposed under section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or</w:t>
      </w:r>
    </w:p>
    <w:p>
      <w:pPr>
        <w:numPr>
          <w:numId w:val="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prescribed lessors or motor vehicles, or prescribed classes of lessors or motor vehicles.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applies only in relation to loss or damage sustained on or after the date this section comes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Similar legislation in the Province of Ontario specifically provides that the maximum liability of a lessor, which is also stated to be $1,000,000, is reduced by any amount paid under an insurance policy issued to someone other than the lessor, such as the lessee's insurance. In </w:t>
      </w:r>
      <w:r>
        <w:rPr>
          <w:rFonts w:ascii="arial" w:eastAsia="arial" w:hAnsi="arial" w:cs="arial"/>
          <w:i/>
          <w:color w:val="000000"/>
          <w:sz w:val="20"/>
          <w:lang w:val="en-US" w:eastAsia="en-US" w:bidi="ar-SA"/>
        </w:rPr>
        <w:t>Nguyet v. King</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2010 ONSC 5506</w:t>
        </w:r>
      </w:hyperlink>
      <w:r>
        <w:rPr>
          <w:rFonts w:ascii="arial" w:eastAsia="arial" w:hAnsi="arial" w:cs="arial"/>
          <w:color w:val="000000"/>
          <w:sz w:val="20"/>
          <w:lang w:val="en-US" w:eastAsia="en-US" w:bidi="ar-SA"/>
        </w:rPr>
        <w:t xml:space="preserve"> (reversed on an unrelated issue, </w:t>
      </w:r>
      <w:hyperlink r:id="rId566" w:history="1">
        <w:r>
          <w:rPr>
            <w:rFonts w:ascii="arial" w:eastAsia="arial" w:hAnsi="arial" w:cs="arial"/>
            <w:i/>
            <w:color w:val="0077CC"/>
            <w:sz w:val="20"/>
            <w:u w:val="single"/>
            <w:shd w:val="clear" w:color="auto" w:fill="FFFFFF"/>
            <w:lang w:val="en-US" w:eastAsia="en-US" w:bidi="ar-SA"/>
          </w:rPr>
          <w:t>[2011] O.J. No. 1699</w:t>
        </w:r>
      </w:hyperlink>
      <w:r>
        <w:rPr>
          <w:rFonts w:ascii="arial" w:eastAsia="arial" w:hAnsi="arial" w:cs="arial"/>
          <w:color w:val="000000"/>
          <w:sz w:val="20"/>
          <w:lang w:val="en-US" w:eastAsia="en-US" w:bidi="ar-SA"/>
        </w:rPr>
        <w:t>), the court commented on the Ontario legislation at para. 11:</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2006 amendments also capped the lessor's liability at $1 million. If the lessee or renter had her own auto insurance with $1 million or more in liability coverage, the lessor's liability would be fully satisfied by this prior liability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petitioner argues that the absence of a specific provision in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that reduces the liability of a lessor, means that the $1,000,000 limit on a lessor's liability is not reduced by a payment on behalf of the lessee or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respondent says that the addition of such a specific provision is not necessary because the common law principles of joint liability dictate that a payment by or on behalf of one jointly liable party, such as ICBC, discharges the liability of all other jointly liable parties, such as the lessor, to the extent of such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starting point in the interpretation of a statute is a consideration of the wording of the provision itself, namely s. 82.1, while keeping in mind the approach described by the Supreme Court of Canada in </w:t>
      </w:r>
      <w:r>
        <w:rPr>
          <w:rFonts w:ascii="arial" w:eastAsia="arial" w:hAnsi="arial" w:cs="arial"/>
          <w:i/>
          <w:color w:val="000000"/>
          <w:sz w:val="20"/>
          <w:lang w:val="en-US" w:eastAsia="en-US" w:bidi="ar-SA"/>
        </w:rPr>
        <w:t>Re Rizzo &amp; Rizzo Shoes Ltd.</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and in their grammatical and ordinary sense harmoniously with the scheme of the Act, the object of the Act, and the intention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Reading s. 82.1 in that way, it is clear that the liability of a lessor that would otherwise be unlimited under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limited to $1,000,000. This interpretation is also in harmony with the intention of legislature to limit the liability of a lessor following the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Further, s. 82.1 has the effect of limiting the liability of a lessor that would otherwise be unlimited under s. 86(1.2), and thus provides an exception to or an exemption from a general rule. In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 the Court of Appeal stated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courts are asked to construe exemptions or exceptions to a general rule, they are "particularly concerned" that such provisions be interpreted in light of their underlying rationale and not be used to undermine the broad purposes of the legislation: R. Sullivan, ed., </w:t>
      </w:r>
      <w:r>
        <w:rPr>
          <w:rFonts w:ascii="arial" w:eastAsia="arial" w:hAnsi="arial" w:cs="arial"/>
          <w:i/>
          <w:color w:val="000000"/>
          <w:sz w:val="20"/>
          <w:lang w:val="en-US" w:eastAsia="en-US" w:bidi="ar-SA"/>
        </w:rPr>
        <w:t>Driedger on the Construction of Statutes</w:t>
      </w:r>
      <w:r>
        <w:rPr>
          <w:rFonts w:ascii="arial" w:eastAsia="arial" w:hAnsi="arial" w:cs="arial"/>
          <w:color w:val="000000"/>
          <w:sz w:val="20"/>
          <w:lang w:val="en-US" w:eastAsia="en-US" w:bidi="ar-SA"/>
        </w:rPr>
        <w:t xml:space="preserve"> (4th ed., 2002) at 397. In </w:t>
      </w:r>
      <w:r>
        <w:rPr>
          <w:rFonts w:ascii="arial" w:eastAsia="arial" w:hAnsi="arial" w:cs="arial"/>
          <w:i/>
          <w:color w:val="000000"/>
          <w:sz w:val="20"/>
          <w:lang w:val="en-US" w:eastAsia="en-US" w:bidi="ar-SA"/>
        </w:rPr>
        <w:t>The Interpretation of Legislation in Canada</w:t>
      </w:r>
      <w:r>
        <w:rPr>
          <w:rFonts w:ascii="arial" w:eastAsia="arial" w:hAnsi="arial" w:cs="arial"/>
          <w:color w:val="000000"/>
          <w:sz w:val="20"/>
          <w:lang w:val="en-US" w:eastAsia="en-US" w:bidi="ar-SA"/>
        </w:rPr>
        <w:t xml:space="preserve"> (3rd ed., 2000), P.-A. Côté explains: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noteworthy that what is of concern here is the non-extension of exceptional provisions and not their restrictive interpretation. In fact, the reasons that the legislature provided for provisions of exception are just as worthy of respect as those which justify the general rule. The principle is that exceptions should not be extended; where there is doubt, the general rule is favoured over the exception. [At 502.]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have also considered the comments in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Volume 20, No. 9, made when the amendments were made. Some of the comments by the Honourable J. Les suggest that in addition to the insurance coverage of a lessee it was intended that the lessor will remain liable for damages as well to the extent of a million dollars. Other comments suggest that the amendments were intended to eliminate any discrepancy between leased and owned vehicles when there is a claim made by an accident victim, so that victims of accidents involving leased vehicles would not have an additional $1 million of insurance available from a lessor that would not be available if an owned vehicle were involved. (Volume 21, No. 3 at page 8082 on May 16,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end result, I do not find the comments in </w:t>
      </w:r>
      <w:r>
        <w:rPr>
          <w:rFonts w:ascii="arial" w:eastAsia="arial" w:hAnsi="arial" w:cs="arial"/>
          <w:i/>
          <w:color w:val="000000"/>
          <w:sz w:val="20"/>
          <w:lang w:val="en-US" w:eastAsia="en-US" w:bidi="ar-SA"/>
        </w:rPr>
        <w:t>Hansard</w:t>
      </w:r>
      <w:r>
        <w:rPr>
          <w:rFonts w:ascii="arial" w:eastAsia="arial" w:hAnsi="arial" w:cs="arial"/>
          <w:color w:val="000000"/>
          <w:sz w:val="20"/>
          <w:lang w:val="en-US" w:eastAsia="en-US" w:bidi="ar-SA"/>
        </w:rPr>
        <w:t xml:space="preserve"> to be particularly helpful in interpreting s. 82.1.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Parallel legislation in other jurisdictions like Ontario has some relevance to the interpretation of s. 82.1, particularly where, as here, in enacting the amendments, the legislature of British Columbia referred to the legislation in Ontario. Unlike s. 82.1, s. 267.1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R.S.O. 1990, c. I-8, assented to in 2005, expressly provides that the liability of a lessor is reduced by any amounts paid on behalf of the lessee or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 82.1 does not provide that the liability of a lessor is reduced by an amount paid to a lessee or driver under another policy of insurance. The legislators did not follow the wording of the Ontario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respondent says that there was no need for the legislators in B.C. to add the qualifying words used in the Ontario legislation because the common law principles applicable to joint tortfeasors produce the same result, namely, that a payment by one joint tortfeasor is considered as a payment by all of the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then necessary to consider whether a lessee and lessor are in the position of joint tortfeasors and, if so, whether the common law applies such that the payment of $1 million by ICBC reduces the liability of Honda Canada to zero. The petitioner says that the capped liability in s. 82.1 abrogates the common law principle. Once the liability is capped, the lessor and lessee are no longer true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Under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 lessor becomes vicariously liable by virtue of the lessee and lessor's deemed master/servant relationship or their deemed agent/principal relationship. As the Court of Appeal said in </w:t>
      </w:r>
      <w:r>
        <w:rPr>
          <w:rFonts w:ascii="arial" w:eastAsia="arial" w:hAnsi="arial" w:cs="arial"/>
          <w:i/>
          <w:color w:val="000000"/>
          <w:sz w:val="20"/>
          <w:lang w:val="en-US" w:eastAsia="en-US" w:bidi="ar-SA"/>
        </w:rPr>
        <w:t>Yeung</w:t>
      </w:r>
      <w:r>
        <w:rPr>
          <w:rFonts w:ascii="arial" w:eastAsia="arial" w:hAnsi="arial" w:cs="arial"/>
          <w:color w:val="000000"/>
          <w:sz w:val="20"/>
          <w:lang w:val="en-US" w:eastAsia="en-US" w:bidi="ar-SA"/>
        </w:rPr>
        <w:t xml:space="preserve">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s. 86, then, is to extend liability as well to the owner in two situations -- where the driver or operator is living with and as a member of the family of the owner, or where the driver or operator acquired possession of the vehicle with the owner's express or implied consent. Where these conditions are met, s-s. (1) deems the driver or operator to be the agent or servant of the owner, and to be driving or operating the vehicle in the course of his or her employment. Effectively, this makes the owner liable on common law principles of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result of the application of the common law principles to s. 86 is that the lessee and lessor become jointfeasors as described in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by Lewis N. Klar, (Toronto:Carswell, 1988 -- updated to 2013 by Release 4 in Chapter 26). As such, they are jointly and severally liable to an injured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respondent bases its argument that when an amount is paid by or on behalf of one jointly liable party to a claimant, such payment is considered to be a payment by or on behalf of each of the jointly liable parties on the Court of Appeal's decision in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rule, as referred to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is intended to prevent double recovery, so that a plaintiff is only compensated for the full amount of his loss but not more. The interpretation that the petitioner seeks to place on s. 82.1 would not result in double recovery. The amount of damages to which the petitioner is entitled has been determined to be $1,600,000. The petitioner has received $1,000,000 from the lessee's insurer and seeks to recover the balance from the other joint tortfeasor, Honda Canada, as lessor.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When s. 82.1 is considered, it does not alter the effect of the common law principle of joint liability but it does set a maximum amount by which the lessor can be liable, </w:t>
      </w:r>
      <w:r>
        <w:rPr>
          <w:rFonts w:ascii="arial" w:eastAsia="arial" w:hAnsi="arial" w:cs="arial"/>
          <w:i/>
          <w:color w:val="000000"/>
          <w:sz w:val="20"/>
          <w:lang w:val="en-US" w:eastAsia="en-US" w:bidi="ar-SA"/>
        </w:rPr>
        <w:t>viz</w:t>
      </w:r>
      <w:r>
        <w:rPr>
          <w:rFonts w:ascii="arial" w:eastAsia="arial" w:hAnsi="arial" w:cs="arial"/>
          <w:color w:val="000000"/>
          <w:sz w:val="20"/>
          <w:lang w:val="en-US" w:eastAsia="en-US" w:bidi="ar-SA"/>
        </w:rPr>
        <w:t>,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 lessor, under s. 86(1.2), Honda Canada is vicariously liable as a joint tortfeasor. Without the limitation in s. 82.1, it would be liable, together with the lessee, for all or part of the damages of $1,600,000. However, section s. 82.1 places a $1,000,000 limit on that liability such that Honda Canada's portion cannot be greater than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view, the payment of $1,000,000 on behalf of the lessee does not reduce the liability of Honda Canada to zero. It is simply a payment by one joint tortfeasor towards the total liability of the jointly liable parties. By virtue of s. 86(1.2)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both the driver, Mr. Chen, and Honda Canada are jointly liable for the damages of $1,600,000. Pursuant to s. 82.1, Honda Canada's portion of that liability cannot exceed $1,000,000. Of the total liability, $1,000,000 has been discharged by ICBC on behalf of the lessee, but Honda Canada remains liable as a joint tortfeasor, for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result is consistent with the plain meaning of s. 82.1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which limits the liability of Honda Canada to $1,000,000. Its portion of the joint liability will not exceed $1,000,000. In my view, the combined effect of s. 86(1.2)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s. 82.1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is to expose a lessor, like Honda Canada, to liability as a jointfeasor, of $1,000,000, but no more. Thus, in this case, if the driver/lessee had no insurance coverage, the lessor would be liable for the amount of $1,000,000. On the other hand, if the insurance coverage of the driver/lessee resulted in a payment of $1,600,000, then no amount would be payable by the lessor, Honda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Excess Coverage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respondent provides excess insurance coverage under the form of a Chubb Commercial Excess insurance policy numbered 9914-01-08 (the "Policy"). The named insured under the Policy is Honda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 endorsement to the Policy, entitled "Long-Term Leased Autos Endorsement",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that with respect to autos licensed in any Province or Territory of Canada owned by the Named Insured and leased to others under a long-term leasing contract, coverage shall apply only to the Named Insured (as lessor), and shall not apply to any lessee of such autos. It is further agreed that coverage with respect to such autos shall apply in excess of the greater of:</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$1,000,000 retained limit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limits of insurance required under the long-term lease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Policy also incorporates a "Standard Excess Automobile Policy" which is referred to as SPF No. 7. SPF No. 7 and provides that the excess insurer agrees to indemnify the "Insured". The "Insured" is defined as Honda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do not accept the petitioner's argument that the Long-Term Leased Autos Endorsement is not part of SPF No. 7 and therefore does not apply to limit the coverage. Both the Long-Term Leased Autos Endorsement and SPF No. 7 refer to the Policy and, in my view, form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its face, the Policy does not provide coverage for the lessee/driver of the motor vehicle but only for the lessor, Honda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petitioner argues that, notwithstanding the express limitation in the Policy, the statutory regime governing motor vehicle insurance in British Columbia requires such excess insurance to cover the lessee/driver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is apparent that ss. 63 and 64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require that, in certain circumstances, the mandatory minimum liability coverage extends to both the owner and driver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Section 61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applies to excess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 61(1)(a)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(1) An optional insurance contract may only</w:t>
      </w:r>
    </w:p>
    <w:p>
      <w:pPr>
        <w:numPr>
          <w:numId w:val="14"/>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extend coverage that is specified in a certificate or a policy to a limit that is in excess of that provided by the certificate or policy for every insured, and, except as provided under subsection (1.1), on the same terms and conditions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Section 61(1.1) provides:</w:t>
      </w:r>
      <w:r>
        <w:rPr>
          <w:rFonts w:ascii="arial" w:eastAsia="arial" w:hAnsi="arial" w:cs="arial"/>
          <w:sz w:val="20"/>
          <w:lang w:val="en-US" w:eastAsia="en-US" w:bidi="ar-SA"/>
        </w:rPr>
        <w:cr/>
      </w:r>
    </w:p>
    <w:p>
      <w:pPr>
        <w:numPr>
          <w:numId w:val="15"/>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(1.2) and (2) and the regulations, an optional insurance contract referred to in subsection (1)(a) may prohibit a specified person or class of persons from using or operating the vehicle, exclude coverage for a specified risk or provide different limits of coverage for different persons or risks or classes of persons or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Section 61(1.2) and (2)provide:</w:t>
      </w:r>
      <w:r>
        <w:rPr>
          <w:rFonts w:ascii="arial" w:eastAsia="arial" w:hAnsi="arial" w:cs="arial"/>
          <w:sz w:val="20"/>
          <w:lang w:val="en-US" w:eastAsia="en-US" w:bidi="ar-SA"/>
        </w:rPr>
        <w:cr/>
      </w:r>
    </w:p>
    <w:p>
      <w:pPr>
        <w:numPr>
          <w:numId w:val="1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optional insurance contract may not, in respect of third party liability insurance coverage,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prohibit a person who is living with and as a member of the family of</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of the vehicle, and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leased motor vehicle, if the policy was purchased by the lessee, of the lessee of the motor vehicle,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from using or operating the vehicle, or</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exclude or provide different limits of coverage for that person.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prohibition, an exclusion or a limit referred to in subsection (1.1) is not binding on the insured unless the policy has printed on it in a prominent place in conspicuous lettering the words "This policy contains prohibitions relating to persons or classes of persons, exclusions of risks or limits of coverage that are not in the insurance it extends".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Policy does not contain the words in quotes in s. 61(2).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agree with the respondent that, by implication, the words of s. 61(1.2) contemplate that where an excess policy is not purchased by a lessee, such as in the case at bar, the persons mentioned in that section can be excluded or covered up to different limits than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also agree with the respondent that s. 61(1.2) is meant to protect insureds from exclusions or limits to coverage of which they may not be aware. Where, as here, the driver/lessee were not insured under the Policy, s. 61(1.2) has no application in relation to them. Surely, the lack of the wording in the Policy referred to in quotes in that section does not make the driver/lessee insured parties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view, the coverage under the Policy is only extended to the lessor as the named insured, and the provisions of s. 61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do not alter the effect of its express terms so as to provide coverage to the lessee/driver.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interpretation of the respondent, which I accept, does not create a discrepancy between the potential recovery of damages by persons involved in an accident with an owned vehicle rather than a leased vehicle. If an accident involved an owned vehicle, the victim faces the limits of the owner's policy which is likely $1,000,000 or $2,000,000, whereas if an accident involved a leased vehicle, as in the case at bar, the victim would have a claim against the lessor's excess coverage or potentially, $9,000,000. Such a discrepancy is not in accord with the legislative scheme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This result is also consistent with the purpose and effect of s. 82.1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which is to limit the liability of a lessor. If the petitioner's interpretation of the excess coverage was correct, then a lessor's insurer would be exposed to liability in excess of $1,000,000, which is what s. 82.1 seeks to prevent.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Costs were not sought by either party and are not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Sultani v. Blenz The Canadian Coffee Co., [2005] B.C.J. No. 846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18,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15,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SO42479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846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571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 B.L.R. (4th) 93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138 A.C.W.S. (3d) 653</w:t>
      </w:r>
    </w:p>
    <w:p>
      <w:pPr>
        <w:spacing w:before="120" w:line="260" w:lineRule="atLeast"/>
        <w:rPr>
          <w:lang w:val="en-US" w:eastAsia="en-US" w:bidi="ar-SA"/>
        </w:rPr>
      </w:pPr>
      <w:r>
        <w:rPr>
          <w:rFonts w:ascii="arial" w:eastAsia="arial" w:hAnsi="arial" w:cs="arial"/>
          <w:color w:val="000000"/>
          <w:sz w:val="20"/>
          <w:lang w:val="en-US" w:eastAsia="en-US" w:bidi="ar-SA"/>
        </w:rPr>
        <w:t>Between Mehrdad Sultani, plaintiff, and Blenz The Canadian Coffee Company Ltd. and Blenz Coffee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jc w:val="both"/>
        <w:rPr>
          <w:lang w:val="en-US" w:eastAsia="en-US" w:bidi="ar-SA"/>
        </w:rPr>
      </w:pPr>
      <w:bookmarkStart w:id="332" w:name="Counsel_37"/>
      <w:bookmarkEnd w:id="33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0" style="position:absolute;z-index:2516971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G. Plottel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 Shields</w:t>
      </w:r>
      <w:r>
        <w:rPr>
          <w:lang w:val="en-US" w:eastAsia="en-US" w:bidi="ar-SA"/>
        </w:rPr>
        <w:cr/>
      </w:r>
    </w:p>
    <w:p>
      <w:pPr>
        <w:spacing w:after="240"/>
        <w:rPr>
          <w:lang w:val="en-US" w:eastAsia="en-US" w:bidi="ar-SA"/>
        </w:rPr>
      </w:pPr>
      <w:bookmarkStart w:id="333" w:name="Judgment_37"/>
      <w:bookmarkEnd w:id="333"/>
      <w:r>
        <w:pict>
          <v:line id="_x0000_s1211" style="position:absolute;z-index:25174835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34" w:name="DILLON J."/>
            <w:bookmarkEnd w:id="334"/>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has applied pursuant to Rule 18A for dismissal of this cause of action. The plaintiff has applied to add Siemin Investments Ltd. as a plaintiff with amendments accordingly to the statement of claim and to discover certain representatives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has claimed against the defendants for specific performance of renewal of a franchise agreement or, alternatively, for damages for misrepresentation that the plaintiff had a right of renewal on the franchise agreement and for breach of duty of good faith and fair dealing. There is also a claim that the representations constituted a collateral agreement, although this was not the focus of argument by the plaintiff at this hearing.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is an appropriate matter for decision under Rule 18A. Any credibility questions are resolvable by reference to the discovery of the plaintiff, review of the documents themselves, and by reference to the rules of admissibility of evidence. The plaintiff has not moved to cross-examine representatives of the defendants on their affidavits or to discover the defendants since this application was filed in November 2004. There is no indication that discovery would yield greater information, either substantively or as to credibility, than disclosed in the affidavits. There is no suggestion that there are any more documents to be obtained. I am able on the evidence before me to find the necessary facts to decide this case and it is not unjust to do so.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Blenz The Canadian Coffee Ltd. ("Blenz"), is the franchisor of coffee houses and the defendant, Blenz Coffee Ltd. ("Blenz Coffee), is a separate company that leases certain premises for franchise operations. Blenz franchised a coffee shop located at 1203 Davie Street in Vancouver since 1994, the original franchisee being Wayne Nikituk ("Nikituk") and then his assignee, Wayne Alan Holdings Ltd. The original term of the franchise was ten years. Blenz Coffee held the master lease with the owner of the Davie Street location which was also for ten years, ending on May 31, 2004. Blenz Coffee held an option to renew the master lease for another ten years that provided: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exercise this option, a further lease of the said premises for a further term of ten (10) years. ... Granted on the same terms and conditions ... save and except as to the rent reserved, which said rent shall be agreed upon between the parties, or in default of agreement, shall be settled by arbitration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Blenz Coffee and Nikituk entered into a sublease that was to expire on the termination date of the master lease less one day, namely May 30, 2004. Nikituk's franchise agreement also ended on May 30, 2004 as it stated that the term ended "... on the last day of the sublease of the store". Information provided by Blenz to the initial franchisee said that the term of the lease was ten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September 1996, the plaintiff responded to a broker's statement concerning 1203 Davie Street coffee shop and expressed interest in purchase of the business. The broker's statement said that the accuracy of the information was not verified and recommended that the information be verified by a lawyer or accountant. The business was described as a franchised coffee store. A "lease" was described: "expires May 31, 2004 plus one ten year option". It concluded that "... with its excellent long term lease, [the Davie Street Blenz] will provide years of sustainable growth to its new owners". This information had been conveyed to the broker by Nikituk who was under the impression that there was a ten year renewal option available under the franchise agreement. He also conveyed this information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entered into a share purchase agreement with the assignee under Nikituk's franchise, Wayne Alan Holdings Ltd., on September 18, 1996. The purchase price was $238,000 and was subject to satisfactory assumption of the franchise and sublease of the Davie Street store and to approval by the purchaser's solicitor with documentation to be provided to the solicitor by September 24, 1996. The conditions were to be removed by October 15, 1996. The sale also had to comply with business investment requirements for immigration purposes as the plaintiff was immigrating to Canada under the entrepreneur immigration programme which required that he establish a business shortly after moving to Canada. On September 27, 1996, the plaintiff filled out a preliminary information sheet with Blenz to become a franchisee. His evaluation came back around October 2, 1996. On October 14, 1996, the plaintiff's lawyer in the share purchase agreement transaction contacted Mr. Hair, a director and president at Blenz, to request a copy of the existing franchise agreement and master lease. He told Mr. Hair that he wanted them for review on behalf of his client, the plaintiff. The documents were forwarded to the plaintiff's solicitor on October 15, 1996. The plaintiff's lawyer also had a copy of the sublease.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met with representatives of Blenz sometime after he had already entered into the share purchase agreement. He said that Mr. Hair from Blenz looked over the broker's statement and "told him that the information contained in it was accurate". Mr. Hair agrees that he made the statement and that it was accurate as far as it went. I find that he was not dishonest nor did he intend to mislead by this statement. It was made at a time when Mr. Hair knew the plaintiff to be advised by legal counsel. There was no ensuing discussion and the plaintiff did not specifically ask about a right of renewal or option for a further ten years. The main lease, sublease and franchise agreement were all available for the plaintiff to review. The main lease and option was, however, held by Blenz Coffee with the franchisee having a sublease and franchise termed to one day prior to termination of the main lease. Although the plaintiff was critical of Mr. Hair for his remark as being "clever", the fact is that the statement in the broker's information bulletin was accurate concerning the lease and there was a caution for due diligence forefront on the first page of the broker's statement. The plaintiff always knew that he was purchasing a sublease.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Blenz advised the plaintiff that it wanted him to obtain a new franchise and sublease on the same terms rather than assign the old contracts. The plaintiff met with Ms. Moen, another representative of Blenz, during his training period. The plaintiff said that Ms. Moen told him that "as long as he did not breach the franchise agreement, he could renew the franchise without a problem". Ms. Moen has denied this statement. She said that no Blenz franchise in Vancouver has ever been for more than ten years and that there are no renewals. Franchise agreements come to an end and then a new agreement might be negotiated. She would not have told the plaintiff anything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swore that a reference to renewal of his franchise in the sign lease of October 23, 1996 "was in accordance with what Ms. Moen had told me". Paragraph 2 of that agreement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lease shall be for a term coterminous with the term of the Franchise Agreement and shall be deemed to have been renewed upon renewal of the Franchise term and terminate upon the termination or expiry of the Franchise Agreement.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Although that paragraph uses the word "renewal", the specifics are tied to the franchise agreement which does not contain a right of renewal but specifically refers to a term as described below. It does not link renewal with performance under the franchise agreement or with the termination for breach clause.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accept the evidence of Ms. Moen on this point. Blenz had just told the plaintiff that it wanted a new franchise and sublease agreement rather than assign the old one. This is consistent with the business practice described by Ms. Moen. The suggestion of the plaintiff does not fit with either the contracts themselves or the business practice of the defendants. The sign lease does not give a right of renewal linked to performance under the franchise agreement. Nikituk said that he was aware that there was an "opportunity" for a further ten year term which he called a "renewal". On this basis, he had informed the broker and the plaintiff. While it was true that there was such an opportunity, it was not contracted and was subject to full negotiation involving the third party landlord as well as Blenz. It appears that this statement by the previous franchisee/vendor took on enhanced life in the mind of the plaintiff which he used to make assumptions and interpretations in his dealings with Blenz. Not once did the plaintiff directly ask about the term of the franchise or any renewal. There are significant discrepancies between the plaintiff's sworn affidavit and his testimony on discovery, particularly whether he or his lawyer had received the main lease prior to the transactions. In his initial affidavit, the plaintiff said that he had never seen the master lease prior to signing the agreements. In his second affidavit, he said that he did not learn that his lawyer had a copy until after he signed the agreements. On discovery, the plaintiff agreed that his lawyer told him on October 21, 1996 that he had a copy of the head lease, asked for instructions to review them, and was told not to review them. The lawyer did not provide an affidavit. In all of the circumstances, I prefer the evidence of Ms. Moen.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passed the English proficiency requirement and aptitude tests required by Blenz. It was only at this point that he was accepted as a franchisee. At all times, Blenz had found the plaintiff fluent in English.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lawyer had received all of the documentation, including the original franchise agreement, master lease and sublease by October 15, 1996. However, the plaintiff refused to give instructions for the lawyer to review the leases or franchise agreement because he was of the view that there were no changes on the franchise agreement and confined his instructions to counsel to the share purchase agreement. The plaintiff was obviously satisfied with his understanding of the documents and he was already bound by the share purchase agreement. He had the opportunity for legal advice and chose, for his own reasons, not to obtain it. Although the plaintiff said that he told Ms. Moen that his lawyer was only acting with respect to the share purchase, she has denied this and I accept her statement. The plaintiff acknowledged in paragraph 13 of the sublease that he had received, read and understood the master lease. The plaintiff did not say that he entered into either the franchise agreement or sublease because of any representation made by the defendants. Specifically, he did not state that he entered into the franchise agreement because of the statement by Mr. Hair about the accuracy of the broker's statement. It was apparent by the time that the statement was made that the plaintiff had accepted the terms of the share purchase agreement with its expected assumption of the franchise and sublease agreements. At most and as stated on discovery, the plaintiff construed Mr. Hair's statement as a right to negotiate renewal with details such as rent to be negotiated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Ten days later, on October 25, 1996, the plaintiff signed the new franchise and sublease agreements which were dated October 23, 1996. He read the documents before signing. He had not requested any changes to the agreements, in particular, specification or clarification of renewal terms. Based upon his knowledge of the sublease, the plaintiff said that he thought that he had a right of renewal for another ten years, although he did not know the details. He knew that he only had a sublease that, presumably, was dependent upon the terms of the master 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1B of the franchise agreement described the term of the agreement as: "... a term ... commencing on the date of this agreement and ending ... on the last day of the Sublease of the Store". Paragraph 1 of the sublease said that the term "... [ended] on the termination date of the initial term of the Master Lease, less one day ...". The franchise agreement distinguished, particularly at paragraph 15, with respect to termination of the agreement and expiration of the term of the agreement. In the franchise agreement, the plaintiff acknowledged that he had read all of the pertinent agreements, including the master lease, and that he chose to sign after having adequate opportunity to consult with advisors. The franchise agreement provided that any modification or amendment was to be in writing and stated in several paragraphs that there had been ample opportunity to read pertinent documents and to be advised by advisors of the plaintiff's own choosing on all aspects of the business. The agreement also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18J. ENTIRE AGREEMENT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This Agreement contains the entire understanding and agreement of the parties hereto concerning the matters herein contained. </w:t>
      </w:r>
      <w:r>
        <w:rPr>
          <w:rFonts w:ascii="arial" w:eastAsia="arial" w:hAnsi="arial" w:cs="arial"/>
          <w:i/>
          <w:color w:val="000000"/>
          <w:sz w:val="20"/>
          <w:lang w:val="en-US" w:eastAsia="en-US" w:bidi="ar-SA"/>
        </w:rPr>
        <w:t>The Franchisee agrees and acknowledges that he has not been induced to enter into this Agreement in reliance upon, nor as a result of, any statements, representations, warranties, conditions, covenants, promises or inducements whatsoever, whether oral or written, and whether directly related to the contents hereof or collateral thereto, made by the Franchisor or its officers, acknowledges and agrees that the foregoing does not limit or derogate from the Franchisee's rights and remedies under the Franchises Act of Alberta</w:t>
      </w:r>
      <w:r>
        <w:rPr>
          <w:rFonts w:ascii="arial" w:eastAsia="arial" w:hAnsi="arial" w:cs="arial"/>
          <w:color w:val="000000"/>
          <w:sz w:val="20"/>
          <w:lang w:val="en-US" w:eastAsia="en-US" w:bidi="ar-SA"/>
        </w:rPr>
        <w:t>. The Franchisee acknowledges that the Franchise has been granted in reliance upon the information supplied to the Franchisor in the Franchisee's application for a Franchise.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Neither the franchise agreement nor the sublease contains either a right or an option to renew. There was no initial franchise fee to be 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stopped working full time at the franchise location in 1999 and spent long periods of 2003 and 2004 out of the country.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were no written amendments to the franchise or sublease agreements. At some point, the plaintiff operated the franchise through his company, Siemin Investments Ltd., but there has never been an assignment of the sublease or franchise agreements. The landlord and Blenz continued to contact the plaintiff or his wife, although the plaintiff did use the corporate letterhead name of the company in correspondence to Blenz in 1998. The plaintiff was considered the primary operator in correspondence from the City of Vancouver. In December 2003, the landlord of 1203 Davie Street mistakenly delivered a letter to the plaintiff stating that the lease was due to expire on May 31, 2004 and offered a lease renewal proposal. The plaintiff turned this letter over to Blenz. Due to his good relations with the landlord, the plaintiff remained knowledgeable about continued negotiation towards renewal of the main lease. He did not, however, initiate discussion about renewal of the sublease or franchise agreement. He states only that there was no discussion about "termination of his franchise". On March 9, 2004, the landlord and Blenz came to an agreement on renewal of the main lease, the terms of which were copied by the landlord to the plaintiff. During the period from December to March, the plaintiff undertook no steps to investigate his own position. On March 17, 2004, Blenz notified the plaintiff that the franchise agreement and sublease were both due to expire on May 30, 2004, being the termination date of the initial term of the master lease, less one day. The term of both agreements ended on May 30,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Blenz had decided that competitive interests dictated that it would operate the Davie Street location on its own with a new corporate concept focused on tea. Blenz refused to renew the agreements but offered the plaintiff other franchise arrangements at other locations. Blenz also expressed interest in the purchase of some of the plaintiff's equipment and store assets. The plaintiff refused because the franchise offer was limited to two kilometres beyond the present store and the offer was for the net value of the assets. The plaintiff left the coffee business, returning to Iran in June 2004 to practice engineering. He stated on discovery that he wanted to get out of the coffee business. The assets of the coffee business were sold without advertising or receipts.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commenced this action on May 5, 2004. His application for injunctive relief was dismissed on June 4, 2004. At that application, the plaintiff alleged that he had received an explicit representation that he would have a right of renewal. The learned judge commented on the absence of evidence from the plaintiff's lawyer at the relevant time and said that it was in issue whether the lawyer had reviewed all of the documents and given specific legal advice. The absence of evidence from the lawyer was considered in deciding whether the plaintiff had set forth an arguable case. Despite these comments, there has been no evidence from the lawyer on this 18A application. Discovery of Ms. Moen or Mr. Hair has not occurred since June 2004, through no fault of the defendants.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first issue to be decided is whether false representations were made. After that, the effect of those representations is to be considered within the torts of negligent misrepresentation and breach of duty of good faith and within contract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only representation to be considered is the statement by Mr. Hair that the broker's information was accurate. This information said that there was a lease that expired May 31, 2004 plus one ten year option. Mr. Hair said that he considered this accurate as a reference to the main lease. Certainly, the parties agreed that the main lease was to expire on that date and had a ten year option attached. So, the information was accurate as a stand alone statement. However, it referred in context to the franchisee and not the franchisor. In the context of the franchisee, the information went on to say that the franchisee could expect years of sustainable growth with the long term lease. The silence of Mr. Hair in withholding further comment left the misconception, based on his statement alone, that the franchisee's lease had an option to renew for ten years. There was no correction to point out that the franchisee received a sublease only or that the option to renew was granted only to Blenz. In that sense, based on Mr. Hair's statement alone, without more, the statement is misleading because it withholds that which is not stated so to make that which is stated false (see Alevizos v. Nirula </w:t>
      </w:r>
      <w:hyperlink r:id="rId576" w:history="1">
        <w:r>
          <w:rPr>
            <w:rFonts w:ascii="arial" w:eastAsia="arial" w:hAnsi="arial" w:cs="arial"/>
            <w:i/>
            <w:color w:val="0077CC"/>
            <w:sz w:val="20"/>
            <w:u w:val="single"/>
            <w:shd w:val="clear" w:color="auto" w:fill="FFFFFF"/>
            <w:lang w:val="en-US" w:eastAsia="en-US" w:bidi="ar-SA"/>
          </w:rPr>
          <w:t>(2003), 180 Man.R. (2d) 186</w:t>
        </w:r>
      </w:hyperlink>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2003 MBCA 148</w:t>
        </w:r>
      </w:hyperlink>
      <w:r>
        <w:rPr>
          <w:rFonts w:ascii="arial" w:eastAsia="arial" w:hAnsi="arial" w:cs="arial"/>
          <w:color w:val="000000"/>
          <w:sz w:val="20"/>
          <w:lang w:val="en-US" w:eastAsia="en-US" w:bidi="ar-SA"/>
        </w:rPr>
        <w:t xml:space="preserve"> at paras. 20-27). The statement was, however, more in the nature of a comment or opinion rather than an explicit representation. As such, it may not be actionable (A-Wear Clothing Inc. v. Axiom Fashions Ltd., </w:t>
      </w:r>
      <w:hyperlink r:id="rId577" w:history="1">
        <w:r>
          <w:rPr>
            <w:rFonts w:ascii="arial" w:eastAsia="arial" w:hAnsi="arial" w:cs="arial"/>
            <w:i/>
            <w:color w:val="0077CC"/>
            <w:sz w:val="20"/>
            <w:u w:val="single"/>
            <w:shd w:val="clear" w:color="auto" w:fill="FFFFFF"/>
            <w:lang w:val="en-US" w:eastAsia="en-US" w:bidi="ar-SA"/>
          </w:rPr>
          <w:t>2002 BCSC 316</w:t>
        </w:r>
      </w:hyperlink>
      <w:r>
        <w:rPr>
          <w:rFonts w:ascii="arial" w:eastAsia="arial" w:hAnsi="arial" w:cs="arial"/>
          <w:color w:val="000000"/>
          <w:sz w:val="20"/>
          <w:lang w:val="en-US" w:eastAsia="en-US" w:bidi="ar-SA"/>
        </w:rPr>
        <w:t xml:space="preserve"> at para. 61, </w:t>
      </w:r>
      <w:hyperlink r:id="rId577" w:history="1">
        <w:r>
          <w:rPr>
            <w:rFonts w:ascii="arial" w:eastAsia="arial" w:hAnsi="arial" w:cs="arial"/>
            <w:i/>
            <w:color w:val="0077CC"/>
            <w:sz w:val="20"/>
            <w:u w:val="single"/>
            <w:shd w:val="clear" w:color="auto" w:fill="FFFFFF"/>
            <w:lang w:val="en-US" w:eastAsia="en-US" w:bidi="ar-SA"/>
          </w:rPr>
          <w:t>22 B.L.R. (3d) 234</w:t>
        </w:r>
      </w:hyperlink>
      <w:r>
        <w:rPr>
          <w:rFonts w:ascii="arial" w:eastAsia="arial" w:hAnsi="arial" w:cs="arial"/>
          <w:color w:val="000000"/>
          <w:sz w:val="20"/>
          <w:lang w:val="en-US" w:eastAsia="en-US" w:bidi="ar-SA"/>
        </w:rPr>
        <w:t>). It was honestly made without intent to mislead. It was not intended to prevent the plaintiff from further inquiry as was recommended on the face of the broker's statement. In fact, Mr. Hair facilitated further inquiry by sending the relevant documents to the plaintiff's then solicitor as requested. There was no conduct that prevented the full information from coming to the attention of the plaintiff. This may be a full answer to the plaintiff's claim such that the action should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However, I shall go on to consider the effect of an implied representation that there was an option to renew within negligent misrepresentation on the basis that Mr. Hair's statement was misleading. First, it should be said that the exclusion clause, paragraph 18J of the franchise agreement, does not specifically state that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excluded. Therefore,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excluded (Zippy Print Enterprises Ltd. v. Pawliuk (1994), </w:t>
      </w:r>
      <w:hyperlink r:id="rId578" w:history="1">
        <w:r>
          <w:rPr>
            <w:rFonts w:ascii="arial" w:eastAsia="arial" w:hAnsi="arial" w:cs="arial"/>
            <w:i/>
            <w:color w:val="0077CC"/>
            <w:sz w:val="20"/>
            <w:u w:val="single"/>
            <w:shd w:val="clear" w:color="auto" w:fill="FFFFFF"/>
            <w:lang w:val="en-US" w:eastAsia="en-US" w:bidi="ar-SA"/>
          </w:rPr>
          <w:t>[1995] 3 W.W.R. 324</w:t>
        </w:r>
      </w:hyperlink>
      <w:r>
        <w:rPr>
          <w:rFonts w:ascii="arial" w:eastAsia="arial" w:hAnsi="arial" w:cs="arial"/>
          <w:color w:val="000000"/>
          <w:sz w:val="20"/>
          <w:lang w:val="en-US" w:eastAsia="en-US" w:bidi="ar-SA"/>
        </w:rPr>
        <w:t xml:space="preserve"> at para. 34, </w:t>
      </w:r>
      <w:hyperlink r:id="rId578" w:history="1">
        <w:r>
          <w:rPr>
            <w:rFonts w:ascii="arial" w:eastAsia="arial" w:hAnsi="arial" w:cs="arial"/>
            <w:i/>
            <w:color w:val="0077CC"/>
            <w:sz w:val="20"/>
            <w:u w:val="single"/>
            <w:shd w:val="clear" w:color="auto" w:fill="FFFFFF"/>
            <w:lang w:val="en-US" w:eastAsia="en-US" w:bidi="ar-SA"/>
          </w:rPr>
          <w:t>100 B.C.L.R. (2d) 55</w:t>
        </w:r>
      </w:hyperlink>
      <w:r>
        <w:rPr>
          <w:rFonts w:ascii="arial" w:eastAsia="arial" w:hAnsi="arial" w:cs="arial"/>
          <w:color w:val="000000"/>
          <w:sz w:val="20"/>
          <w:lang w:val="en-US" w:eastAsia="en-US" w:bidi="ar-SA"/>
        </w:rPr>
        <w:t xml:space="preserve"> (B.C.C.A.)). I also accept that the relationship between the parties imposed a duty of good faith upon the franchisor that is short of a fiduciary duty (Country Style Food Services Inc. v. 1304271 Ontario Ltd., </w:t>
      </w:r>
      <w:hyperlink r:id="rId579" w:history="1">
        <w:r>
          <w:rPr>
            <w:rFonts w:ascii="arial" w:eastAsia="arial" w:hAnsi="arial" w:cs="arial"/>
            <w:i/>
            <w:color w:val="0077CC"/>
            <w:sz w:val="20"/>
            <w:u w:val="single"/>
            <w:shd w:val="clear" w:color="auto" w:fill="FFFFFF"/>
            <w:lang w:val="en-US" w:eastAsia="en-US" w:bidi="ar-SA"/>
          </w:rPr>
          <w:t>[2003] O.J. No. 362</w:t>
        </w:r>
      </w:hyperlink>
      <w:r>
        <w:rPr>
          <w:rFonts w:ascii="arial" w:eastAsia="arial" w:hAnsi="arial" w:cs="arial"/>
          <w:color w:val="000000"/>
          <w:sz w:val="20"/>
          <w:lang w:val="en-US" w:eastAsia="en-US" w:bidi="ar-SA"/>
        </w:rPr>
        <w:t xml:space="preserve"> at paras. 40 and 47 (Ont. S.C.); Shelanu Inc. v. Print Three Franchising Corp. </w:t>
      </w:r>
      <w:hyperlink r:id="rId580" w:history="1">
        <w:r>
          <w:rPr>
            <w:rFonts w:ascii="arial" w:eastAsia="arial" w:hAnsi="arial" w:cs="arial"/>
            <w:i/>
            <w:color w:val="0077CC"/>
            <w:sz w:val="20"/>
            <w:u w:val="single"/>
            <w:shd w:val="clear" w:color="auto" w:fill="FFFFFF"/>
            <w:lang w:val="en-US" w:eastAsia="en-US" w:bidi="ar-SA"/>
          </w:rPr>
          <w:t>(2003), 64 O.R. (3d) 533</w:t>
        </w:r>
      </w:hyperlink>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226 D.L.R. (4th) 577</w:t>
        </w:r>
      </w:hyperlink>
      <w:r>
        <w:rPr>
          <w:rFonts w:ascii="arial" w:eastAsia="arial" w:hAnsi="arial" w:cs="arial"/>
          <w:color w:val="000000"/>
          <w:sz w:val="20"/>
          <w:lang w:val="en-US" w:eastAsia="en-US" w:bidi="ar-SA"/>
        </w:rPr>
        <w:t xml:space="preserve"> at para. 66 (Ont.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do not find that the plaintiff reasonably relied on the misrepresentation. The plaintiff had already entered into a transaction for purchase of the franchise through the share purchase agreement. A condition of that agreement was assumption of the franchise and sublease agreements. So, the plaintiff was already contractually bound to enter into the franchise agreements if he could assume them. He agreed and there was no question that there would be new agreements on essentially the same terms. The plaintiff had been advised through the broker's statement that the information contained therein was "preliminary" and should be reviewed by a lawyer. The plaintiff retained a lawyer who had all of the relevant documents including the master lease and sublease. There was full disclosure by the defendants. This is not a case where the information was solely within the knowledge of the franchisor. The plaintiff decided not to have his lawyer review the documents and restricted his advice to the share purchase transaction. The plaintiff relied on the broker's statement, the information from Nikituk and his own understanding in preference to any close scrutiny of the documents by a professional advisor. In these circumstances, if is difficult to conclude that Mr. Hair's statement was a major factor in the decision to go forward with the franchise. It cannot be said that the plaintiff relied upon the statement of Mr. Hair in a reasonable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all of the circumstances, it also cannot be said that Blenz acted dishonestly, unreasonably, or unfairly so to have acted in bad faith. The defendants could reasonably assume that the plaintiff was receiving advice from his lawyer, as they had sent him all relevant documents at his request to review. I reject the plaintiff's evidence, that he informed Ms. Moen that his solicitor was only acting in the share purchase transaction, for the reasons described above and especially since there is no evidence from the lawyer. Blenz waited a reasonable period of time, ten days after the lawyer received the documents, to present the plaintiff with the documents for signature. The plaintiff read the documents and was not rushed into signing by the defendants. Any sense of haste was created by the plaintiff through the share purchase agreement whose dates for completion had already passed. Finally, the duty of fair dealing does not compel a party to renew an expiring relationship when it is not considered commercially reasonable to do so (530888 Ontario Ltd. v. Sobeys Inc., </w:t>
      </w:r>
      <w:hyperlink r:id="rId581" w:history="1">
        <w:r>
          <w:rPr>
            <w:rFonts w:ascii="arial" w:eastAsia="arial" w:hAnsi="arial" w:cs="arial"/>
            <w:i/>
            <w:color w:val="0077CC"/>
            <w:sz w:val="20"/>
            <w:u w:val="single"/>
            <w:shd w:val="clear" w:color="auto" w:fill="FFFFFF"/>
            <w:lang w:val="en-US" w:eastAsia="en-US" w:bidi="ar-SA"/>
          </w:rPr>
          <w:t>[2001] O.J. No. 723</w:t>
        </w:r>
      </w:hyperlink>
      <w:r>
        <w:rPr>
          <w:rFonts w:ascii="arial" w:eastAsia="arial" w:hAnsi="arial" w:cs="arial"/>
          <w:color w:val="000000"/>
          <w:sz w:val="20"/>
          <w:lang w:val="en-US" w:eastAsia="en-US" w:bidi="ar-SA"/>
        </w:rPr>
        <w:t xml:space="preserve"> at para. 22, </w:t>
      </w:r>
      <w:hyperlink r:id="rId581" w:history="1">
        <w:r>
          <w:rPr>
            <w:rFonts w:ascii="arial" w:eastAsia="arial" w:hAnsi="arial" w:cs="arial"/>
            <w:i/>
            <w:color w:val="0077CC"/>
            <w:sz w:val="20"/>
            <w:u w:val="single"/>
            <w:shd w:val="clear" w:color="auto" w:fill="FFFFFF"/>
            <w:lang w:val="en-US" w:eastAsia="en-US" w:bidi="ar-SA"/>
          </w:rPr>
          <w:t>12 B.L.R. (3d) 267</w:t>
        </w:r>
      </w:hyperlink>
      <w:r>
        <w:rPr>
          <w:rFonts w:ascii="arial" w:eastAsia="arial" w:hAnsi="arial" w:cs="arial"/>
          <w:color w:val="000000"/>
          <w:sz w:val="20"/>
          <w:lang w:val="en-US" w:eastAsia="en-US" w:bidi="ar-SA"/>
        </w:rPr>
        <w:t xml:space="preserve"> (Ont. S.C.)). Here, Blenz explained that it had a new commercial programme to introduce at this downtown location and that it wanted to do so on its own and not through a franchisee.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contractual implications of the misrepresentation remain to be considered, first within the one contract theory and then within the two contract theory, expressed as a collateral contract in paragraph 15 of the amended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There is no express right of renewal in the franchise agreement or sublease. When there is no right to renew or option to renew on ascertainable terms, no renewal is enforceable by the court (530888 Ontario Ltd. v. Sobeys Inc., supra at para. 10; TDL Group Ltd. v. 1060284 Ontario Ltd., </w:t>
      </w:r>
      <w:hyperlink r:id="rId582" w:history="1">
        <w:r>
          <w:rPr>
            <w:rFonts w:ascii="arial" w:eastAsia="arial" w:hAnsi="arial" w:cs="arial"/>
            <w:i/>
            <w:color w:val="0077CC"/>
            <w:sz w:val="20"/>
            <w:u w:val="single"/>
            <w:shd w:val="clear" w:color="auto" w:fill="FFFFFF"/>
            <w:lang w:val="en-US" w:eastAsia="en-US" w:bidi="ar-SA"/>
          </w:rPr>
          <w:t>[2000] O.J. No. 1239</w:t>
        </w:r>
      </w:hyperlink>
      <w:r>
        <w:rPr>
          <w:rFonts w:ascii="arial" w:eastAsia="arial" w:hAnsi="arial" w:cs="arial"/>
          <w:color w:val="000000"/>
          <w:sz w:val="20"/>
          <w:lang w:val="en-US" w:eastAsia="en-US" w:bidi="ar-SA"/>
        </w:rPr>
        <w:t xml:space="preserve"> at para. 21, </w:t>
      </w:r>
      <w:hyperlink r:id="rId582" w:history="1">
        <w:r>
          <w:rPr>
            <w:rFonts w:ascii="arial" w:eastAsia="arial" w:hAnsi="arial" w:cs="arial"/>
            <w:i/>
            <w:color w:val="0077CC"/>
            <w:sz w:val="20"/>
            <w:u w:val="single"/>
            <w:shd w:val="clear" w:color="auto" w:fill="FFFFFF"/>
            <w:lang w:val="en-US" w:eastAsia="en-US" w:bidi="ar-SA"/>
          </w:rPr>
          <w:t>6 B.L.R. (3d) 54</w:t>
        </w:r>
      </w:hyperlink>
      <w:r>
        <w:rPr>
          <w:rFonts w:ascii="arial" w:eastAsia="arial" w:hAnsi="arial" w:cs="arial"/>
          <w:color w:val="000000"/>
          <w:sz w:val="20"/>
          <w:lang w:val="en-US" w:eastAsia="en-US" w:bidi="ar-SA"/>
        </w:rPr>
        <w:t xml:space="preserve"> (Ont. S.C.); Empress Towers Ltd. v. Bank of Nova Scotia </w:t>
      </w:r>
      <w:hyperlink r:id="rId583" w:history="1">
        <w:r>
          <w:rPr>
            <w:rFonts w:ascii="arial" w:eastAsia="arial" w:hAnsi="arial" w:cs="arial"/>
            <w:i/>
            <w:color w:val="0077CC"/>
            <w:sz w:val="20"/>
            <w:u w:val="single"/>
            <w:shd w:val="clear" w:color="auto" w:fill="FFFFFF"/>
            <w:lang w:val="en-US" w:eastAsia="en-US" w:bidi="ar-SA"/>
          </w:rPr>
          <w:t>(1990), 50 B.C.L.R. (2d) 126</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73 D.L.R. (4th) 400</w:t>
        </w:r>
      </w:hyperlink>
      <w:r>
        <w:rPr>
          <w:rFonts w:ascii="arial" w:eastAsia="arial" w:hAnsi="arial" w:cs="arial"/>
          <w:color w:val="000000"/>
          <w:sz w:val="20"/>
          <w:lang w:val="en-US" w:eastAsia="en-US" w:bidi="ar-SA"/>
        </w:rPr>
        <w:t xml:space="preserve"> at 403 (B.C.C.A.)). Both the franchise agreement and sublease were in writing so that any pre-contractual representation not included in the written agreements is inadmissible under the parol evidence rule because it is inconsistent with the written agreement (Arens v. M.S.A. Ford Sales Ltd. </w:t>
      </w:r>
      <w:hyperlink r:id="rId584" w:history="1">
        <w:r>
          <w:rPr>
            <w:rFonts w:ascii="arial" w:eastAsia="arial" w:hAnsi="arial" w:cs="arial"/>
            <w:i/>
            <w:color w:val="0077CC"/>
            <w:sz w:val="20"/>
            <w:u w:val="single"/>
            <w:shd w:val="clear" w:color="auto" w:fill="FFFFFF"/>
            <w:lang w:val="en-US" w:eastAsia="en-US" w:bidi="ar-SA"/>
          </w:rPr>
          <w:t>(2002), 5 B.C.L.R. (4th) 272</w:t>
        </w:r>
      </w:hyperlink>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2002 BCCA 509</w:t>
        </w:r>
      </w:hyperlink>
      <w:r>
        <w:rPr>
          <w:rFonts w:ascii="arial" w:eastAsia="arial" w:hAnsi="arial" w:cs="arial"/>
          <w:color w:val="000000"/>
          <w:sz w:val="20"/>
          <w:lang w:val="en-US" w:eastAsia="en-US" w:bidi="ar-SA"/>
        </w:rPr>
        <w:t xml:space="preserve"> para. 5). The representation alleged here, that there was a right to renew for ten years, would not be an enforceable term of the contract without more.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Further, the exclusion clause in paragraph 18J negates any collateral agreement. This case is distinguishable from Zippy Print Enterprises Ltd. v. Pawliuk, supra because the plaintiff had legal representation and full disclosure prior to signing the agreements but chose to restrict his instructions. Also, the representation here is not so specific as to be legally enforceable. At most, it represented an agreement to agree. Certainty requires that the franchisor be able to rely on the exclusion clause in these circumstances where a true but incomplete representation was made in the absence of any intention to mislead and where the representation was neither complete nor critically important (Lam v. Ernst &amp; Twins Ventures </w:t>
      </w:r>
      <w:hyperlink r:id="rId585" w:history="1">
        <w:r>
          <w:rPr>
            <w:rFonts w:ascii="arial" w:eastAsia="arial" w:hAnsi="arial" w:cs="arial"/>
            <w:i/>
            <w:color w:val="0077CC"/>
            <w:sz w:val="20"/>
            <w:u w:val="single"/>
            <w:shd w:val="clear" w:color="auto" w:fill="FFFFFF"/>
            <w:lang w:val="en-US" w:eastAsia="en-US" w:bidi="ar-SA"/>
          </w:rPr>
          <w:t>(2001), 42 R.P.R. (3d) 173</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2001 BCSC 710</w:t>
        </w:r>
      </w:hyperlink>
      <w:r>
        <w:rPr>
          <w:rFonts w:ascii="arial" w:eastAsia="arial" w:hAnsi="arial" w:cs="arial"/>
          <w:color w:val="000000"/>
          <w:sz w:val="20"/>
          <w:lang w:val="en-US" w:eastAsia="en-US" w:bidi="ar-SA"/>
        </w:rPr>
        <w:t xml:space="preserve"> at para. 16; A-Wear Clothing Inc. v. Axiom Fashions Ltd., supra at para. 88).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plea of collateral contract cannot stand in face of the first agreement. Neither the franchise nor sublease agreements contained a right of renewal. Imposition of one through a collateral agreement would be contrary to law when it would contradict the terms of the franchise agreement that the parties entered into (Arens v. M.S.A. Ford Sales Ltd., supra at para. 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unnecessary to consider whether the plaintiff has proven any damages. However, on the material before me, no damage has been proven and there has been a failure to mitigate.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action is dismissed. The defendants are entitled to costs on the scale of three.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Walsh v. North Island College, [2004] B.C.J. No. 2780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Taylor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September 9, 2004.</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January 19, 2005.</w:t>
      </w:r>
    </w:p>
    <w:p>
      <w:pPr>
        <w:spacing w:before="120" w:line="260" w:lineRule="atLeast"/>
        <w:jc w:val="center"/>
        <w:rPr>
          <w:lang w:val="en-US" w:eastAsia="en-US" w:bidi="ar-SA"/>
        </w:rPr>
      </w:pPr>
      <w:r>
        <w:rPr>
          <w:rFonts w:ascii="arial" w:eastAsia="arial" w:hAnsi="arial" w:cs="arial"/>
          <w:color w:val="000000"/>
          <w:sz w:val="20"/>
          <w:lang w:val="en-US" w:eastAsia="en-US" w:bidi="ar-SA"/>
        </w:rPr>
        <w:t>Campbell River Registry No. S5931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2780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1760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137 A.C.W.S. (3d) 458</w:t>
      </w:r>
    </w:p>
    <w:p>
      <w:pPr>
        <w:spacing w:before="120" w:line="260" w:lineRule="atLeast"/>
        <w:rPr>
          <w:lang w:val="en-US" w:eastAsia="en-US" w:bidi="ar-SA"/>
        </w:rPr>
      </w:pPr>
      <w:r>
        <w:rPr>
          <w:rFonts w:ascii="arial" w:eastAsia="arial" w:hAnsi="arial" w:cs="arial"/>
          <w:color w:val="000000"/>
          <w:sz w:val="20"/>
          <w:lang w:val="en-US" w:eastAsia="en-US" w:bidi="ar-SA"/>
        </w:rPr>
        <w:t>Between Brian Walsh, plaintiff, and North Island College,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3"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35" w:name="Keywords_35"/>
      <w:bookmarkEnd w:id="335"/>
      <w:r>
        <w:rPr>
          <w:rFonts w:ascii="arial" w:eastAsia="arial" w:hAnsi="arial" w:cs="arial"/>
          <w:b/>
          <w:color w:val="000000"/>
          <w:sz w:val="20"/>
          <w:lang w:val="en-US" w:eastAsia="en-US" w:bidi="ar-SA"/>
        </w:rPr>
        <w:t>Civil procedure — Trials — Summary trials — Tort law — Occupier's liability — Duty of occupier — Legislation.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36" w:name="Case Summary_31"/>
            <w:bookmarkEnd w:id="33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North Island College, to dismiss the plaintiff, Walsh's, action pursuant to Rule 18A. Walsh brought the action following an alleged slip and fall accident that took place while he was a student in the cook training program offered at the College. He slipped in the hallway between the kitchen and ware washing area but did not fall. He claimed that this slip caused an injury. This was the first time such a slip had occurred at the College. This area was not open to the public. There was slip resistant vinyl flooring installed in the kitchen and ware washing area. Following the slip, rubber mats were placed in the hallway. As part of Walsh's training, safety in the kitchen environment was emphasized. </w:t>
            </w:r>
            <w:r>
              <w:rPr>
                <w:lang w:val="en-US" w:eastAsia="en-US" w:bidi="ar-SA"/>
              </w:rPr>
              <w:cr/>
            </w:r>
          </w:p>
          <w:p>
            <w:pPr>
              <w:spacing w:before="120" w:line="260" w:lineRule="atLeast"/>
              <w:ind w:left="240"/>
              <w:jc w:val="both"/>
              <w:rPr>
                <w:lang w:val="en-US" w:eastAsia="en-US" w:bidi="ar-SA"/>
              </w:rPr>
            </w:pPr>
            <w:bookmarkStart w:id="337" w:name="Holdings of Court_28"/>
            <w:bookmarkEnd w:id="337"/>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College established a reasonable facility to safeguard Walsh against the dangers at the College. The College installed recommended flooring. This was a reasonably safe flooring given the nature of its use and of its construction. The College also took reasonable steps to prevent slippage by educating Walsh to be cautious in known areas of slippage. Although the rubber mats may have enhanced safety, the issue was whether the floor was reasonably safe at the time of the slip. The College had a reasonable system for inspection and maintenance of the safety of its facilities. The inspection was continuous during the teaching day. The College fulfilled its obligations pursuant to s. 3(1) of the Occupiers' Liability Act. </w:t>
            </w:r>
            <w:r>
              <w:rPr>
                <w:lang w:val="en-US" w:eastAsia="en-US" w:bidi="ar-SA"/>
              </w:rPr>
              <w:cr/>
            </w:r>
          </w:p>
          <w:p>
            <w:pPr>
              <w:rPr>
                <w:lang w:val="en-US" w:eastAsia="en-US" w:bidi="ar-SA"/>
              </w:rPr>
            </w:pPr>
          </w:p>
        </w:tc>
      </w:tr>
    </w:tbl>
    <w:p>
      <w:pPr>
        <w:jc w:val="both"/>
        <w:rPr>
          <w:lang w:val="en-US" w:eastAsia="en-US" w:bidi="ar-SA"/>
        </w:rPr>
      </w:pPr>
      <w:bookmarkStart w:id="338" w:name="Legislation Cited_29"/>
      <w:bookmarkEnd w:id="33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14" style="position:absolute;z-index:2517493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Occupier's Liability Act, ss. 3, 3(1)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Workers Compensation Act</w:t>
      </w:r>
      <w:r>
        <w:rPr>
          <w:lang w:val="en-US" w:eastAsia="en-US" w:bidi="ar-SA"/>
        </w:rPr>
        <w:cr/>
      </w:r>
    </w:p>
    <w:p>
      <w:pPr>
        <w:keepNext/>
        <w:spacing w:before="240" w:line="340" w:lineRule="atLeast"/>
        <w:rPr>
          <w:lang w:val="en-US" w:eastAsia="en-US" w:bidi="ar-SA"/>
        </w:rPr>
      </w:pPr>
      <w:bookmarkStart w:id="339" w:name="Counsel_38"/>
      <w:bookmarkEnd w:id="33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5" style="position:absolute;z-index:2518005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 Bookman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P. Field</w:t>
      </w:r>
      <w:r>
        <w:rPr>
          <w:lang w:val="en-US" w:eastAsia="en-US" w:bidi="ar-SA"/>
        </w:rPr>
        <w:cr/>
      </w:r>
    </w:p>
    <w:p>
      <w:pPr>
        <w:spacing w:after="240"/>
        <w:rPr>
          <w:lang w:val="en-US" w:eastAsia="en-US" w:bidi="ar-SA"/>
        </w:rPr>
      </w:pPr>
      <w:bookmarkStart w:id="340" w:name="Judgment_38"/>
      <w:bookmarkEnd w:id="340"/>
      <w:r>
        <w:pict>
          <v:line id="_x0000_s1216" style="position:absolute;z-index:25184870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41" w:name="TAYLOR J. (orally)"/>
            <w:bookmarkEnd w:id="341"/>
            <w:r>
              <w:rPr>
                <w:rFonts w:ascii="arial" w:eastAsia="arial" w:hAnsi="arial" w:cs="arial"/>
                <w:b/>
                <w:color w:val="000000"/>
                <w:sz w:val="30"/>
                <w:lang w:val="en-US" w:eastAsia="en-US" w:bidi="ar-SA"/>
              </w:rPr>
              <w:t>TAYLOR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pursuant to Rule 18A, to dismiss the plaintiff's claim that arose out of a slip but not fall case that occurred on the 17th of October of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are agreed that the application is appropriate for resolution under Rule 18A.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a student in the cook training program offered by the defendant, North Island College, at its Campbell River campus. That program consisted of a year long session of instruction and was broken down into three stages. At the end of each stage a successful student was able to seek employment or apprenticeship at ever more sophisticated food preparation jobs. Level one was training for a short order cook; level two was for a camp cook; and level three was for a restaurant cook. All three levels could be done one after the other, or students could leave after each level to enter into the apprenticeship programs offered at the completion of those levels and then later return to take the more advanced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at the time of the slip, was at level two. He had entered and completed level one between January and May of 2001 and had entered the level two program in September of that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facilities in which the instruction was given was a teaching kitchen and restaurant setting within the college premises in Campbell River. That portion in which the cooking instruction was given was not open to the public. It is the area depicted in the sketch attached to both the plaintiff and Mr. Lively's affidavit. It consisted of a kitchen, a ware washing room, and a multi-purpose room, along with various offices and storage areas. It had been constructed in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ware washing area, as with other areas of the teaching facility, had a specific flooring of a commercial grade slip resistant vinyl 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specific area where the plaintiff slipped, and which I will discuss in more detail in a moment, was in the ware washing area generally, but was in a passageway between the kitchen and the multi-purpose area. For greater clarity, as one enters from the kitchen area, on the left is a janitor's cupboard and a chef's office, and to the right what has been described as the "dish pit" where various materials and utensils are cleansed. In short, the passage area and the dish pit area are two portions of a room described on the plan as the ware washing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program is a combination of chef instruction, practical functioning in the cooking industry, and mentoring of level one students by level two students. Level three students attend the facility at a different time in the evening than those in levels one and two. The manner of teaching is instructional and supervised with work in various aspects of cooking, depending upon the level at which the student is placed. Level two students are also required to supervise and mentor level one students.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program had been in place since the completion of the college facility since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part of the initial instruction, safety in a kitchen environment is emphasized.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cognizant of the emphasis on safety from both his instructions and from text provided to him. As he evidenced by his answer at question 122 of his examination for discovery, "Safety was always an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level one program in which the plaintiff was enrolled between January to May of 2001 began with two weeks of lectures and then practical instruction. In part, those lectures and practical instruction are directed towards the issues of safety and sanitation in cooking facilities. At the completion of this period, students then spend time in the kitchen area and in the dish pit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part of the materials provided level one students, there is a "Learning Guide J," which at page 6 contains instructions on maintaining a neat workplace such as to avoid tripping or slipping within the kitchen area, and those general statements are replicated in much more detail at page 36. The learning guide also contains self-tests on these and other subjects.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passed out of level one with a seventy-five percent average.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Upon entering into the level two in September of 2001, the plaintiff, as with other students, rotated through the role as chef de parte in respect of various stations in the training facility.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part of his training, he was to supervise level one students with respect to practices in the kitchen, including those involving issues of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the 17th, at the end of the school day, which was about 2 p.m., the plaintiff carried a tray with a number of objects from the kitchen area towards the dish pit area. As he was at the portion of the ware washroom which is used as a passageway between the kitchen and the multi-purpose room as well as the effective entry into the dish pit area, he slipped on something on the floor. He did not fall, but twisted in his recovery from the slip, allegedly causing injury to himself.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says that at the time of his approach he observed another student had started to mop the floor in the dish pit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Hrechka, a fellow student, was following the plaintiff and saw him slip, but said that, the plaintiff did not actually fall. He deposes that he observed a liquid on the floor where the plaintiff slipped. Mr. Hrechka could not recall if the student in the dish pit area had begun to mop.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Hrechka deposes at paragraph 9 of his affidavit as follows [as read in]: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proximity of the dish pit and the closet where the cleaning supplies are kept to the place where Brian Walsh fell means that there are from time to time water and other liquids on the floor in the hallway where Brian Walsh fell. In my experience as a cook, I would say that it would be common to put mats on the floor in such an area where spills of water or other liquids are to be expected. Students are often carrying trays of dishes into the dish pit area and other parts of the kitchen and sometimes it is difficult to keep an eye out for any spills of water or other liquids which may be present on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in his affidavit at paragraph 6 agrees with that statement with respect to the area, when he deposes as follows [as read in]: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Since the dish pit floor always got wet and in the cooking program inevitably there are bits of food and grease that get onto the floor, personal attention to safety was emphasized by the program's instructors.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slip but not fall by the plaintiff was the first time since the opening of the facilities in 1997 that such a slip had occurred. While there is no evidence from whence the substance on the floor came, it is reasonable to assume that it came either from being spilled in the course of objects being transported between the kitchen and the dish pit area or that it came from some seepage or leakage from the dish pit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asserts that [as read in]: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Students had asked from time to time during the time I was in the program, commencing January 2001, if the college could put down floor mats in and near the dish pit area because of the frequency with which water or other substances were on the floor. Our requests were always answered with two reasons why floor mats were not appropriate. The first was no money in the budget for floor mats, and the second was that, how would the mats be cleaned?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assertion provides no times when such requests were made, if in fact they were made, or to whom they might have been made. It is not helpful, other than to suggest the importance of caution or safety in such areas.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of Chef Walden is that he was unaware of any basis to suggest that the policies and then practices outlined in the Learning Guide J were not followed by students in their capacity as students, by students in their capacity as mentors, or by staff. The plaintiff in his material does not suggest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did in fact place rubber mats with holes to trap any grease or water that might flow from the dish pit area following two incidents subsequent to October of 2001. These were installed some time after December of 2002, thus well over a year following the plaintiff's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claim arises under s. 3 of the Occupier's Liability Act. Subsection one of that section provides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Section 3 does not make an occupier an insurer of anyone who suffers injury on his premises.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observed by Mr. Justice Wood in Bauman v. Stein </w:t>
      </w:r>
      <w:hyperlink r:id="rId410"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at 127: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Section 3 of the Occupiers Liability Act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occupier of the premises" whenever a person is injured on the premises. A plaintiff who invokes that section must still be able to point to some act (or some failure to act) on the part of the occupier which caused the injury complained of before liability can be established.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This plaintiff is not one who if he were an employee would be able to regard the defendant as an insurer under the provisions under the Workers' Compensation Act. He is equally not so an invitee, such as a patron in at a restaurant, as occurred in Walton v. Plainsman Dining Room, </w:t>
      </w:r>
      <w:hyperlink r:id="rId593" w:history="1">
        <w:r>
          <w:rPr>
            <w:rFonts w:ascii="arial" w:eastAsia="arial" w:hAnsi="arial" w:cs="arial"/>
            <w:i/>
            <w:color w:val="0077CC"/>
            <w:sz w:val="20"/>
            <w:u w:val="single"/>
            <w:shd w:val="clear" w:color="auto" w:fill="FFFFFF"/>
            <w:lang w:val="en-US" w:eastAsia="en-US" w:bidi="ar-SA"/>
          </w:rPr>
          <w:t>[2004] O.J. No. 589</w:t>
        </w:r>
      </w:hyperlink>
      <w:r>
        <w:rPr>
          <w:rFonts w:ascii="arial" w:eastAsia="arial" w:hAnsi="arial" w:cs="arial"/>
          <w:color w:val="000000"/>
          <w:sz w:val="20"/>
          <w:lang w:val="en-US" w:eastAsia="en-US" w:bidi="ar-SA"/>
        </w:rPr>
        <w:t xml:space="preserve"> or Cooper v. Spectra, </w:t>
      </w:r>
      <w:hyperlink r:id="rId594" w:history="1">
        <w:r>
          <w:rPr>
            <w:rFonts w:ascii="arial" w:eastAsia="arial" w:hAnsi="arial" w:cs="arial"/>
            <w:i/>
            <w:color w:val="0077CC"/>
            <w:sz w:val="20"/>
            <w:u w:val="single"/>
            <w:shd w:val="clear" w:color="auto" w:fill="FFFFFF"/>
            <w:lang w:val="en-US" w:eastAsia="en-US" w:bidi="ar-SA"/>
          </w:rPr>
          <w:t>[1998] B.C.J. No. 2297</w:t>
        </w:r>
      </w:hyperlink>
      <w:r>
        <w:rPr>
          <w:rFonts w:ascii="arial" w:eastAsia="arial" w:hAnsi="arial" w:cs="arial"/>
          <w:color w:val="000000"/>
          <w:sz w:val="20"/>
          <w:lang w:val="en-US" w:eastAsia="en-US" w:bidi="ar-SA"/>
        </w:rPr>
        <w:t xml:space="preserve">, or a store customer as in Kaiser v. Park Royal </w:t>
      </w:r>
      <w:hyperlink r:id="rId409"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or Sioui v. Canada Safeway, </w:t>
      </w:r>
      <w:hyperlink r:id="rId595" w:history="1">
        <w:r>
          <w:rPr>
            <w:rFonts w:ascii="arial" w:eastAsia="arial" w:hAnsi="arial" w:cs="arial"/>
            <w:i/>
            <w:color w:val="0077CC"/>
            <w:sz w:val="20"/>
            <w:u w:val="single"/>
            <w:shd w:val="clear" w:color="auto" w:fill="FFFFFF"/>
            <w:lang w:val="en-US" w:eastAsia="en-US" w:bidi="ar-SA"/>
          </w:rPr>
          <w:t>[2001] B.C.J. No. 179</w:t>
        </w:r>
      </w:hyperlink>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2001 BCSC 188</w:t>
        </w:r>
      </w:hyperlink>
      <w:r>
        <w:rPr>
          <w:rFonts w:ascii="arial" w:eastAsia="arial" w:hAnsi="arial" w:cs="arial"/>
          <w:color w:val="000000"/>
          <w:sz w:val="20"/>
          <w:lang w:val="en-US" w:eastAsia="en-US" w:bidi="ar-SA"/>
        </w:rPr>
        <w:t xml:space="preserve">. Nor was he a student using the general facilities of an educational institution such as were discussed in Bludau-Kugler v. Vancouver Community College, </w:t>
      </w:r>
      <w:hyperlink r:id="rId596" w:history="1">
        <w:r>
          <w:rPr>
            <w:rFonts w:ascii="arial" w:eastAsia="arial" w:hAnsi="arial" w:cs="arial"/>
            <w:i/>
            <w:color w:val="0077CC"/>
            <w:sz w:val="20"/>
            <w:u w:val="single"/>
            <w:shd w:val="clear" w:color="auto" w:fill="FFFFFF"/>
            <w:lang w:val="en-US" w:eastAsia="en-US" w:bidi="ar-SA"/>
          </w:rPr>
          <w:t>[1998] B.C.J. No. 11</w:t>
        </w:r>
      </w:hyperlink>
      <w:r>
        <w:rPr>
          <w:rFonts w:ascii="arial" w:eastAsia="arial" w:hAnsi="arial" w:cs="arial"/>
          <w:color w:val="000000"/>
          <w:sz w:val="20"/>
          <w:lang w:val="en-US" w:eastAsia="en-US" w:bidi="ar-SA"/>
        </w:rPr>
        <w:t xml:space="preserve">, or in Neff v. Malaspina College, </w:t>
      </w:r>
      <w:hyperlink r:id="rId597" w:history="1">
        <w:r>
          <w:rPr>
            <w:rFonts w:ascii="arial" w:eastAsia="arial" w:hAnsi="arial" w:cs="arial"/>
            <w:i/>
            <w:color w:val="0077CC"/>
            <w:sz w:val="20"/>
            <w:u w:val="single"/>
            <w:shd w:val="clear" w:color="auto" w:fill="FFFFFF"/>
            <w:lang w:val="en-US" w:eastAsia="en-US" w:bidi="ar-SA"/>
          </w:rPr>
          <w:t>[2003] B.C.J. No. 1056</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2003 BCSC 540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here was a student learning his trade in a teaching cooking facility. In this respect a part of his training was directly related to the safety of his work environment. The status of the plaintiff does not necessarily determine whether the defendant provided a reasonably safe environmental for his studies regardless of the general tenor of those studies with respect to safety, even though a part of the curriculum was in fact to teach safety observations and practices in a functioning kitchen.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 consideration under s. 3(1) of the Occupiers Liability Act, there are two questions that must be answered in the determination of whether the defendant fulfilled its obligations to the plaintiff under the provisions of the Act. Firstly, did the defendant establish a reasonable facility or premise to safeguard a plaintiff against dangerous circumstances here at his teaching facility? Then secondly, did it have in place a reasonable system for inspection and maintenance of the safety of its facilities?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I observed earlier, the defendant installed a commercially available and recommended flooring in such areas as kitchen areas or the ware washing room, a floor that in fact remained even after the installation of the holed rubber mats that were described as being installed some time after December of 2002. Such a floor, in my view, would be a reasonably safe one, given the nature of its use and of its 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rubber mats may have enhanced safety, the test is not founded on acts making something "more safe," but whether in all of the circumstances at the time of the slip was the floor reasonably safe?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Given the vaguest of references to the students' request contained in the plaintiff's affidavit, I place no reliance upon that to conclude that the defendant knew of some additional risk and took no steps to minimize it. Clearly, the defendant did know of the risk of slippage in a kitchen environment, despite the installation of the specific floor. Indeed, the safety instructions that are provided as a part of his teaching program were directed towards that, thus leading one to the second aspect of the questions to be decided.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the defendant took reasonable steps to prevent slippage by educating students like the plaintiff to be cautious in known areas of slippage such as in a commercial and/or teaching kitchen such as this was. A significant portion of the education the plaintiff was directed to the safe use of cooking facilities and that of course would include cleaning facilities. The plaintiff acknowledges that and his and Mr. Hrechka's affidavits illustrate the effect of such tutelage. That system engaged students being observant and senior students supervising junior students in respect of safety matters and the cleanliness of kitchens. It involved students being responsible for cleanliness.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Here the plaintiff observed another student mopping the floor prior to his slip. While that is also a factor to consider with respect to an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also evidence of a compliance of those under the teaching authority with the general scheme of observation and maintenance that were maintained with respect to this facility.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held by Mr. Justice Bauman in the Sioui case: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clear that the reasonableness of an inspection and maintenance system will be tested in the light of the risk attaching to the area in question.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Thus, no particular case could stand for the proposition that it will apply to all other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Here the defendant had a system of inspection by staff and students that was in essence continuous during the teaching day and it was conducted by those who had been taught of the inherent risks of kitchens in which they would ultimately work. The plaintiff was a part of that process and as such aware of the dangers of slippage caused by spills and it was part of his instruction to not only teach others, but to inspect and be aware and look out for such risks as might occur as a consequence of spillage.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I observed earlier, the defendant is not the insurer of the plaintiff, nor must the defendant maintain a state of perfection in the context of this teaching kitchen. The defendant was not required to do "all that they could to prevent a slip," but as noted by Mr. Justice Smith in the Duddle v. Vernon case, </w:t>
      </w:r>
      <w:hyperlink r:id="rId598" w:history="1">
        <w:r>
          <w:rPr>
            <w:rFonts w:ascii="arial" w:eastAsia="arial" w:hAnsi="arial" w:cs="arial"/>
            <w:i/>
            <w:color w:val="0077CC"/>
            <w:sz w:val="20"/>
            <w:u w:val="single"/>
            <w:shd w:val="clear" w:color="auto" w:fill="FFFFFF"/>
            <w:lang w:val="en-US" w:eastAsia="en-US" w:bidi="ar-SA"/>
          </w:rPr>
          <w:t>[2004] B.C.J. No. 1430</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2004 BCCA 390</w:t>
        </w:r>
      </w:hyperlink>
      <w:r>
        <w:rPr>
          <w:rFonts w:ascii="arial" w:eastAsia="arial" w:hAnsi="arial" w:cs="arial"/>
          <w:color w:val="000000"/>
          <w:sz w:val="20"/>
          <w:lang w:val="en-US" w:eastAsia="en-US" w:bidi="ar-SA"/>
        </w:rPr>
        <w:t>, when reviewing what the trial judge had said as being a correct question to be decided: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test at law is not whether anything could have been done to prevent the injury using 20/20 hindsight, but rather whether the steps taken by the occupier were reasonable in all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Given the nature of the construction of the flooring in this teaching kitchen and given the fact that this was a teaching kitchen that in essence sought to emulate a working kitchen, I am satisfied that the defendant "put into place a system to safeguard against dangerous substances being allowed to remain on the surface," as that expression was used by Mr. Justice Trainor in Rees v. B.C. Place, </w:t>
      </w:r>
      <w:hyperlink r:id="rId514" w:history="1">
        <w:r>
          <w:rPr>
            <w:rFonts w:ascii="arial" w:eastAsia="arial" w:hAnsi="arial" w:cs="arial"/>
            <w:i/>
            <w:color w:val="0077CC"/>
            <w:sz w:val="20"/>
            <w:u w:val="single"/>
            <w:shd w:val="clear" w:color="auto" w:fill="FFFFFF"/>
            <w:lang w:val="en-US" w:eastAsia="en-US" w:bidi="ar-SA"/>
          </w:rPr>
          <w:t>[1986] B.C.J. No. 2594</w:t>
        </w:r>
      </w:hyperlink>
      <w:r>
        <w:rPr>
          <w:rFonts w:ascii="arial" w:eastAsia="arial" w:hAnsi="arial" w:cs="arial"/>
          <w:color w:val="000000"/>
          <w:sz w:val="20"/>
          <w:lang w:val="en-US" w:eastAsia="en-US" w:bidi="ar-SA"/>
        </w:rPr>
        <w:t>, [1987] B.C.W.L.D. 756.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Accordingly, I find the defendant fulfilled its obligations under the two step approach required by s. 3(1) of the Occupiers Liability Act, and for these reasons the defendant's application is allowed and the plaintiff's action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the notice of motion and the written submissions refer to issue of costs, counsel for the defendant did not address those in the course of his oral submissions. If counsel for the defendant in fact seeks costs and they cannot be resolved between counsel, counsel may file a memorandum to that effect. Unless counsel wish to advance argument in writing on the issue, I will determine on the receipt of such a memorandum.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TAYLOR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Aarts-Chinyanta v. Harmony Premium Motors Ltd. (c.o.b. Harmony Acura), [2020] B.C.J. No. 433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MacDonald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7-11, 15-18,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M52039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392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 Aarts-Chinyanta, Plaintiff, and Harmony Premium Motors Ltd. dba Harmony Acura, and Quinn Binkley,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(220 paras.)</w:t>
      </w:r>
    </w:p>
    <w:p>
      <w:pPr>
        <w:jc w:val="both"/>
        <w:rPr>
          <w:rFonts w:ascii="arial" w:eastAsia="arial" w:hAnsi="arial" w:cs="arial"/>
          <w:sz w:val="20"/>
          <w:lang w:val="en-US" w:eastAsia="en-US" w:bidi="ar-SA"/>
        </w:rPr>
      </w:pPr>
      <w:bookmarkStart w:id="342" w:name="Counsel_39"/>
      <w:bookmarkEnd w:id="3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Cotter, R.D. Irving.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D.M. Darman, R.L. Lagroix.</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3" w:name="Judgment_39"/>
      <w:bookmarkEnd w:id="343"/>
      <w:r>
        <w:pict>
          <v:line id="_x0000_s1219" style="position:absolute;z-index:2517504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Pre-Accident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Michael Rocheleau</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Brenda Lau</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Gordon Robinson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Mitchell Spivak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Christina Peters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Darren Benning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Joseph Wong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Louis Boucher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Medications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Other Accidents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Sunglasses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Exaggerated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4" w:name="D.C. MacDONALD J."/>
            <w:bookmarkEnd w:id="344"/>
            <w:r>
              <w:rPr>
                <w:rFonts w:ascii="arial" w:eastAsia="arial" w:hAnsi="arial" w:cs="arial"/>
                <w:b/>
                <w:color w:val="000000"/>
                <w:sz w:val="30"/>
                <w:lang w:val="en-US" w:eastAsia="en-US" w:bidi="ar-SA"/>
              </w:rPr>
              <w:t>D.C. MacDONALD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Susan Aarts-Chinyanta, was 42 years old at the time of trial. She was involved in three motor vehicle accidents between July 27, 2012 and October 14, 2014 which are the subject matter of this claim. Ms. Aarts-Chinyanta was also involved in another motor vehicle accident in 2014 when she struck a deer, just prior to the second accident. She also fell down her stairs between the second and third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first two accidents, Ms. Aarts-Chinyanta's vehicle was written off. This was also the case when she hit the deer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have admitted liability and have advised the court that there is no need to apportion of liability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injuries as a result of the accidents. From the first accident she claims that she suffered:</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associated disorder II / myofascial pain to her neck, upper back, and right shoulder;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posttraumatic headaches and associated nausea and dizziness;</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arm and hand injuries;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exacerbation of a pre-existing (healing) right hand injury;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 result of the second accident, the plaintiff claims she suffered:</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whiplash associated disorder II / injury to her neck and upper back;</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chronic headaches;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right shoulder and right arm injuries; and</w:t>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lower leg and foot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third accident was not as significant as the previous two. The plaintiff claims the third accident caused an aggravation of her previous injuries to her head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Most significantly, Ms. Aarts-Chinyanta claims her physical injuries and headaches have resulted in psychological injuries. Ms. Aarts-Chinyanta claims that since the accidents she has, at times, met the criteria for a diagnosis of major depressive disorder. She claims to currently have adjustment disorder, somatic symptom disorder, and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following is a summary of the evidence of the plaintiff and the lay witnesses who testified at the trial. I set out their evidence in a general way, but leave certain details for discussion under the issues I address. Although I do not describe all aspects of the evidence, I have considered the totality of the evidence in reaching my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Aarts-Chinyanta testified that prior to the first motor vehicle accident she was an active and busy mother who worked full-time. She was raised in Vernon and her family moved to Lethbridge when she was 14. She gave birth to her older son, Quinzy, while still in high school but continued the school year and graduated valedictorian. She also received an honour as Citizen of the Year when she completed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Aarts-Chinyanta initially stayed with the baby's father who was not very supportive. Although she tried to go to Lethbridge College to take early childhood education, she was forced to drop out and found work at Burger King. She had a second child, Kenzel, and therefore worked limited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Aarts-Chinyanta eventually found a job at the Royal Bank and obtained full-time hours. After a period of time she and her partner separated. Ms. Aarts-Chinyanta met her current husband, Axel, who is from Africa. They were married in 2005. They eventually moved to Vernon to be closer to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Aarts-Chinyanta continued to work at the Royal Bank, but the Royal Bank in Vernon did not have a full-time position for her. Ms. Aarts-Chinyanta worked at several other jobs for a limited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Aarts-Chinyanta started to work at Walmart in 2008. When she began she was making minimum wage. Over time her wages increased and she was earning $11.20 per hour in 2012. She worked in the inventory department between 11:00 p.m. and 7:00 a.m. Ms. Aarts-Chinyanta hoped to advance into management. She testified that her long-term plan was to return to school and pursue early childhood education. She testified she is creative and she likes to be around young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Aarts-Chinyanta testified she loves to cook and cooked all her meals for the family from scratch. Quinzy testified that Ms. Aarts-Chinyanta learned to cook meals from many regions, including meals from Africa which Axel liked. She also learned to cook meat even though she herself is a vegetarian.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2008, Ms. Aarts-Chinyanta's younger son Kenzel got ill. He was in and out of the hospital and was eventually diagnosed with a rare autoimmune disease called Henoch-Schönlein Purpura. This was obviously very stressful for Ms. Aarts-Chinyanta who eventually had to homeschool Kenzel because he was so sick. This affected her ability to work and she began missing shifts at Walmart. Kenzel did not go back to school until 2015 when he was in grade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approximately 2008, Ms. Aarts-Chinyanta also injured her right hand in the palm area. It started swelling and dislocating, which resulted in significant pain. She had an x-ray but it did not show obvious damage. This was a difficult time for Ms. Aarts-Chinyanta as she and her husband had just separated due to his infidelity.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Aarts-Chinyanta had surgery in July 2009 in an attempt to repair her hand. Unfortunately, the surgery made her hand worse. She could not use it. This was significant as she is right-handed. She could no longer work in inventory at Walmart and was off work on medical employment insurance. Kenzel was still very sick.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Eventually Ms. Aarts-Chinyanta's employment insurance ran out and she applied for social assistance. Although she received social assistance, her child tax credit and the father's payments to her for child support were subtracted from it. She was forced to get a roommate and to go to the food bank. The roommate did not work out. She applied for disability benefits but she did not qualify. Her husband, Axel, from whom she was separated, helped the family sporadically.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Aarts-Chinyanta testified that by 2010 she was having a very difficult time and she was anxious because she was separated from her husband and she had a son ill with an autoimmune disease whom she was homeschooling. She had received an eviction notice, was on social assistance, and was forced to go to the food bank. Her hand was worse rather than better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Aarts-Chinyanta's family doctor, Dr. Boucher, assisted her in completing an application form for government housing for those with disabilities, which was successful. I discuss this form, and its implications, under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Aarts-Chinyanta testified that at this time she took some pain medications but no medication for depression. She denied being depressed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Aarts-Chinyanta testified that prior to the motor vehicle accidents she would sleep on average four hours. Sometimes she would sleep again a little later in the day. She was also prescribed a medication to help her sleep. She testified she did not take this medication as she needed to be responsive to her younger son who was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Aarts-Chinyanta returned to work in July of 2010 as a greeter at Walmart. She worked four-hour shifts and was on her feet the entire time. She was only receiving 15 hours a week at Walmart although she occasionally picked up extra shifts when another employee was unable to work. Ms. Aarts-Chinyanta testified that she hated her job as a greeter because she just stood outside the store. While working as a greeter, she slammed her hands in the shopping carts which was very painful. This caused her anxiety. She worked in this position for approximately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Aarts-Chinyanta testified that by 2011 Axel was starting to be more helpful. Kenzel was getting older and things were starting to ease up. She finally found a doctor who discovered a fracture in her hand at her fifth carpometacarpal joint. She underwent a second hand surgery on May 18, 2012. Dr. Brown, the surgeon, grafted some bone from her wrist to her right hand and placed a plate on the top right side of 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Aarts-Chinyanta testified she was excited post-surgery. Dr. Brown said the surgery went well and she would be fine. She was feeling optimistic and her son was slowly getting better. He had returned to playing soccer. Ms. Aarts-Chinyanta testified that she had no concerns about her hand although it was still sore due to the surgery and she was doing physiotherapy. She had an anticipated return to work date of August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Aarts-Chinyanta testified that just before the first accident she planned to return as an inventory assistant at night at Walmart. She testified that she hoped also to return to school to pursue early childhood education, starting with part-time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number of witnesses testified for Ms. Aarts-Chinyanta. They testified that she was very active prior to the accidents and was in very good shape. They testified that she played soccer, hiked, walked everywhere, and was very active with her children. This was before Kenzel became ill. Ms. Aarts-Chinyanta loved to camp. She had no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terms of her personality, the lay witnesses testified that Ms. Aarts-Chinyanta was spontaneous, feisty, and outgoing. They testified that she was an amazing mother, loving and kind. The lay witnesses did not recall any mental health issues before the accidents. They all denied being aware that she suffered from panic attacks in these years. Although they admitted that she was depressed during her separation from Axel, as well as anxious about Kenzel when he became sick, this was normal anxiety in the circumstances. Ms. Scheeler, a friend, testified that "she handled it like a pro." Ms. Aarts, Ms. Aarts-Chinyanta's sister, testified that although she was heartbroken that her child was sick, "Susan pulled herself together." Ms. Aarts-Chinyanta testified she was anxious and going through a "really tough time" but she denied being depressed prior to the first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time of the first motor vehicle accident, Ms. Aarts-Chinyanta was off work recovering from her successful May 18, 2012 hand surgery. She testified the accident occurred on July 27, 2012 when she was driving her son home from soccer camp ("MVA #1" or the "first accident"). She was stopped at an intersection when her vehicle was struck from behind by a minivan. The accident was "forceful". Her hands were on the steering wheel and her right hand "smashed" into the steering wheel. She had a brace on her hand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Aarts-Chinyanta drove home from the accident but the vehicle was eventually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day after the accident Ms. Aarts-Chinyanta began to feel nauseous and had a headache. She had upper back and neck pain. Her hand was throbbing from the pain and the pain radiated into her arm. At first the pain was mild but it increased every day. She went to a walk-in clinic on the Monday after MVA #1 as her doctor was on holidays. She was told to go to physiotherapy and was not given any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Aarts-Chinyanta saw her family doctor in mid-August. She was having bad headaches, pain in her upper back and shoulder, and she was feeling nauseous. She felt pain in her right hand and into her fingers. Her fingers were tingling. The plate was "poking out of her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Aarts-Chinyanta began going to physiotherapy two times per week. She continued to see her family doctor and was unable to return to work. Counsel for the defendants put a chart entry of Dr. Boucher to Ms. Aarts-Chinyanta in cross-examination. Counsel suggested she did not want to return to work as a greeter at Walmart because she was only being offered 15 hours. Ms. Aarts-Chinyanta responded that she could not go back to work in a sedentary position; she could not work at Walmart due to all the noise. She added that she was not physically able to work at that time due to her pain and her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November 2012, Ms. Aarts-Chinyanta switched from physiotherapy to seeing Dr. Grant, a chiropractor. She had not found physiotherapy to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December 2012, Ms. Aarts-Chinyanta was prescribed Apo-Nortriptyline to help her sleep. Her symptoms did not improve. In the winter she started wearing sunglasses because she had light sensitivity in her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Aarts, her sister, testified that she helped Ms. Aarts-Chinyanta find proper sunglasses because she worked in an optometrist office. Ms. Aarts-Chinyanta testified that she wears her polarized sunglasses every day. She also keeps the blinds closed in her house and has tinted her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terms of her headaches, Ms. Aarts-Chinyanta had pressure at the back of her head which made her feel dizzy and nauseous. Noises and lights also made her feel sick. She was experiencing headaches every day. Ms. Aarts-Chinyanta testified that her migraines were different. When she has a migraine there is intense pain on the side of her face, into her jaw and around her ear. She gets flu-like symptoms and becomes nauseous and dizzy. Her migraines last three or four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the first accident, Ms. Aarts-Chinyanta had a shooting pain down her arm, from her neck and base of her skull, extending across her shoulder blades. Nothing would make the pain go away but she would use ice and heat to relieve it. She also took Epsom salt baths and applied Vicks for 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Aarts-Chinyanta testified she did not go back to work due to her headaches and migraines. She could not handle the noise from Walmart. At home she was unable to do anything. She had a lot of support from her 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her hand, her surgical site was a lot better but she had to get the plate removed in January 2013. Today it is tender but for the most part it is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Aarts-Chinyanta had an occupational therapist come into her home to help her set things up. She saw a kinesiologist, started going to the pool at Meridian Rehabilitation, walked regularly, and did mirror therapy. She saw Dr. Donat, a headache specialist, who put her on Gabapentin and Topiramate for her migraines. He also suggested she change her diet. She cut out gluten, caffeine, and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Aarts-Chinyanta testified she saw Dr. Inkpen for her arm. He prescribed a Ketamine compound cream to help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2014 Ms. Aarts-Chinyanta testified that she had received some relief from her chiropractic and massage treatments but they did not last. She switched to physiotherapy and stopped massage and chiropractic treatments. Dr. Boucher, her family physician, tried prolotherapy (sugar water injections) but she did not find this treatment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Aarts-Chinyanta testified that she started seeing a psychologist, Deb Deeter, about once per week to discuss how she was feeling. She also took some courses at Meridian Rehabilitation. She did exercises at home that she had learned from her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2014 Ms. Aarts-Chinyanta got back together with Axel. This assisted because, although he travelled for work and was away most of the time, he sent money home for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Aarts-Chinyanta began seeing Dr. Steyn, a psychiatrist, because she was depressed. She was having difficulty coming to terms with not being able to do what she could before. He put her on an antidepressant. She started with a low dose and progressed to a higher dose. She testified that it helped her mood, especially with respect to "really down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Aarts-Chinyanta tried a number of different treatments for her migraines, including needling by Dr. Trow. She was provided with minor relief for about 10 to 20 minutes, but she did not find that needling made any significant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Aarts-Chinyanta testified that her weight was still good in 2014 and she felt okay about her body. She was going to the pool two to three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Aarts-Chinyanta was involved in another motor vehicle accident, when she struck a deer, just prior to the second accident. This occurred in August 2014. Although her vehicle was written off, she testified that she was not injured in this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Aarts-Chinyanta testified the second motor vehicle accident occurred on September 2, 2014 when she was driving home from Calgary on Highway 1 just outside of Revelstoke ("MVA #2" or the "second accident"). She had stopped her vehicle due to an accident ahead of her. All of a sudden a truck, a "semi", hit her from behind and pushed her into the van ahead of her. She testified that it was a "really big bump". She felt her body go forward and backward.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Aarts-Chinyanta was taken to the Revelstoke Hospital in an ambulance. After an examination and x-rays she was released. Her nephew drove her car home but it was later written off due to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Aarts-Chinyanta testified she was very sick and in a lot of pain the few days after the accident. Her head hurt a lot. She could not lift her right arm due to the pain. Her right foot was hurting and all her prior symptoms were heightened. Her shoulder movement was now restricted. The more she stood the worse her pain got.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terms of her mood, she felt defeated. She testified that all the recovery from her first accident was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saw her family doctor and was referred to the CHANGEpain clinic in Vancouver where she saw Dr. Lam. He treated her with IMS and dry needling. She also enrolled in educational program to provide patients with coping skills to address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Aarts-Chinyanta testified that she began seeing Carrie Jones, a physiotherapist, who applied acupuncture and electric shocks. It did help relieve her left side which had been reactivated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Between the second accident and third accident, Ms. Aarts-Chinyanta slipped on her stairs. She testified that she felt sore that day but after that it was better.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Third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Aarts-Chinyanta testified that the third accident occurred on October 14, 2014 when she was a rear seat passenger in a taxicab driven by one of the defendants ("MVA #3" or the "third accident"). They were rear-ended by another vehicle. She had the taxi driver take her directly to the CHANGEpain clinic as she had been on her way there in any event. She saw Dr. Lam. Although there were no new injuries, everything felt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Aarts-Chinyanta testified that in 2015 her sleep was nonexistent. She saw a sleep specialist but since it was pain related, there was not much the specialist could offer her. She testified she falls asleep for approximately 15 to 20 minutes, a half-hour at the most, and then wakes up. She has to switch sides and keep her feet elevated. She testified she cannot sleep on her back due to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Aarts-Chinyanta stopped attending the CHANGEpain clinic in 2016 but saw Dr. Vestor at a pain clinic in Vernon. He also did some needling and IMS. Then he discontinued seeing her because he said there was nothing he could do to help her. She subsequently attended a pain clinic in Kelowna where they tried prolotherapy again. Although it made a temporary difference, her pain came back with force. It was "not the right fix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end of 2015 Ms. Aarts-Chinyanta began seeing Kimberly, a physiotherapist. Kim was more hands-on than Ms. Jones. She helped her do movements and exercises. She did acupuncture at the end of the treatments. Ms. Aarts-Chinyanta experienced some benefit to her shoulder and arm area as well as the left side of her neck. Then her improvement "flat lined".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Current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Aarts-Chinyanta testified she continues to struggle with right side face pain which increases when she has migraines. Her migraines were described as "intense pain" and are often accompanied by nausea and dizziness. She has pain in the right side of her neck and her right arm. She has pain in her right foot and calf, but only at the end of the day. Her headaches have continued and she has pain in the whole back of her head and her right eye. She testified she is "not a minute without headaches." She continues to get migraines three to four times per week. She suffers from sensitivity to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Aarts-Chinyanta testified her hand is now tender but it is no longer painful. She says her grip is not good but she has healed from her surgery. She clarified in re-examination that her hand issues are from the accident, not her previous hand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Aarts-Chinyanta testified she continues to have sleep issues. She agreed in cross-examination that she had trouble sleeping prior to the first accident. She testified her current sleep issues are due to her head, neck,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Aarts-Chinyanta was emotional on the stand and testified she saw Dr. Steyn, a psychiatrist, because she was feeling depressed. Dr. Steyn retired so Ms. Aarts-Chinyanta saw Deb Deeter, a counsellor, again in 2015. She saw Ms. Deeter to help her adjust to her new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late 2017 or 2018, Ms. Aarts-Chinyanta stopped her various treatments because she was overwhelmed. She testified she felt she had tried everything and did not experience anything other than some temporary relief. She was both mentally and physically exhausted. She continues with her 15 to 20 minute walks and goes to the pool. Apart from taking her medications, she is not undertaking any other treatments such as massage therapy, physiotherapy, or chiropractic manipulation. She did not find these treatments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Aarts-Chinyanta testified she has always been very particular about having a clean house. Her house was spotless prior to the accidents because she was a meticulous cleaner. Today she continues to clean but has to pace herself. She mops one day and the next day will wipe down things in a section of the house. This past summer she moved from her house into a townhouse with her nephew. At the time of trial, her nephew was no longer living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For the first time Ms. Aarts-Chinyanta is living on her own. Kenzel is going to college in Lethbridge; Quinzy lives in Vernon but no longer lives in the family home. He does help her out with groceries and other chores. She tries to see him for lunch at least once per week and he testified that she often drops into his store when she is downtown. She continues to drive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Aarts-Chinyanta testified that her social engagement is poor. She used to be very socially active but now has to cancel many plans. She has lost friends as a result of her current condition. She has gained over 50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other lay witnesses testified that Ms. Aarts-Chinyanta is not the same person as she was prior to the accidents. They testified she has gained a lot of weight. They testified that Ms. Aarts-Chinyanta is more reserved than she was prior to the accidents and she cannot tolerate large crowds. Her family members testified that she no longer attends all the family gatherings like she did prior to the accidents. Ms. Aarts-Chinyanta finds them to be too much for her and she cannot handle the noise. She needs to rest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Aarts-Chinyanta's sons and nephew acknowledged that she still cooks but they testified that her meals are not as elaborate as they used to be. She also continues to walk the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Scheeler testified that she no longer does any activities with Ms. Aarts-Chinyanta. They go for coffee but if someone walks by with perfume Ms. Aarts-Chinyanta reacts. If they meet at Ms. Scheeler's home she has to close the drapes. Ms. Aarts-Chinyanta is no longer outgoing. She is shy, closed off, and wants to hide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Aarts-Chinyanta visited Ms. Tom, a friend, in Calgary this year on her way to Lethbridge. Ms. Aarts-Chinyanta did not call her the day they were supposed to meet which was unlike her. Apparently she had a massive migraine because the drive was too much for her. Ms. Tom testified that when she did see Ms. Aarts-Chinyanta she had no energy. She looked tired and defeated.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Aarts-Chinyanta takes a number of medications each day. As plaintiff counsel outlined in final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continues to take a host of medications on a daily basis to manage her pain. She takes Topiramate for her headaches. She takes Naltrexone three times daily for pain. She has a prescription for Emtec 30 (equivalent to Tylenol #3) on an as needed basis. She takes Gabapentin for pain twice daily (300 mg dosage). She takes the anti-depressant Effexor. She also utilizes two cream compounds for topical application: Diclofenac and a Ketamine compound.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Aarts-Chinyanta has not undergone any cognitive behavioural therapy or other psychotherapy.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Aarts-Chinyanta testified if she had not been in the motor vehicle accidents she would have finished college and be working full-time in a preschool setting. She would have completed her two-year program and be making approximately $15.85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Aarts-Chinyanta testified she misses everything about her old life. She misses smiling, not wearing sunglasses, working, being outside, and having sun in her home. She said she misses her old self. She does not know who this new person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following is a summary of the evidence of the expert witnesses who testified at the trial and/or whose reports were filed as exhibits in this proceeding. I set out their evidence in a general way but leave a number of details for discussion under the issues I address. In reaching my conclusions, I have considered the totality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Michael Rocheleau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Rocheleau, a physiatrist, was called by the plaintiff. He was qualified as a physical medicine and rehabilitation expert to opine on the diagnosis, prognosis, and treatment of muscular-skeletal injury and its sequalae. He was also qualified to opine on impairment, disability, and fitness to return to work. He was not qualified to opine on anxiety, depression, sleep disturbance, and post-traumatic nausea and dizziness. His report was dated December 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Rocheleau opined that Ms. Aarts-Chinyanta sustained the following injuries from MVA #1:</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Associated Disorder II involving the neck and upper back region.</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Exacerbation of symptoms related to pre-existing right wrist fracture and surgery.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headache (cervicogenic) associated with neck pain and occipital 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Dr. Rocheleau's opinion, MVA #2 aggravated Ms. Aarts-Chinyanta's injuries from MVA #1, including her pre-existing Whiplash Associated Disorder, headaches, and neck, right shoulder, and right arm pain symptoms. In addition, he opined she developed some right lower leg and right foot symptoms from MVA #2. Dr. Rocheleau opined that MVA #3 exacerbated her previous symptoms related to her head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Rocheleau opined that primary areas of impairment relate to the plaintiff's struggles with chronic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terms of recovery, Dr. Rocheleau stated in his report that the chronic nature of the plaintiff's situation and her poor response to treatment indicate a poor prognosis. He stated that, "it is more likely than not that she will continue to have a similar pattern of complaints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his report, Dr. Rocheleau concluded the plaintiff was only suited to limited sedentary employment, and may be functionally unemployable: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Aarts-Chinyanta has the complication of trying to find suitable work which will take into account her limitations as relates to her injuries and ongoing pain. At this point, she is best suited to sedentary employment of a limited nature, likely part-time. The work should not require lifting or carrying of objects, prolonged static postures, bimanual activities of a repetitive nature, or sustained reaching above shoulder level. Probably, she will require the support of a benevolent employer in order to find a role which would fit her needs. In my opinion, the likelihood of this is poor and she may very well be functionally unemployable.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Brenda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Lau testified for the plaintiff. Dr. Lau was qualified as an expert in anaesthesiology and pain medicine, including interventional pain practices and multidimensional pain care. She was qualified to opine in the area of chronic pain, including its cause and effect on treatment options and its prognosis. Dr. Lau was also qualified to opine in the areas of functional limitations and cognitive abilities as they relate to pain. Dr. Lau is the founder and medical director of the CHANGEpain Clinic, a multidisciplinary pain clinic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Lau's July 4, 2018 assessment of Ms. Aarts-Chinyanta was consistent with Ms. Aarts-Chinyanta's subjective reports: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Mildly restricted and painful neck range of motion;</w:t>
      </w:r>
    </w:p>
    <w:p>
      <w:pPr>
        <w:numPr>
          <w:numId w:val="1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Moderately limited arm range of motion and back extension;</w:t>
      </w:r>
    </w:p>
    <w:p>
      <w:pPr>
        <w:numPr>
          <w:numId w:val="15"/>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Hyperalgesia in the right frontal area, posterior head, right neck, right periscapular area, dorsum of hands, and right buttock;</w:t>
      </w:r>
    </w:p>
    <w:p>
      <w:pPr>
        <w:numPr>
          <w:numId w:val="1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Hypoalgesia in the right arm, right palmar surface, and lateral and posterior aspects of the right lower leg; and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areas of pain on palpation mostly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Based on her assessment, review of the records and interview with the plaintiff, Dr. Lau diagnosed the plaintiff as suffering:</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onset and persistent whiplash associated disorder type II resulting in headaches, neck pain, and limited range of motion.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onset and persistent multiple myofascial pain, especially affecting the whole right side most likely due to central sensitization.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range of motion in the right arm, improved compared to previous appointments at CHANGEpain.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onset right arm pain in keeping with symptoms of right-sided functional thoracic outlet syndrome. Exacerbation of prior right wrist and hand pain.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 due to multiple factors such as myofascial pain, tension headaches and ocular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Lau opined that Ms. Aarts-Chinyanta's functional limitations were caused by MVA #1 and aggravated by MVA #2. MVA #2 caused her right foot pain. Ms. Aarts-Chinyanta's injuries were aggravated by MVA #3. She found it was difficult to discern what injuries were sustained in the accident with the deer and her fall down the stairs. Dr. Lau stated in her report that Ms. Aarts-Chinyanta's prognosis is poor.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Gordon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Robinson's expert report was relied upon by the plaintiff. The defendants did not require that he attend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Robinson is an expert in neurology with a specialty in headache disorders. He can provide opinions with respect to the cause, diagnosis, prognosis, and treatment recommendations for headache disorders and underlying conditions including soft tissue injury to the neck, shoulder, and upper back, and resulting sequalae.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Robinson noted that prior to MVA #1, the plaintiff had pain affecting her right hand. She was eventually diagnosed with a "fracture and/or degenerative changes affecting her right fifth carpometacarpal joint." She had a second surgery in May 2012. She was hoping to return to work in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Robinson stated in his report that the plaintiff sustained soft tissue injuries to her neck, shoulders, and upper back. He described her injuries as including a constant headache with "a sense of pressure affecting the right frontal, temporal and occipital regions." He opined that her headaches are "moderate at the least and frequently incapacitating." When incapacitating, Ms. Aarts-Chinyanta experiences severe pain on the right side of her head and behind her right eye. When her headaches are severe, Dr. Robinson stated that Ms. Aarts-Chinyanta develops gastrointestinal upset and stimulus 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Robinson does not believe that there has been any damage to Ms. Aarts-Chinyanta's nervous system. Dr. Robinson did not find evidence of any structural spinal disorder resulting in nerve root or spinal cord compression which would explain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MVA #2 and MVA #3 resulted in soft tissue injuries to her neck. These accidents aggravated her ongoing symptoms from MVA #1, including her headaches. Dr. Robinson accepted that Ms. Aarts-Chinyanta developed right foot discomfort after MVA #2. This improved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Robinson stated that many individuals recover within weeks or months of an accident. However there is "a substantial number that continue to have headache and neck pain years after the injury." Dr. Robinson opined that the treatment of chronic headaches related to neck trauma is usually difficult. Physical therapy has not "been found to be curative."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terms of prognosis, Dr. Robinson states that after almost seven years since the first accident, Ms. Aarts-Chinyanta continues to have a constant headache. In his opinion it is "more likely than not her posttraumatic headaches will not change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Robinson states that it is possible but not likely that Ms. Aarts-Chinyanta will have an improvement in her headaches with treatment. He would encourage Ms. Aarts-Chinyanta to maintain an active lifestyle. Regular exercise may increase her sense of well-being and help her cope with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deferring to a psychiatrist or psychologist, Dr. Robinson believes that Ms. Aarts-Chinyanta's psychological issues (anxiety and depression) are significant aggravators of her posttraumatic headache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Robinson does not believe that Ms. Aarts-Chinyanta is employable in any capacity. In his opinion it is unlikely that she will be able to return to the workforce.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Mitchell Spivak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Spivak, a psychiatrist, testified for the plaintiff. He was qualified to provide expert opinion evidence on the diagnosis, causation, treatment, and prognosis of psychiatric and mental health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Spivak stated in his report that Ms. Aarts-Chinyanta did not have diagnosed mental health issues prior to the subject motor vehicle accidents. Her contact with mental health professionals "were brief and intermittent" and related "specifically to life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his report, Dr. Spivak diagnosed the plaintiff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aftermath of the three motor vehicle accidents, Ms. Aarts-Chinyanta has gone on to develop chronic challenges with pain. ... Her pain has impacted all aspects of her life. She now experiences limitations, an overall sense of hopelessness in the face of the pain and an overall reduced scope of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times, Ms. Aarts-Chinyanta's symptoms may have reached a threshold for a major depressive disorder. She was assessed by a psychiatrist who provided this diagnosis. Potentially, her symptoms have remitted to some degree since that time, secondary to the psychotherapy she has received as well as from the medication. At present, she does not meet criteria for a diagnosis of major depression, but still evidently has significant symptoms compatible with the diagnosis, including dysphoria. Her current presentation would be more consistent with a diagnosis of an adjustment disorder with depressed mood.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Aarts-Chinyanta meets the criteria for a diagnosis of a somatic symptom disorder with predominant pain. However, this diagnosis refers to an individual who is preoccupied by their pain and it affects all aspects of their functioning. While she meets criteria for this diagnosis, I am not suggesting that her preoccupation with her pain is causing her impairment, but instead is an evident outcome of her ongoing experience and challenges. Her life has been consumed and altered by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Spivak opined the three motor vehicle accidents appear to be the cause of Ms. Aarts-Chinyanta's symptoms. Her symptoms are being driven by pain that began in the aftermath of the first accident. According to Dr. Spivak, "Given that her psychological/psychiatric symptoms correlate with her experience of pain caused by the accident, one can say that her psychiatric/psychological symptoms were precipitated by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Spivak noted the plaintiff has undertaken multiple modalities of treatment, including regular treatments at a pain clinic. Despite these interventions, the plaintiff perceives her pain as "unchanged and unremitting."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term of prognosis, Dr. Spivak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Aarts-Chinyanta's prognosis is poor. Given the chronic nature of her pain and its unremitting nature in the face of a wide range of treatments, one would expect her to have ongoing challenges with the same. Despite her best efforts to cope with her pain and maintain a normal life, she still continues to struggle with a sense of dysphoria and hopelessness as a consequence of her pain. Regretfully, this will likely continue into the future, given the limited likelihood of there being a significant change in her experience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cross-examination Dr. Spivak was shown Ms. Aarts-Chinyanta's application for government housing for people with disabilities, which suggests that Ms. Aarts-Chinyanta suffered from psychiatric issues prior to MVA #1. He testified the form was inconsistent with the clinical records. He testified that family physicians often take on the role of an advocate for their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Spivak testified Ms. Aarts-Chinyanta has an adjustment disorder after the motor vehicle accidents due to her chronic pain, unrelated to any adjustment disorder as a result of her life stressors prior to the motor vehicle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Christina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Peters, an occupational therapist, testified for the plaintiff. She was qualified to conduct functional capacity evaluations and provide future care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Peters conducted a two-day assessment of Ms. Aarts-Chinyanta. There was a full day of testing at Ms. Peters' clinic and an assessment in the plaintiff's home the following day to observe her tasks in her home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her summary, Ms. Peter found the plaintiff provided "varied effort during the Functional Capacity Evaluation completed on May 23, 2019." She demonstrated less than full effort in six areas indicating she "may be able to do more than what she demonstrated during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Peters noted that the plaintiff rated her level of pain very high and it was "not always congruent with the description of pain at that level as compared to the Functional Pain Scale despite repeated reminders of the Functional Pain Scale ratings." Ms. Peters gave the example of how the plaintiff rated her headache. She provided a 6/10 on the pain scale, which is beyond the point at which one would need to stop the activity. Ms. Peters noted Ms. Aarts-Chinyanta was able to proceed and completed the full 7 1/2 hours of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Peters also noted minimal signs of discomfort other than Ms. Aarts-Chinyanta shaking out her hands. What Ms. Peters observed was not consistent with the high level of pain Ms. Aarts-Chinyanta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Peters found that the plaintiff's neck, shoulder, and wrist range of motion had only mild limitations and they were not barriers to performing sedentary or light strength category work. She had full functional range of motion in her trunk, hips, knees, ankles, and elbows. Her strength was within functional limits for the major muscle groups that were tested. Her gait was slow but otherwise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Peters noted that Ms. Aarts-Chinyanta had a mild loss of balance while standing and performing a medium dexterity test. Ms. Peters stated that at the home visit Ms. Aarts-Chinyanta climbed up and down her stairs without a problem when she went to do the laundry. When she was advised that she would be observed climbing her stairs, her walking climbing pattern was not as smooth and fluid as it had been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Peters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best suited for seated work that still allows her the ability to change positions periodically throughout the day. However based on this evaluation, it is my opinion that Ms. Aarts-Chinyanta is not competitively employable or capable of part-time work at this time, due to her persisting headaches, light and noise sensitivity, and her persisting and intrusive neck, upper back, right arm and hand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Peters advised she had conducted an earlier Functional Capacity Evaluation on Ms. Aarts-Chinyanta, completed on February 1, 2013. She noted that Ms. Aarts-Chinyanta's status did not significantly change between 2013 and 2019.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Darren Benning, an economist, testified for the plaintiff. He was qualified to provide expert opinion evidence in the area of income multipliers and cost of future care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Benning set out income multipliers that can be applied to an income stream from today's date to age 65. The actuarial multiplier only considers the contingency for early death. The economic multiplier considers early death and negative labour market contingencies such as the plaintiff may be unemployed, work part time, work part year, or voluntarily withdraw from the work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rely on Mr. Benning's income multipliers and cost of future care calculations later in this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Joseph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Wong, a physiatrist, testified for the defendants. He was qualified to give expert opinion evidence in the areas of physical medicine and rehabilitation. Dr. Wong did not accept that Ms. Aarts-Chinyanta's right leg pain was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Wong concluded that Ms. Aarts-Chinyanta has "myofascial injury to the right side cervical spine and right side thoracic paraspinal muscles." He noted the plaintiff complained of headaches after the first accident which he believed could be "cervicogenic in origin from her neck muscle strain." He explained that cervicogenic means muscle injury to the neck muscles which causes tightness. This tightness affects the cranial nerves, causing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Wong testified that the plaintiff's psychological complaints and her severe headaches were outside his area of expertise. He would defer to the opinion of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Wong stated the following regarding the prognosis for Ms. Aarts-Chinyanta: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more than five years after the first car accident, but the physical findings continue to be abnormal. I believe these impairments of the neck and upper back are permanent in nature and she will continue to have some residual pain in the neck and upper back areas as a result of the injury.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Louis Boucher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Boucher testified as a fact witness for the defendants. He was the plaintiff's family doctor and has practised medicine in Vernon since 1997. He treated the plaintiff following all three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Boucher was taken to the plaintiff's application for government housing for people with disabilities dated February 18, 2010. He agreed it was his signature on the document. Dr. Boucher testified that he wrote down the terms anxiety and depression based on his assessment and what Ms. Aarts-Chinyanta told him at the time. He also agreed his notation "severe anxiety causing poor sleep" was based on his assessment and what Ms. Aarts-Chinyanta told him. He agreed that he prescribed Amitriptyline for depression. He did not know whether she took the medication. Dr. Boucher wrote that her hand was still painful and tender based on his assessment of Ms. Aarts-Chinyanta.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cross-examination, Dr. Boucher testified that there are assessment tools for depression and anxiety but sometimes he bases his assessment only on his discussion with his patient. In more serious cases he would refer the individual to a psychiatrist. He did refer Ms. Aarts-Chinyanta to a psychiatrist in 2014 but not when he filled out this form in 2010. In 2014 he also referred Ms. Aarts-Chinyanta to a neurologist for nerve conduction studies to determine if she suffered from compression and also to address her headaches. He also referred her to Dr. Inkpen, a physical medicine and rehabilitation doctor, and to an orthopedic surgeon for her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Manulife Group Benefits form, dated February 17, 2010, was put to Dr. Boucher during cross-examination. Dr. Boucher acknowledged that he only referred to the plaintiff's right hand impairment and did not mention anxiety or depression. He testified this was because often patients do not want their mental health issues on their forms. If he only needed to refer to physical injuries, that is all he would put on the form. He did not deny that she had anxiety and depression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On July 7, 2010, Dr. Boucher identified right hand pain as Ms. Aarts-Chinyanta's major barrier. He indicated this was temporary and indicated 6 to 12 months for Ms. Aarts-Chinyanta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re-examination, Dr. Boucher testified on October 9, 2014 he examined Ms. Aarts-Chinyanta's right foot. His examination did not reveal anything wrong with her foot. Ms. Aarts-Chinyanta could stand on her toes, there was no swelling, and she could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leading authority on credibility is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607"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Justice Dillon summarized the key elements: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612"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Sandhu v. Braich</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(1991), 61 B.C.L.R. (2d) 273</w:t>
        </w:r>
      </w:hyperlink>
      <w:r>
        <w:rPr>
          <w:rFonts w:ascii="arial" w:eastAsia="arial" w:hAnsi="arial" w:cs="arial"/>
          <w:color w:val="000000"/>
          <w:sz w:val="20"/>
          <w:lang w:val="en-US" w:eastAsia="en-US" w:bidi="ar-SA"/>
        </w:rPr>
        <w:t xml:space="preserve"> (C.A.), (adopted more recently in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Samuel</w:t>
      </w:r>
      <w:r>
        <w:rPr>
          <w:rFonts w:ascii="arial" w:eastAsia="arial" w:hAnsi="arial" w:cs="arial"/>
          <w:color w:val="000000"/>
          <w:sz w:val="20"/>
          <w:lang w:val="en-US" w:eastAsia="en-US" w:bidi="ar-SA"/>
        </w:rPr>
        <w:t>]), addressed the principles to apply when medical experts rely on the subjective complaints of a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 It is trite law - although I note that what is trite law is frequently brushed aside - that in order for an expert to give an opinion the facts upon which he gives that opinion must be proven by the person who has personal knowledge of them: see </w:t>
      </w:r>
      <w:r>
        <w:rPr>
          <w:rFonts w:ascii="arial" w:eastAsia="arial" w:hAnsi="arial" w:cs="arial"/>
          <w:i/>
          <w:color w:val="000000"/>
          <w:sz w:val="20"/>
          <w:lang w:val="en-US" w:eastAsia="en-US" w:bidi="ar-SA"/>
        </w:rPr>
        <w:t>Enge v. Trerise</w:t>
      </w:r>
      <w:r>
        <w:rPr>
          <w:rFonts w:ascii="arial" w:eastAsia="arial" w:hAnsi="arial" w:cs="arial"/>
          <w:color w:val="000000"/>
          <w:sz w:val="20"/>
          <w:lang w:val="en-US" w:eastAsia="en-US" w:bidi="ar-SA"/>
        </w:rPr>
        <w:t xml:space="preserve">, (1960), 33 W.W.R. 577, </w:t>
      </w:r>
      <w:hyperlink r:id="rId615" w:history="1">
        <w:r>
          <w:rPr>
            <w:rFonts w:ascii="arial" w:eastAsia="arial" w:hAnsi="arial" w:cs="arial"/>
            <w:i/>
            <w:color w:val="0077CC"/>
            <w:sz w:val="20"/>
            <w:u w:val="single"/>
            <w:shd w:val="clear" w:color="auto" w:fill="FFFFFF"/>
            <w:lang w:val="en-US" w:eastAsia="en-US" w:bidi="ar-SA"/>
          </w:rPr>
          <w:t>26 D.L.R. (2d) 529</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Lenoard v. British Columbia Hydro &amp; Power Authority</w:t>
      </w:r>
      <w:r>
        <w:rPr>
          <w:rFonts w:ascii="arial" w:eastAsia="arial" w:hAnsi="arial" w:cs="arial"/>
          <w:color w:val="000000"/>
          <w:sz w:val="20"/>
          <w:lang w:val="en-US" w:eastAsia="en-US" w:bidi="ar-SA"/>
        </w:rPr>
        <w:t xml:space="preserve"> (1964), 50 W.W.R. 546, </w:t>
      </w:r>
      <w:hyperlink r:id="rId616" w:history="1">
        <w:r>
          <w:rPr>
            <w:rFonts w:ascii="arial" w:eastAsia="arial" w:hAnsi="arial" w:cs="arial"/>
            <w:i/>
            <w:color w:val="0077CC"/>
            <w:sz w:val="20"/>
            <w:u w:val="single"/>
            <w:shd w:val="clear" w:color="auto" w:fill="FFFFFF"/>
            <w:lang w:val="en-US" w:eastAsia="en-US" w:bidi="ar-SA"/>
          </w:rPr>
          <w:t>49 D.L.R. (2d) 422</w:t>
        </w:r>
      </w:hyperlink>
      <w:r>
        <w:rPr>
          <w:rFonts w:ascii="arial" w:eastAsia="arial" w:hAnsi="arial" w:cs="arial"/>
          <w:color w:val="000000"/>
          <w:sz w:val="20"/>
          <w:lang w:val="en-US" w:eastAsia="en-US" w:bidi="ar-SA"/>
        </w:rPr>
        <w:t xml:space="preserve"> (Wilson, C.J.S.C.), in which that most distinguished judge said (at p. 548 [W.W.R.]):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now enter into an area in which I must consider subjective as well as objective evidence because both were placed before me without objection by counsel. All physicians must I think, rely to some extent on what their patients tell them. If, for instance, a patient had a pain in his neck and went to a doctor, mum, challenging him to find what, if anything, was the matter with him, then I think that doctor would be in almost as difficult a position as a lawyer would be if all his client told him was that he wanted to sue Tom Jones, and condescended to no further detail. When the doctor relates in court what his patient told him, he may be stating hearsay, but common sense in the courts has long ago rejected the idea that this evidence may not be heard and has accepted the idea that it should be listened to, not because it proves by itself the truth of the thing stated by the patient to the doctor, but because it defines to an extent his area of exploration and, if confirmed by the doctor's objective observations and by the patient's evidence given at the trial, may be convincing. I see no other approach to medical evidence. It is closely allied to the hypothetical question often put to other expert witnesses where the witness is asked: "Well, granting the existence of such and such facts, what is your opinion?" The doctor says he accepted some statements made by his patient as facts and formed an opinion thereon. Such an opinion, I think, is subject to criticism if the patient does not appear as a witness and corroborate the existence at the time of the symptoms alleged to have been described to the doctor. Such an opinion, in so far as it relies on the credibility of the patient, is subject to ejection by a judge or jury who, having heard the patient, do not find him credible. I do not think they are bound by the doctor's opinion as to credibility but they must pay a considerable regard to it, particularly if it is related to associated objective evidence, such, for instance, as evidence of spasm. But I do not see any reason why a judge or jury, having heard the expert and the patient, should not, in a proper case, reject the evidence of the expert on the ground that the patient is not a credible witness and that, therefore, the hypothesis on which the expert gave his opinion is not established, having, of course, the fullest regard to the expertise of the doctor and to any objective evidence he has propounded. If this were not so then judges and juries would be completely bound by the opinions of experts as to credibility, and this cannot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To summarize, if the plaintiff's account of her physical, mental, or emotional injuries as a result of the accident(s) is not persuasive, then the hypothesis upon which the expert opinions rest will be undermined: </w:t>
      </w:r>
      <w:r>
        <w:rPr>
          <w:rFonts w:ascii="arial" w:eastAsia="arial" w:hAnsi="arial" w:cs="arial"/>
          <w:i/>
          <w:color w:val="000000"/>
          <w:sz w:val="20"/>
          <w:lang w:val="en-US" w:eastAsia="en-US" w:bidi="ar-SA"/>
        </w:rPr>
        <w:t>Samuel</w:t>
      </w:r>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am applying the principles from the above cases when assessing the plaintiff's evidence, as well as the lay and the expert opinion evidence tendered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medical experts relied largely, although not exclusively, on Ms. Aarts-Chinyanta's subjective pain complaints. As candidly stated by Dr. Robinson: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their nature the symptoms of headache and neck pain are subjective. There are no objective measures such as a blood test or image that can document the presence, absence or magnitude of these complaints. However, this is almost universally true in patients with chronic headache disorders. The assessment of the headaches which includes diagnosis and impact can only be determined by self-report.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Aarts-Chinyanta's credibility is therefore an important consideration in the evaluation of the nature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While I have no doubt Ms. Aarts-Chinyanta has suffered since the three motor vehicle accidents, I have some concerns with her credibility. The following are some examples: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Medications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Aarts-Chinyanta was questioned regarding the medications she took for depression and anxiety prior to MVA #1. She testified she filled the prescriptions but denied taking the medication. In cross-examination she was taken to her examination for discovery, conducted on March 22, 2018. At discovery she was asked: "but there were periods of time when you were on medication for anxiety and depression as early as 2010. Would you agree with that?" Ms. Aarts-Chinyanta replied: "Yes." She also testified at her examination for discovery that she tried the medication but she did not feel any different with it. She testified, "it just made me feel like I was weak."</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these statements were put to Ms. Aarts-Chinyanta in cross-examination, she testified that she was only referring to medication for pain. There was no such qualification at her examination for discovery.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Other Accidents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Aarts-Chinyanta slipped on her stairs between MVA #2 and MVA #3. She testified she felt sore that day but after that it was better. I question how she could tell it was better since she testified she is always in a lot of pain.</w:t>
      </w:r>
    </w:p>
    <w:p>
      <w:pPr>
        <w:numPr>
          <w:numId w:val="2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Aarts-Chinyanta hit a deer in the summer of 2014. Her vehicle was written off yet she was unable to identify any injury as a result of this accident.</w:t>
      </w:r>
    </w:p>
    <w:p>
      <w:pPr>
        <w:numPr>
          <w:numId w:val="27"/>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but curious that her non-tortious accidents caused no injuries. This is in marked contrast to the three subject motor vehicle accidents.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Sunglasses</w:t>
      </w:r>
    </w:p>
    <w:p>
      <w:pPr>
        <w:numPr>
          <w:numId w:val="28"/>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Peters conducted a two day assessment of Ms. Aarts-Chinyanta. The first day the plaintiff was assessed at Ms. Peters' clinic and the second day was in Ms. Aarts-Chinyanta's home. Ms. Peters noted the plaintiff wore her sunglasses at the clinic but not in her home. Ms. Peters testified that she did not notice any difference in the lighting between the two settings. In testimony Ms. Aarts-Chinyanta denied that there was no difference between the lighting in the two settings. She testified that in her townhouse she uses curtains and has a tint on the windows.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photograph with her cousin was put to Ms. Aarts-Chinyanta in cross-examination. It is a relatively recent photo taken in Castlegar. Although it is bright out she is not wearing sunglasses. Ms. Aarts-Chinyanta explained that her sunglasses were in her hand because she hates having every photo with her sunglasses on. However, earlier she testified that light causes a sharp pain in her eye. This would be followed by pressure, and then she would get a stabbing pain in her eyeball. She wears polarized sunglasses to prevent that from happening. I query whether one photo would be worth this pain.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Exaggerated Testimony</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Aarts-Chinyanta testified that pre-accident her whole life centred around sports. Although I accept she was active, there was no evidence to establish that her whole life centred around sports.</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Peters found Ms. Aarts-Chinyanta exaggerated her pain levels throughout her testing and exhibited varied effort and at times less than full effort.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Aarts-Chinyanta testified that she was "100% going to return to school" for early childhood education. However when questioned during her examination for discovery, she stated that she anticipated going back to school in some capacity but that it would depend on how her return to work went. She also agreed that it would depend on what was going on in her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addition to these inconsistencies, in 2010 Dr. Boucher, on behalf of Ms. Aarts-Chinyanta, applied for government housing for people with disabilities. On the form he stated that Ms. Aarts-Chinyanta had severe anxiety causing poor sleep, she was unable to concentrate and be productive, she was having problems with her memory, and she suffered from depression. He testified he based these comments on what Ms. Aarts-Chinyanta told him, as well as his assessment of her at that time. Ms. Aarts-Chinyanta denied being depressed, being unable to concentrate or be productive, and having problems with her memory at that time. While she agreed she was having a tough time, she was anxious and having an "emotional disturbance", she denied she suffered from depression or anxiety in 2010. She also denied taking medications for depression or anxiety prior to MVA #1 despite her testimony at 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have no doubt that Ms. Aarts-Chinyanta has been significantly affected by the motor vehicle accidents. However, I find she exaggerated her symptoms from these accidents while downplaying her symptoms from the two non-tortious accidents. Moreover, I find Ms. Aarts-Chinyanta exaggerated her activity level prior to MVA #1. As the defendants pointed out, she was experiencing significant difficulties in her life prior to this accident. While she was active in her early twenties, her daily living activities in the years before the first accident were affected by her life circumstances. Her significant difficulties with her right hand caused her to be off work. She also had a very ill son who needed to be homeschooled and a husband who was unfaithful. She eventually separated from her husband. These were challenging circumstances for Ms. Aarts-Chinyanta and affected her previously active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Aarts-Chinyanta's exaggerations may be partially explained by the fact that she perceives her injuries as more serious than they are. However, this does not explain her downplaying of the two non-tortious accidents or her denial of taking medications for depression prior to MVA #1. It does not explain Ms. Aarts-Chinyanta's varied or less than full effort during her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must take these concerns into consideration when determining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law of causation is well established. Before assessing damages, the "plaintiff must establish a causal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plaintiff's] pain":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The plaintiff bears the onus of proving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her current symptoms: </w:t>
      </w:r>
      <w:r>
        <w:rPr>
          <w:rFonts w:ascii="arial" w:eastAsia="arial" w:hAnsi="arial" w:cs="arial"/>
          <w:i/>
          <w:color w:val="000000"/>
          <w:sz w:val="20"/>
          <w:lang w:val="en-US" w:eastAsia="en-US" w:bidi="ar-SA"/>
        </w:rPr>
        <w:t>Warkentin v. Riggs</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BCSC 1706</w:t>
        </w:r>
      </w:hyperlink>
      <w:r>
        <w:rPr>
          <w:rFonts w:ascii="arial" w:eastAsia="arial" w:hAnsi="arial" w:cs="arial"/>
          <w:color w:val="000000"/>
          <w:sz w:val="20"/>
          <w:lang w:val="en-US" w:eastAsia="en-US" w:bidi="ar-SA"/>
        </w:rPr>
        <w:t xml:space="preserve"> at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generally accepted test for causation is the "but for" test: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Causation is found if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the seminal decision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324, the Supreme Court of Canada set out the test for causation, the hallmark of which is "a robust and pragmatic approach to the facts to enable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drawn even though medical or scientific expertise cannot arrive at a definitive conclusion." The causation test does not demand scientific precision and should not be applied too rigidly. While proof of causation will often require expert evidence, common sense applies: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plaintiff must establish a substantial connection between the tortious conduct and the injury: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 11. However, a robust and pragmatic approach to the "but for" test allows for there to be more than one cause of an injury. Where there is more than one cause of an injury, resulting in an indivisible injury, each tortfeasor is jointly and severally liable for the full loss,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w:t>
      </w:r>
      <w:r>
        <w:rPr>
          <w:rFonts w:ascii="arial" w:eastAsia="arial" w:hAnsi="arial" w:cs="arial"/>
          <w:i/>
          <w:color w:val="000000"/>
          <w:sz w:val="20"/>
          <w:lang w:val="en-US" w:eastAsia="en-US" w:bidi="ar-SA"/>
        </w:rPr>
        <w:t>Bradley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Groves</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paras. 21 and 24, leave to appeal ref'd </w:t>
      </w:r>
      <w:hyperlink r:id="rId625" w:history="1">
        <w:r>
          <w:rPr>
            <w:rFonts w:ascii="arial" w:eastAsia="arial" w:hAnsi="arial" w:cs="arial"/>
            <w:i/>
            <w:color w:val="0077CC"/>
            <w:sz w:val="20"/>
            <w:u w:val="single"/>
            <w:shd w:val="clear" w:color="auto" w:fill="FFFFFF"/>
            <w:lang w:val="en-US" w:eastAsia="en-US" w:bidi="ar-SA"/>
          </w:rPr>
          <w:t>[2010] S.C.C.A. No. 337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 xml:space="preserve"> at paras. 30-35.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Justice Lambert made the following comments regarding psychological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One of the most important principles, for the purposes of this case, is the principle that, for the purposes of assessing damages, a tortfeasor must take the person injured by the tort in the actual condition of that person at that time. This has been called the "thin skull" principle. In its application to psychological problems it has been called the "egg shell personality" application of the principle. In my opinion there is no basis for giving a more restrictive application to this principle in cases where psychological injuries are suffered than would be given in cases where only physical injuries are suffered. </w:t>
      </w:r>
      <w:r>
        <w:rPr>
          <w:rFonts w:ascii="arial" w:eastAsia="arial" w:hAnsi="arial" w:cs="arial"/>
          <w:color w:val="000000"/>
          <w:sz w:val="20"/>
          <w:u w:val="single"/>
          <w:lang w:val="en-US" w:eastAsia="en-US" w:bidi="ar-SA"/>
        </w:rPr>
        <w:t>A predisposition to suffer psychological injury in circumstances such as those brought about in a particular case by a defendant's wrongful act does not relieve the defendant of the liability to compensate the plaintiff for the injuries represented by those psychological symptoms. Such relief could only occur, as I have said, if the psychological symptoms would have occurred in any event, even without the defendant's wrongful act, through an application of the cause-in-fact test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summary, the law does not draw a distinction between physical and psychological injuries, provided that the psychological injuries are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When determining causation in this case, I must consider the thin and crumbling skull doctrines. As stated above, the thin skull doctrine requires tortfeasors to take their victims as they find them. If the plaintiff has a "predisposition to suffer psychological injury" so that the plaintiff's injury is unexpectedly severe, the defendant remains liable under the thin skull doctrine: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Supreme Court of Canada discussed the need to take a pre-existing condition of the plaintiff into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Latent and pre-existing conditions must therefore be taken into account when assessing damages. The plaintiff is to be put back to their original position: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held that if the evidence demonstrates a "measurable risk" or a "realistic chance" that the plaintiff's pre-existing condition would have resulted in a loss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damages should be reduced. In other words, the defendant need not prove, on a balance of probabilities, the plaintiff's pre-existing condition would have caused a loss. The contingency that a loss would occur should be given weight according to its relative likelihood: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accept that MVA #1 resulted in soft tissue injuries to Ms. Aarts-Chinyanta's upper back, neck, and right arm. She reinjured her right hand which was recovering from what appeared to be a successful surgery. She also began to suffer from headaches and increased sleep disturbances.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Robinson opined that Ms. Aarts-Chinyanta's history and examination is consistent with "a diagnosis of persistent posttraumatic headache related to soft tissue injuries sustained in the first motor vehicle accident." Dr. Robinson explained that headaches are a common symptom following soft tissue injury to the neck. Ms. Aarts-Chinyanta's head pain may be migraines or tension type headaches. A migraine is characterized by a throbbing discomfort which may be one-sided.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Attacks are of moderate to severe intensity and may be associated with gastrointestinal upset and sensitivity to light and sound. Tension type headache is a generalized dull non-throbbing discomfort without associated features. The intensity is mild to moderate without incapacitating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According to Dr. Robinson, research suggests there are "complex psychobiological factors" surrounding such injuries. These may be responsible for "changes in the neurological processing of sensory impulses within the pain system", resulting in pain in peripheral structures that do not have permanent tissue injury. In other words, chronic pain can lead to psychological issues. I find this is consistent with Ms. Aarts-Chinyanta's circumstances. As a result of her physical pain and headaches, she also began to experience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MVA #2 aggravated the injuries from MVA #1. Ms. Aarts-Chinyanta also injured her right shoulder and right foot in this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MVA #3 aggravated Ms. Aarts-Chinyanta's pre-existing injuries from the first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Today Ms. Aarts-Chinyanta's most significant injuries are headaches, including migraines, light and noise sensitivity, and poor sleep. She also suffers from anxiety and depression as a result of her chronic pain. She likely suffers from somatic symptom disorder, a preoccupation with pain. Ms. Aarts-Chinyanta's chronic pain is caused by the accidents yet none of her injuries alone explain her current level of disability. Her self-perception of her pain, caused by her psychological issues, impairs her functionality to a greater degree than her physical injuries would otherwise suggest. This was explained by both Dr. Robinson and Dr. Spivak.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problem is Ms. Aarts-Chinyanta suffered from psychological issues, including anxiety, depression, and sleep issues, prior to MVA #1. Ms. Aarts-Chinyanta did not have a predisposition to suffer psychological injuries as set out in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Rather, she already suffered from psychological injuries prior to the first accident. Two years before the first accident, Dr. Boucher filled out forms stating she suffered from anxiety and depression. He based this on what she described to him at the time. She was also prescribed medications for depression prior to the first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While the motor vehicle accidents certainly aggravated Ms. Aarts-Chinyanta's symptoms, they did not cause her psychological issues. There is a measurable risk Ms. Aarts-Chinyanta's psychological symptoms would detrimentally affect her, as they had in the past, even without the defendants'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Aarts-Chinyanta also had a pre-existing hand injury. Although she had successful hand surgery just prior to the first accident, there was a measurable risk that her right hand would continue to interfere with her function into the future without the accidents. Although she testified her hand had completely healed prior to the first accident, she could not know this with any certainty because she was still recovering. Dr. Rocheleau opined he was unable to determine "how much of her current impairment related to her right wrist is as a result of the previous injuries and surgeries which existed prior to the motor vehicle accident of July, 2012." However, in his opinion, the first accident did result in some additional damage to Ms. Aarts-Chinyanta's right hand, compromising her ability to 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that Ms. Aarts-Chinyanta had pre-existing right hand impairment and psychological injuries prior to the first motor vehicle accident. Prior to the motor vehicle accidents, life handed Ms. Aarts-Chinyanta challenges that most individuals do not encounter, at least in such rapid succession. It is not surprising she developed psychological issues such as anxiety and depression prior to the motor vehicle accidents. However, as much empathy as I have for Ms. Aarts-Chinyanta, I do not accept the defendants alone caused her psychological conditions or her right hand injury. Rather, they significantly aggravated her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A fundamental principle of tort law is, to the extent a monetary award can accomplish it, a plaintiff should be placed in the same position they would have been in had the accident not occurred. The plaintiff should not be placed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defendants accept Ms. Aarts-Chinyanta suffers neck, upper back, and shoulder pain. They accept the accidents aggravated her pre-existing hand injury and that since the accidents she suffers from severe chronic headaches. However the defendants dispute the severity of her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accept Ms. Aarts-Chinyanta has psychological symptoms, including sleep disturbances and possibly somatic symptom disorder. However, the defendants take the position that the plaintiff suffers from pre-existing conditions which should affect the amount of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agree Ms. Aarts-Chinyanta suffered from pre-existing psychological issues even if they had resolved in the year prior to the first accident. No evidence was called in this regard. Based on the evidence, there is a measurable risk that Ms. Aarts-Chinyanta would have suffered from psychological issues in the future without the accidents. The thin skull principle therefore does not apply. Instead, I must apply the crumbling skull doctrine and reduce the overall damage award. Ms. Aarts-Chinyanta is only to be returned to her position but for the accidents, not to a superior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contingencies that Ms. Aarts-Chinyanta would suffer from mental health issues in the future, and her continued pain and dysfunction in her right hand, must be given weight according to their relative likelihood: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48. The goal is to put Ms. Aarts-Chinyanta in the position she would have been in if the accidents had not occurred. Therefore, Ms. Aarts-Chinyanta's award should be reduced by 15% for her pre-existing psychological conditions and 5% for her pre-existing hand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632"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Non-pecuniary damages must be fair to all parties; fairness is measured against awards made in comparable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common factors that influence an award of non-pecuniary damages include:</w:t>
      </w:r>
      <w:r>
        <w:rPr>
          <w:rFonts w:ascii="arial" w:eastAsia="arial" w:hAnsi="arial" w:cs="arial"/>
          <w:sz w:val="20"/>
          <w:lang w:val="en-US" w:eastAsia="en-US" w:bidi="ar-SA"/>
        </w:rPr>
        <w:cr/>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Justice Dickson (as he then was) stated that an award for non-pecuniary damages does not depend only on the seriousness of the injury, it also depends on the seriousness of the individual's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at p. 284 of S.C.R.).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determining non-pecuniary damages I have considered cases where a plaintiff suffers from chronic soft tissue injuries resulting in psychological injuries. I have paid particular attention to </w:t>
      </w:r>
      <w:r>
        <w:rPr>
          <w:rFonts w:ascii="arial" w:eastAsia="arial" w:hAnsi="arial" w:cs="arial"/>
          <w:i/>
          <w:color w:val="000000"/>
          <w:sz w:val="20"/>
          <w:lang w:val="en-US" w:eastAsia="en-US" w:bidi="ar-SA"/>
        </w:rPr>
        <w:t>Ahadi v. Valdez</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2013 BCSC 714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Kristiansen v. Grewal</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2014 BCSC 623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Aarts-Chinyanta was a relatively active young woman prior to the motor vehicle accidents. She was a dedicated mother who did many activities with her children. She attended all their soccer games and hiked with them on weekends. She loved to cook the family meals. She enjoyed visiting with friends and family. Ms. Aarts-Chinyanta held a number of full-time jobs, most recently at Walmart as an inventory assistant on the night shift. This allowed her to be with her children before and after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Despite these positive aspects of her life, Ms. Aarts-Chinyanta suffered financial difficulties as a result of a hand injury prior to MVA #1. She could not work after her first hand surgery in 2009. She also needed to care for her young son who was very ill in the years prior to the first accident, eventually homeschooling him. Ms. Aarts-Chinyanta became less active in the years leading up to the accidents due to these circumstances. She suffered from some anxiety and depression, likely as a result of her economic circumstances, the pressure to provide for her family, the stress of having an ill child, and her separation from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Aarts-Chinyanta suffered soft tissue injuries in the motor vehicle accidents but today her most significant physical injuries are headaches, including migraines, and light and noise sensitivity. Ms. Aarts-Chinyanta also began to have psychological problems due to her chronic physical injuries. She is now largely confined to her own house because noise and light negatively affect her and she has constant headaches. She cancels plans regularly; Ms. Aarts-Chinyanta's social life is a shell of what it was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Today Ms. Aarts-Chinyanta is on a number of medications, has gained weight, and does little in the way of physical fitness. Her cousin described her as "very mono-tone". The accidents have significantly affected her life. Today her prognosis is bleak. Virtually all of the witnesses, including the experts, are of the opinion that she is functionally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Based on the above, I find that Ms. Aarts-Chinyanta is entitled to nonpecuniary damages of $165,000, reduced for her pre-existing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legal principles with respect to loss of income were helpfully explained by Justice Goepel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governing authority in this Court is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this Court, after an extensive review of the authorities, rejected the proposition that a claim for past loss of opportunity had to be established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Rowles J.A. then went on to discuss the assessment of damages. She noted that the same test applies regardless of whether you are assessing past or future loss of earning capacity. In both situations the judge is considering hypothetical events. She reasoned: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assessment of damages is not simply a mathematical calculation. It is the loss of capacity to earn income that is compensable, the "damage to the asset":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That said, economic and statistical data can be helpful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There is no real debate that Ms. Aarts-Chinyanta has suffered a loss of past earning capacity. The defendants accept this. As they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Plaintiff's past loss of income, the Defendants submit an appropriate award taking into consideration the Plaintiff's pre - injuries and impairments arises from her employment working as a Walmart Greeter earning $11.20 per hour and working 15 hours per week. Accordingly, the Defendants' calculate the Plaintiff's net past loss of income to be $53,550 from the date of the first accident to the date of trial at an income tax rate of 15%.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problem with the defendants' analysis is they are calculating Ms. Aarts-Chinyanta's past wages based on her income when her hand was preventing her from working full-time in the inventory department. I accept that just prior to the first accident Ms. Aarts-Chinyanta had what appeared to be a successful surgery on her hand and was on her way to recovery. I have acknowledged her hand may have continued to cause her problems in the future and have reduced her overall award for this contingency. However, I do not accept it would have forced her to continue to work part-time as greeter at Walmart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largely accept the plaintiff's analysis regarding past loss of earning capacity. It assumes that but for MVA #1 Ms. Aarts-Chinyanta would have resumed work in the fall of 2012, after she healed from her second hand surgery. I accept the following submission from her counsel:</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her hand surgery, she intended on returning to work in late August or early September 2012. It is accepted that she may have required a graduated return or modified duties as a greeter for a period. Assuming the plaintiff returned for a two-month graduated return, the loss for this period can be calculated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Sept 1, 2012 - Nov 1, 2012 = 2 months at $1,180.00</w:t>
      </w:r>
      <w:bookmarkStart w:id="345"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345"/>
      <w:r>
        <w:rPr>
          <w:rFonts w:ascii="arial" w:eastAsia="arial" w:hAnsi="arial" w:cs="arial"/>
          <w:color w:val="000000"/>
          <w:sz w:val="20"/>
          <w:lang w:val="en-US" w:eastAsia="en-US" w:bidi="ar-SA"/>
        </w:rPr>
        <w:t xml:space="preserve"> = $2,360.00.</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submits that, absent the first accident, by November 1, 2012, she would have been able to return to work fulltime in her inventory position with Walmart...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she worked full time at any job [without an Early Childhood Development Diploma], her past wage loss could be calculated as follows based on minimum wage earnings</w:t>
      </w:r>
      <w:bookmarkStart w:id="346"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346"/>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$12/hr = $2,000.00 month x 86 months (from Sept. 1, 2012) = $172,000.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 calculated Ms. Aarts-Chinyanta's past loss of earning capacity to be $172,000 but this calculated the loss from September 1, 2012 when Ms. Aarts-Chinyanta would have been on her graduated return to work. I have therefore reduced this calculation by two months: $12/hr = $2,000.00 month x 84 months (from Nov. 1, 2012 to date of trial) = $168,000.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calculate the total past wage loss between the date of the accident and the date of the trial to be approximately $170,000, reduced due to Ms. Aarts-Chinyanta's pre-existing injuries. I leave it to the parties to make the appropriate adjustments to reach the net figure.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Damages for loss of earning capacity are characterized as compensation for a pecuniary loss: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The object of an award is to restore the plaintiff to the position they would have been in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643"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determining a claim for loss of future earning capacity, the court must consider two questions. First, has the plaintiff's earning capacity been impaired by his or her injuries? To answer this question in the affirmative, there must be sufficient evidence that there is a real and substantial possibility of future income loss. If so, second, what compensation should be awarded for the resulting financial harm that will accrue over time?: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153. As stated in </w:t>
      </w:r>
      <w:r>
        <w:rPr>
          <w:rFonts w:ascii="arial" w:eastAsia="arial" w:hAnsi="arial" w:cs="arial"/>
          <w:i/>
          <w:color w:val="000000"/>
          <w:sz w:val="20"/>
          <w:lang w:val="en-US" w:eastAsia="en-US" w:bidi="ar-SA"/>
        </w:rPr>
        <w:t>J.J. v. Barton</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2017 BCSC 1196</w:t>
        </w:r>
      </w:hyperlink>
      <w:r>
        <w:rPr>
          <w:rFonts w:ascii="arial" w:eastAsia="arial" w:hAnsi="arial" w:cs="arial"/>
          <w:color w:val="000000"/>
          <w:sz w:val="20"/>
          <w:lang w:val="en-US" w:eastAsia="en-US" w:bidi="ar-SA"/>
        </w:rPr>
        <w:t xml:space="preserve"> at para. 57, "[t]he plaintiff is required to prove a real and substantial possibility of a future event resulting in a loss in order to recover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Like past earning capacity, 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Court of Appeal explained that there are two possible approaches to assess loss of future earning capacity: the "earnings approach", as applied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the "capital asset approach", as applied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 Both approaches are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133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Justice Voith summarized the applicable legal principles to consider when applying the earnings approach:</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earnings approach is more useful when the loss is more easily measurable. The capital asset approach is more useful when the loss is not as easily measurable. Either way, the plaintiff must prove that there is a real and substantial possibility of future events leading to an income loss: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xml:space="preserve"> at para. 133;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If the quantification of the loss is to be proven on the capital asset approach, the well-known factors identified in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 xml:space="preserve"> at 356 are considered:</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assessment of loss of future earning capacity must be based on the totality of the evidence and take into account both positive and negative contingencies: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33.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at 15 (Ont.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question before me is whether or not there is a "real and substantial possibility of a future event leading to an income loss" for Ms. Aarts-Chinyanta: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 I must consider Ms. Aarts-Chinyanta's pre-accident earning capacity and what diminution, if any, has she suffered in that capacity. I must also consider what future events or contingencies may impair her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find Ms. Aarts-Chinyanta has suffered a loss of future earning capacity as a result of the injuries she sustained in the accidents. As a result of her injuries there is a real and substantial possibility, in fact a near certainty, she will suffer an associated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defendants acknowledge that Ms. Aarts-Chinyanta is injured, affecting her earning capacity, but argue that she has exaggerated her pain and injuries. They take the position Ms. Aarts-Chinyanta has residual earning capacity. As the defendants put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concede that the Plaintiff has suffered a loss of income, past and prospective, but maintain that the Plaintiff has the capacity to return to her position prior to the first accident as a Walmart greeter for 15 hours a week. Furthermore, it is the Defendants' position that with additional treatment as recommend by the Plaintiff's experts, it is a real and substantial possibility and not mere speculation the Plaintiff's residual earning capacity will improve in the future.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have problems with this analysis. I do not accept that Ms. Aarts-Chinyanta is capable of working, even as a greeter at Walmart. Based on the medical reports, I do not accept that Ms. Aarts-Chinyanta has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Drs. Lau, Robinson, and Rocheleau all opined that her headaches and sequalae mean Ms. Aarts-Chinyanta is functionally unemployable. They opined her prognosis is poor. They also opined her condition is not likely to improve with the passage of time. While I have found Ms. Aarts-Chinyanta exaggerates her pain, this is partially due to her psychological issues. I therefore do not find there is a real and substantial possibility that Ms. Aarts-Chinyanta will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Although Ms. Aarts-Chinyanta testified she always planned to return to school to obtain her early childhood education certificate, she never applied to college after her first attempt when she was very young. There were too many other issues in her life preventing her from pursuing higher education. She testified in 2012, when her hand was recovering from the successful surgery, she did not enrol in any college courses because she first had to return to work to pay for school. She testified at her examination for discovery that returning to school would depend on what was going on in her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do not accept Ms. Aarts-Chinyanta would have gone back to college but for the accidents. In almost twenty years, she did not pursue any post-secondary education. She had many challenges and there is not enough evidence before me to conclude that there is a "realistic as opposed to a speculative possibility" that she would have pursued a diploma in Early Childhood Education. I agree with the defendants, there must be more than some vague plan to establish there is a realistic possibility she would have gone back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That said, the evidence established that Ms. Aarts-Chinyanta had a history of working full-time and she had a good work ethic. There is nothing to suggest she would not have continued to work full-time into the future, but for the accidents. She likely would have had some time off work due to the pre-existing injuries but I assume these absences would have been sporadic.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Aarts-Chinyanta's loss is not easily measured. Ms. Aarts-Chinyanta established that she worked full-time in the years prior to the motor vehicle accidents. Ms. Aarts-Chinyanta has established she will suffer a loss of future earning capacity. The trickier question is whether there is a real and substantial possibility, beyond mere speculation, that Ms. Aarts-Chinyanta will earn beyond entry-level wages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Aarts-Chinyanta's earning history prior to MVA #1 was based on a number of short-term positions and one longer position with Walmart where she earned just above minimum wage. She has no post-secondary training, diploma, or degree. I have found she has not established she would have attended college to obtain her Early Childhood Education diploma. In these circumstances, I find that the evidence has not established a real and substantial possibility Ms. Aarts-Chinyanta would earn above entry-level positions in the future. Her damage award must reflect this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Relying on Mr. Benning's calculations, and assuming she would make $20 per hour in the future, the plaintiff argues that Ms. Aarts-Chinyanta is entitled to $500,000 for loss of future earning capacity. The defendants take the position that Ms. Aarts-Chinyanta is entitled to a much lower amount based on her residual earning capacity. Again, I do not accept that Ms. Aarts-Chinyanta has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assume Ms. Aarts-Chinyanta would make approximately $18.00 per hour after a few years at a lower hourly rate. Assuming she works 50 weeks per year, until age 65, and considering Mr. Benning's economic multiplier (which takes into account the contingencies of unemployment, part-time and part-year work, and voluntary withdrawal from the workforce), I find Ms. Aarts-Chinyanta is entitled to $480,000 for loss of future earning capacity to age 65. This award is to be reduced due to Ms. Aarts-Chinyanta's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Aarts-Chinyanta testified she received TTD benefits from ICBC of $623 per month. She may also have received other benefits. I leave it to the parties to adjust the award to reflect any income benefits she may have received that by law should be subtracted from her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Court of Appeal addressed loss of housekeeping capacity. The court discussed the difference between a pecuniary award for loss of housekeeping capacity and the inclusion of damages as part of general award for non-pecuniary damages. The court's conclusion is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Ms. Aarts-Chinyanta testified she continues to do her own housekeeping although she has to pace herself. Based on the above principles, Ms. Aarts-Chinyanta's loss of housekeeping capacity is appropriately dealt with in the non-pecuniary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A plaintiff is entitled to compensation for costs of future care for the harm caused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law with respect to the appropriate approach to be taken in assessing future care costs is set out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costs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Future care items must be medically necessary. There must be an evidentiary link between the medical experts' assessment of disability and the recommended care: </w:t>
      </w:r>
      <w:r>
        <w:rPr>
          <w:rFonts w:ascii="arial" w:eastAsia="arial" w:hAnsi="arial" w:cs="arial"/>
          <w:i/>
          <w:color w:val="000000"/>
          <w:sz w:val="20"/>
          <w:lang w:val="en-US" w:eastAsia="en-US" w:bidi="ar-SA"/>
        </w:rPr>
        <w:t>Paur v. Providence Health Care</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2017 BCCA 161</w:t>
        </w:r>
      </w:hyperlink>
      <w:r>
        <w:rPr>
          <w:rFonts w:ascii="arial" w:eastAsia="arial" w:hAnsi="arial" w:cs="arial"/>
          <w:color w:val="000000"/>
          <w:sz w:val="20"/>
          <w:lang w:val="en-US" w:eastAsia="en-US" w:bidi="ar-SA"/>
        </w:rPr>
        <w:t xml:space="preserve"> at para.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Rocheleau opined he would encourage Ms. Aarts-Chinyanta to become involved in self-directed exercise with some community-based strategies such as yoga, pool exercises, and gentle aerobic conditioning (stationary bicycle, treadmill, elliptical trainer, etc.). In his opinion, additional counselling and treatment for her difficulties with anxiety, depression, and pain will likely be necessary to support maximal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Spivak stated in his report that Ms. Aarts-Chinyanta benefited somewhat from psychotherapy and he suggested she restart it. At minimum, it would help her cope more effectively with her chronic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Robinson does not believe that any further investigations will be helpful. He noted that CT imaging of Ms. Aarts-Chinyanta's head and neck have been unremarkable. He assumes that MR imaging of her brain or cervical spine would be normal. I repeat part of what he opined regarding treatments:</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but not likely that triptan medications would be helpful in better controlling her more severe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had trials of a number of medications including sertraline, nortriptyline, gabapentin, topiramate, cyclobenzaprine, venlafaxine and dantrolene. None of these medications appear to have given her any substantial headache relief.</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had occipital nerve and medial branch blocking on the right side of her neck on at least two occasions without any decrease in headache or neck pain. Although I would defer to a pain management specialist, I doubt that there are any other interventional modalities that would be helpful to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the Botox would be a reasonable consideration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Ms. Peters recommended occupational therapy services, Botox treatment, a kinesiology program to update her exercise program, psychological counselling, and an assessment for medical cannabis.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Ms. Peters made a number of other recommendations, some of which have already been implemented and some of which I do not accept. For example, Ms. Peters recommended home support services such as weekly housecleaning costs. I have already found that Ms. Aarts-Chinyanta can clean her own home. Ms. Peters also recommended the costs of six flights from Vernon to Lethbridge to visit her youngest son while he is in college. The evidence did not establish Ms. Aarts-Chinyanta would have travelled to Lethbridge six times but for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Lau recommended the following:</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simplification;</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MRI of the right shoulder to rule out pathology;</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biomarker testing;</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reduction of vitamins but probiotics for gastrointestinal health;</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 or cease taking naltrexone;</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intravenous lidocaine infusions;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subcutaneous lidocaine infusions;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intravenous ketamine infusions.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find that many of the recommended treatments have been tried, unsuccessfully, by Ms. Aarts-Chinyanta. She does not want to try some treatments such as medical cannabis.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As stated by Justice Silverman in </w:t>
      </w:r>
      <w:r>
        <w:rPr>
          <w:rFonts w:ascii="arial" w:eastAsia="arial" w:hAnsi="arial" w:cs="arial"/>
          <w:i/>
          <w:color w:val="000000"/>
          <w:sz w:val="20"/>
          <w:lang w:val="en-US" w:eastAsia="en-US" w:bidi="ar-SA"/>
        </w:rPr>
        <w:t>Ho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Dosanjh</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2010 BCSC 845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I reject the notion that ongoing treatment that would provide the plaintiff with periodic temporary relief, but little to no additional improvement, should be something for which compensation should be paid for the rest of the plaintiff's life... [T]his loss has been considered as an aspect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Based on the above, and referring to Mr. Benning's present value cost of the recommended care items, I find that Ms. Aarts-Chinyanta is entitled to $20,000 for psychological counselling, $800 for kinesiology expenses to review her fitness program, $80,000 for the ongoing cost of her medications, and $6,000 for a trial of Botox treatments. This award will not be reduced for Ms. Aarts-Chinyanta's pre-existing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fundamental principle governing special damages is that of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The plaintiff is to be restored to the position they would have been in had the accident not occurred: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MacIntosh v. Davison</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2013 BCSC 2264</w:t>
        </w:r>
      </w:hyperlink>
      <w:r>
        <w:rPr>
          <w:rFonts w:ascii="arial" w:eastAsia="arial" w:hAnsi="arial" w:cs="arial"/>
          <w:color w:val="000000"/>
          <w:sz w:val="20"/>
          <w:lang w:val="en-US" w:eastAsia="en-US" w:bidi="ar-SA"/>
        </w:rPr>
        <w:t>, Justice Davies held the following applies to the analysis of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Having reviewed all of the authorities to which I was referred, I have concluded that Saunders J.'s decision in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xml:space="preserve"> encapsulates the considerations which should bear upon the assessment of Mr. MacIntosh's special damages claims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In summary, I am satisfied that when assessing special damages the standard is the reasonableness of the expense claimed in the context of the injuries suffered. Medical justification for any expense is a factor to be considered, but not the only one. Subjective factors can also be considered including whether the plaintiff believed the treatments were reasonably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Ms. Aarts-Chinyanta claims $5,411 in special damages, plus $0.50 per kilometre for mileage. The defendant did not seriously dispute this amount. I therefore award $5,411, plus $0.50 per kilometre, in special damages. This award will not be reduced for Ms. Aarts-Chinyanta's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Ms. Aarts-Chinyanta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$132,000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($165,000 reduced by 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$136,000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($170,000 reduced by 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$384,000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($480,000 reduced by 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$106,800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$5,411</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plus $0.50 per kilometre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$764,211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leave it to the parties to make any appropriate adjustments and to calculate pre-judgment interest on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Subject to relevant offers to settle, the plaintiff is entitled to costs. If the parties are unable to agree, within 45 days of this judgment either party is at liberty to file an application to determine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MacDONALD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20" style="position:absolute;z-index:25180160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347"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347"/>
      <w:r>
        <w:rPr>
          <w:rFonts w:ascii="arial" w:eastAsia="arial" w:hAnsi="arial" w:cs="arial"/>
          <w:sz w:val="20"/>
          <w:lang w:val="en-US" w:eastAsia="en-US" w:bidi="ar-SA"/>
        </w:rPr>
        <w:tab/>
      </w:r>
      <w:r>
        <w:rPr>
          <w:rFonts w:ascii="arial" w:eastAsia="arial" w:hAnsi="arial" w:cs="arial"/>
          <w:color w:val="6D6E71"/>
          <w:sz w:val="18"/>
          <w:lang w:val="en-US" w:eastAsia="en-US" w:bidi="ar-SA"/>
        </w:rPr>
        <w:t>Based on her T4 income of $5,312 divided by 4.5 months.</w:t>
      </w:r>
    </w:p>
    <w:p>
      <w:pPr>
        <w:spacing w:before="120" w:after="20" w:line="240" w:lineRule="atLeast"/>
        <w:ind w:left="720" w:hanging="360"/>
        <w:jc w:val="both"/>
        <w:rPr>
          <w:rFonts w:ascii="arial" w:eastAsia="arial" w:hAnsi="arial" w:cs="arial"/>
          <w:sz w:val="20"/>
          <w:lang w:val="en-US" w:eastAsia="en-US" w:bidi="ar-SA"/>
        </w:rPr>
      </w:pPr>
      <w:bookmarkStart w:id="348"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348"/>
      <w:r>
        <w:rPr>
          <w:rFonts w:ascii="arial" w:eastAsia="arial" w:hAnsi="arial" w:cs="arial"/>
          <w:sz w:val="20"/>
          <w:lang w:val="en-US" w:eastAsia="en-US" w:bidi="ar-SA"/>
        </w:rPr>
        <w:tab/>
      </w:r>
      <w:r>
        <w:rPr>
          <w:rFonts w:ascii="arial" w:eastAsia="arial" w:hAnsi="arial" w:cs="arial"/>
          <w:color w:val="6D6E71"/>
          <w:sz w:val="18"/>
          <w:lang w:val="en-US" w:eastAsia="en-US" w:bidi="ar-SA"/>
        </w:rPr>
        <w:t>The minimum wage in BC is currently $13.85. It will rise to $14.60 on June 1, 2020. It was $12.65 from June 1, 2018 to May 30, 2019. The plaintiff stated $12 therefore represents a rough median. This is a reasonable assumption to make.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Alton v. Lower Mainland Motocross Club, [2017] B.C.J. No. 2721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Choi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and 27,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15,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S140785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2721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2460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3736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287 A.C.W.S. (3d) 792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M.V.R. (7th) 286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Steve Alton, Plaintiff, and Lower Mainland Motocross Club, British Columbia Custom Car Association, Canadian Motorcycle Association, John Doe 1 and John Doe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jc w:val="both"/>
        <w:rPr>
          <w:rFonts w:ascii="arial" w:eastAsia="arial" w:hAnsi="arial" w:cs="arial"/>
          <w:sz w:val="20"/>
          <w:lang w:val="en-US" w:eastAsia="en-US" w:bidi="ar-SA"/>
        </w:rPr>
      </w:pPr>
      <w:bookmarkStart w:id="349" w:name="Counsel_40"/>
      <w:bookmarkEnd w:id="3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 Brine, P. Bosco.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 Johal.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0" w:name="Judgment_40"/>
      <w:bookmarkEnd w:id="350"/>
      <w:r>
        <w:pict>
          <v:line id="_x0000_s1223" style="position:absolute;z-index:2517514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1" w:name="G. CHOI J. (orally)"/>
            <w:bookmarkEnd w:id="351"/>
            <w:r>
              <w:rPr>
                <w:rFonts w:ascii="arial" w:eastAsia="arial" w:hAnsi="arial" w:cs="arial"/>
                <w:b/>
                <w:color w:val="000000"/>
                <w:sz w:val="30"/>
                <w:lang w:val="en-US" w:eastAsia="en-US" w:bidi="ar-SA"/>
              </w:rPr>
              <w:t>G. CHOI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Steve Alton, injured his leg when he fell off his dirt bike during a motocross practice session at the Mission Raceway Park on April 7, 2012. He was thrown from his bike in a corner of the track and landed on some brush and fallen trees which impaled his leg. Just before he came off his bike, Mr. Alton's motorbike became cross-treaded, meaning that the front and rear wheels got stuck in separate parallel ruts on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Alton seeks damages for these injuries against the defendants. He brings his claim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against the following defendants: Canadian Motorcycle Association ("CMA") as the national authority for motorcyclists and racing; British Columbia Custom Car Association ("BCCCA") as the owners of the lands on which the Mission Raceway Park in Mission, B.C. is located; and Lower Mainland Motocross Club ("LMMC"), which is a member of the CMA and leased the park from the BCCCA.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deny Mr. Alton's claim, claiming that he waived his right to sue based on various waivers he signed. The defendants also deny liability, asserting the following:</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Alton was responsible for his own injuries by not taking the proper precautions while riding his dirt bike.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the track or the park was inadequately maintained.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debris was located in an area that presented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Alton claims that none of the documents he signed bar his claim because: (i) he was not aware that he was signing a waiver; and (ii) any waiver does not apply under the circumstances. Alternatively, he argues that if the waivers are effective, they only protect the CMA because the LMMC and the BCCCA are not privy to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bring this summary trial application to dismiss the plaintiff's action on the basis that the waivers are valid and provide a complete defence. The plaintiff argues that if the defendants are not successful, then the matter should proceed to the scheduled trial date of June 11, 2018,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submit that if the summary trial is not successful, it should be open for them to argue the waivers in front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Accordingly, this summary trial deals solely with the issue of whether the waivers bar Mr. Alton's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FACTS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Waivers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Alton signed a four-page document titled "Application for 2012 Competition Membership" and dated it December 11, 2011. The third page contains a waiver and is titled "Annual Release." Mr. Alton signed the third-page waiver and the fourth page containing the privacy policy (the "2012 Waiver"). The third page states: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Applicants 18 Years of Age (19 in British Columbia) and 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Annual release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RELEASE OF LIABILITY, WAIVER OF CLAIMS, ASSUMPTION OF RISKS AND INDEMNITY AGREEMENT. BY SIGNING THIS DOCUMENT YOU WILL WAIVE CERTAIN LEGAL RIGHTS, INCLUDING THE RIGHT TO 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READ CAREFULLY: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full or partial consideration for allowing me to participate in all related events and activities of the Canadian Motorcycle Association I hereby warrant and agree that: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familiar with and accept that there is the risk of serious injury and death in participation, whether as a competitor, student, official or worker, and all forms of motor sport and in particular in being allowed to enter, for any reason, any restricted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AND AGREE, ON BEHALF OF MYSELF, MY HEIRS, ASSIGNS, PERSONAL REPRESENTATIVES AND NEXT OF KIN THAT MY EXECUTION OF THIS DOCUMENT CONSTITUTES: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UNQUALIFIED ASSUMPTION BY ME OF ALL RISKS associated with my participation in each EVENT, even if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any compounding or aggravation of injuries caused by negligent rescue operations or procedure, of the Releasees as the term is defined below, and any persons associated therewith or otherwise participating in each EVENT in any capacity;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FULL AND FINAL RELEASE WAIVER OF LIABILITY AND ALL CLAIMS that I have, or may in the future have against any person(s), entities or organization(s) associated in any way with the EVENT including track owners and lessees, promoters, sanctioning bodies, racing associations, or any subdivision thereof, track operators, sponsors, advertisers, vehicle owners and other participants, rescue personnel, event inspectors, underwriters, consultants, and others who give recommendations, directions of instruction, or engage in risk evaluation and loss control activities regarding each EVENT or event premises, any one or more of them, and their respective directors, officers, employees, contractors, agent and representatives (all of whom are collectively referred to as the Releasees") from any and all liability for any loss, damage, injury or expense that I may suffer as a result of my use of or my presence at the event facilities or my participation in any part of, or my presence in any capacity at, each EVENT, due to any cause whatsoever,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ANY STATUTORY OR OTHER DUTY OF CARE, INCLUDING ANY DUTY OF CARE OWED UNDER THE RELEVANT OCCUPIERS LIABILITY ACT ON THE PART OF THE RELEASEES.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READ AND UNDERSTAND THIS AGREEMENT AND I AM AWARE THAT BY SIGNING THIS AGREEMENT I AM WAIVING CERTAIN SUBSTANTIAL LEGAL RIGHTS WHICH I AND MY HEIRS, NEXT OF KIN, EXECUTORS, ADMINISTRATORS AND ASSIGNS MAY HAVE AGAINST THE RELEASES.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SIGN THIS DOCUMENT VOLUNTARILY AND WITHOUT INDUCEMENT.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Alton deposed that he printed the 2012 Waiver from the internet, completed the document at home and mailed it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Alton signed a similar waiver in June 2011 for the 2011 race season. The third page also contains the applicable waiver, which he signed (the "2011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day of the accident, Mr. Alton signed a document called "CMA Sanctioned Practices in Schools", which contained a similar waiver. It is a one-page document (the "Race Day Waiver").</w:t>
      </w:r>
      <w:r>
        <w:rPr>
          <w:rFonts w:ascii="arial" w:eastAsia="arial" w:hAnsi="arial" w:cs="arial"/>
          <w:sz w:val="20"/>
          <w:lang w:val="en-US" w:eastAsia="en-US" w:bidi="ar-SA"/>
        </w:rPr>
        <w:cr/>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Alton deposes that he was a heavy equipment operator in April 2012 at a company where he worked for seven years. He has a high school diploma and was a motocross racer from 1996 to 1998, returning to the sport in 2011. Since the accident, he had three surgeries on his leg. He deposes that he could not walk for three months and could not work. He has not returned to work as a heavy equipment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Alton's evidence respecting the 2011 and 2012 Waivers is that he was completing applications to obtain his CMA license, so he could race on the track the following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April 7, 2012, before the accident occurred, Mr. Alton signed the waiver and he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race day waiver was attached to a clipboard and there was a line-up of people waiting to sign it. It was like herding cattle to get racers through the race start. Nobody told me it was a waiver and that it affected my legal rights. No one was reading the sheet before signing it and everyone appeared to treat it just like a roster, which is what I did. Everyone, including myself, quickly signed the sheet so we could start the practice runs on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Alton deposes that he did not read any of the waivers, and he did not understand that he was waiving his right to bring a lawsuit. He had some general understandings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could probably not sue if I got hurt falling off my bike because it happened so often. However, hazardous debris located next to the track is not part of the sport and I had never seen that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deposes that no one explained the legal consequences of any of the waivers and no one directed him to read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Alton conceded that injury, and sometimes even death, is common within the sport of motocross, but he argues that what occurred on the day of the accident was not in his contemplation.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rely on two affidavits of Ms. Kim Thoring, the first sworn May 19, 2017, and the second sworn September 12,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Thoring is a volunteer with the LMMC. Her son started the sport in 2006, and in about 2009, she became a lap counter for the LMMC. Around 2010, she became trained to do sign-ups for the racers. She described the procedure followed to sign-up riders in her first affidavit ("Affidavit #1"). In that affidavit, she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participant rider would come to what is known as the first window and pay for his/her practice race. Then the participant would be asked to go to a second window where I would have them sign a release of liability waiver document and sign into the proper race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Thoring further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my practice to ask each participant if they understand that the waiver they are signing means that they cannot sue anyone. If there was any indication that participant did not understand what he/she was signing it would be my practice to take the time to ensure they understood the significance of the waiver before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deposed that her initials are next to the waiver signed by Mr. Alton on April 7, 2012, indicating that she witnessed his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does not specifically recall Mr. Alton or any incident involving him on the Mission Raceway Park on or about April 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Alton obtained an order to cross-examine Ms. Thoring on her first affidavit, which occurred on September 12, 2017. After the examination, Ms. Thoring swore the second affidavit ("Affidavit #2") on September 12,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Alton seeks to exclude Affidavit #2 on the basis that it defeats the cross-examination conducted on Affidavit #1, and he did not have the opportunity to seek further cross-examination on Affidavit #2 because of the timing of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argue that Affidavit #2 was necessary to respond to the cross-examination and to distinguish between the sign-in sheet and waiver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transcript of the cross-examination is attached to an affidavit of an assistant at Mr. Alton's counsel's firm. The examination commenced at 3:04 p.m. and ended at 4:30 p.m., with three two-minute breaks. Ms. Thoring was not accompanied by her own counsel; however, Ms. Johal, counsel for the defendants, was present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Some time prior to the cross-examination, Ms. Thoring had been telephoned by a private investigator retained by the plaintiff. The private investigator had telephoned Ms. Thoring multiple times from a blocked number without leaving a message before she answered the call while she was at work. Ms. Thoring was not aware the private investigator taped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audio recording was played for Ms. Thoring during her cross-examination on Affidavit #1. When it was apparent that such a recording existed and was about to be played, Ms. Johal asked if it was disclosed in the list of documents - a question that was not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Many of the questions asked of Ms. Thoring prior to playing the audio recording related to the conversation between her and the private investigator, including her response to him that it is "common sense" the waiver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the cross-examination, Ms. Thoring specifically rejected the assertion that she did not go over the waiver with racers because the waiver is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Thoring's Affidavit #2 is about one page in substance, containing four paragraphs. The third paragraph outlines eight steps regarding the procedure for signing up riders. Ms. Thoring deposed:</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paying his. fee for riding on that particular day, a rider would pick up a pen and blank sign-in sheet from a table in front of the tower and fill in his name, bike number, class, model and size of bike (the "Sign-In Sheet");</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Then he would go to the first window to pay his fee for riding that day. At the time of the accident on April 7, 2012, that window was likely attended by Kim Sutherland;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Kim would typically mark the Sign-In Sheet with a highlighter to confirm payment had been received;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Then the rider would go to another one of two windows depending on the size of his bike;</w:t>
      </w:r>
    </w:p>
    <w:p>
      <w:pPr>
        <w:numPr>
          <w:numId w:val="14"/>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my review of the waiver attached as Exhibit "A" to my affidavit #1, I was at the window which dealt with larger bikes like Mr. Alton's 250cc bike; and</w:t>
      </w:r>
    </w:p>
    <w:p>
      <w:pPr>
        <w:numPr>
          <w:numId w:val="15"/>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rider's name would not have been pre-printed on the waiver before he attends at my window because we would not know who was riding that day until they paid at Kim Sutherland's window;</w:t>
      </w:r>
    </w:p>
    <w:p>
      <w:pPr>
        <w:numPr>
          <w:numId w:val="1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rider attended at my window, he would hand me the completed Sign-In Sheet which I would review; and</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then transpose their information from the Sign-In Sheet to the waiver and explain the waiver as described in my affidavit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250 cc referred to in paragraph e. was later corrected to 450 cc by counsel in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the cross-examination did raise issues which required clarification of the race day sign-up process. As a result, I will not exclude Affidavit #2 of Ms. Thoring.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must add that the cross-examination that occurred on Affidavit #1 was not limited in scope to the affidavit itself, which is a nine-paragraph, two-page affidavit with a Race Day Waiver attached as an exhibit. It was also wholly improper for the private investigator to record his previous conversation with Ms. Thoring without her knowledge and consent, and then to question Ms. Thoring on it without disclosing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Ms. Thoring's evidence in Affidavits #1 and #2, the telephone call, and the cross-examination, to be materially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To determine whether a plaintiff is bound by an exclusion clause, the framework proposed by Binnie J. in </w:t>
      </w:r>
      <w:r>
        <w:rPr>
          <w:rFonts w:ascii="arial" w:eastAsia="arial" w:hAnsi="arial" w:cs="arial"/>
          <w:i/>
          <w:color w:val="000000"/>
          <w:sz w:val="20"/>
          <w:lang w:val="en-US" w:eastAsia="en-US" w:bidi="ar-SA"/>
        </w:rPr>
        <w:t>Tercon Contractors Ltd. v. British Columbia (Ministry of Transportation and Highways)</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at paras. 121-123, identifies three questions that a court must assess: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as a matter of interpretation the exclusion clause applies to the circumstances;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exclusion clause was unconscionable at the time the contract was made;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should nevertheless refuse to enforce the valid exclusion clause because of the existence of an overriding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framework was endorsed by the B.C. Court of Appeal in </w:t>
      </w: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2012 BCCA 122</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only question from </w:t>
      </w:r>
      <w:r>
        <w:rPr>
          <w:rFonts w:ascii="arial" w:eastAsia="arial" w:hAnsi="arial" w:cs="arial"/>
          <w:i/>
          <w:color w:val="000000"/>
          <w:sz w:val="20"/>
          <w:lang w:val="en-US" w:eastAsia="en-US" w:bidi="ar-SA"/>
        </w:rPr>
        <w:t>Tercon Contractors Ltd</w:t>
      </w:r>
      <w:r>
        <w:rPr>
          <w:rFonts w:ascii="arial" w:eastAsia="arial" w:hAnsi="arial" w:cs="arial"/>
          <w:color w:val="000000"/>
          <w:sz w:val="20"/>
          <w:lang w:val="en-US" w:eastAsia="en-US" w:bidi="ar-SA"/>
        </w:rPr>
        <w:t>. that is applicable here is the first one: whether the exclusion clause applies as a matter of contractual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process to determine whether an exclusion clause applies is summarized in </w:t>
      </w:r>
      <w:r>
        <w:rPr>
          <w:rFonts w:ascii="arial" w:eastAsia="arial" w:hAnsi="arial" w:cs="arial"/>
          <w:i/>
          <w:color w:val="000000"/>
          <w:sz w:val="20"/>
          <w:lang w:val="en-US" w:eastAsia="en-US" w:bidi="ar-SA"/>
        </w:rPr>
        <w:t>Chamberlin v. Canadian Physiotherapy Association</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2015 BCSC 1260</w:t>
        </w:r>
      </w:hyperlink>
      <w:r>
        <w:rPr>
          <w:rFonts w:ascii="arial" w:eastAsia="arial" w:hAnsi="arial" w:cs="arial"/>
          <w:color w:val="000000"/>
          <w:sz w:val="20"/>
          <w:lang w:val="en-US" w:eastAsia="en-US" w:bidi="ar-SA"/>
        </w:rPr>
        <w:t xml:space="preserve"> at paras. 56-60, which relies heavily on the reasoning in </w:t>
      </w:r>
      <w:r>
        <w:rPr>
          <w:rFonts w:ascii="arial" w:eastAsia="arial" w:hAnsi="arial" w:cs="arial"/>
          <w:i/>
          <w:color w:val="000000"/>
          <w:sz w:val="20"/>
          <w:lang w:val="en-US" w:eastAsia="en-US" w:bidi="ar-SA"/>
        </w:rPr>
        <w:t>Karroll v. Silver Star Mountain Resorts</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addressing this first line of inquiry, Finch C.J.B.C. in </w:t>
      </w:r>
      <w:r>
        <w:rPr>
          <w:rFonts w:ascii="arial" w:eastAsia="arial" w:hAnsi="arial" w:cs="arial"/>
          <w:i/>
          <w:color w:val="000000"/>
          <w:sz w:val="20"/>
          <w:lang w:val="en-US" w:eastAsia="en-US" w:bidi="ar-SA"/>
        </w:rPr>
        <w:t>Keefer Laundry v. Pellerin Milnor Corporation</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2009 BCCA 273</w:t>
        </w:r>
      </w:hyperlink>
      <w:r>
        <w:rPr>
          <w:rFonts w:ascii="arial" w:eastAsia="arial" w:hAnsi="arial" w:cs="arial"/>
          <w:color w:val="000000"/>
          <w:sz w:val="20"/>
          <w:lang w:val="en-US" w:eastAsia="en-US" w:bidi="ar-SA"/>
        </w:rPr>
        <w:t xml:space="preserve"> at para. 59 adopted the following remarks of Geoff R. Hall in Canadian Contractual Interpretation Law, 2ed, (Markham, Ont.: LexisNexis, 2012), at para. 7.10: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release is a contract, and the general principles governing the interpretation of contracts apply equally to releases. However, there is also a special rule which is superadded onto the regular ones. This rule comes from London and South Western Railway v. Blackmore, an 1870 decision of the House of Lords. The rule in London and South Western Railway holds that </w:t>
      </w:r>
      <w:r>
        <w:rPr>
          <w:rFonts w:ascii="arial" w:eastAsia="arial" w:hAnsi="arial" w:cs="arial"/>
          <w:color w:val="000000"/>
          <w:sz w:val="20"/>
          <w:u w:val="single"/>
          <w:lang w:val="en-US" w:eastAsia="en-US" w:bidi="ar-SA"/>
        </w:rPr>
        <w:t>a release is to be interpreted so that it covers only those matters which were specifically in the contemplation of the parties at the time the release was given</w:t>
      </w:r>
      <w:r>
        <w:rPr>
          <w:rFonts w:ascii="arial" w:eastAsia="arial" w:hAnsi="arial" w:cs="arial"/>
          <w:color w:val="000000"/>
          <w:sz w:val="20"/>
          <w:lang w:val="en-US" w:eastAsia="en-US" w:bidi="ar-SA"/>
        </w:rPr>
        <w:t xml:space="preserve">. The rule allows the court to consider a fairly broad range of evidence of surrounding circumstances in order to ascertain what was in fact in the specific contemplation of the parties at the relevant time, and it is not uncommon for a significant amount of extrinsic evidence to be examined when the rule is applied. However, like the law of contract interpretation generally, the scope of permissible extrinsic evidence does not extend to evidence of the parties' subjective intentions; such evidence is strictly inadmissible. [Emphasis added in </w:t>
      </w:r>
      <w:r>
        <w:rPr>
          <w:rFonts w:ascii="arial" w:eastAsia="arial" w:hAnsi="arial" w:cs="arial"/>
          <w:i/>
          <w:color w:val="000000"/>
          <w:sz w:val="20"/>
          <w:lang w:val="en-US" w:eastAsia="en-US" w:bidi="ar-SA"/>
        </w:rPr>
        <w:t>Chamberlin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In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(S.C.), a decision that predated Keefer Laundry, McLachlin C.J.S.C. (as she then was) framed the issues as twofold: whether the terms of the release are broad enough to encompass the claims brought by the plaintiff against the defendants; and whether the plaintiff is bound by the terms of the release. The first issue is concerned with the construction of the terms of the contractual waiver and thus aligns with the first line of inquiry described by Binnie J. in Tercon. The second issue addresses the question of whether the signing party read and understood the release. It arises in light of the special rule that applies to the interpretation of releases as described by Hall in Canadian Contractual Interpretation Law. In this context, McLachlin C.J.S.C. opined at para. 24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 ... there is no general requirement that a party tendering a document for signature to take reasonable steps to apprise the party signing of onerous terms or to ensure that he reads and understands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To this general rule, however, McLachlin C.J.S.C. identified the following three exceptions: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document was signed by a plaintiff in circumstances in which it was not his or her act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agreement was induced by fraud or misrepresentation; and</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party seeking to enforce the document knew or had reason to know that the signing party was under a mistake as to its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at paras. 18 and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In my opinion, the first two exceptions to the general rule do not apply to the present case. The third, however, is relevant.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at para. 25, McLachlin C.J.S.C., described the circumstances in which the third exception might arise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[25] Many factors may be relevant to whether the duty to take reasonable steps to advise of an exclusion clause or waiver arises. The effect of the exclusion clause in relation to the nature of the contract is important because if it runs contrary to the party's normal expectations it is fair to assume that he does not intend to be bound by the term. The length and format of the contract and the time available for reading and understanding it also bear on whether a reasonable person should know that the other party did not in fact intend to sign what he was signing. The list is not exhaustive. Other considerations may be important, depending on the facts of the particular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Consequently, it is only where the party tendering the document for signature knew or ought to have known that the signing party was not consenting to the terms in question that the obligation arises to take reasonable steps to advise the signing party of the details and implications of the waiver. To use the language of Hall in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the party tendering the document must have been reasonably satisfied that the waiver, including any onerous terms, were in the specific contemplation of the signing party at the time the document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Analysis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Alton was bound by the waivers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Mr. Alton submits that the waivers do not apply because he did not know that he was signing a waiver. He did not read or understand the waiver, and in any event, he did not contemplate waiving the right to sue against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Specifically, Mr. Alton argues that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applies, and that the defendants knew or should have known that the contracts were unclear and took no steps to bring the waivers to his attention. Further, he argues that the dangerous debris were beyond the reasonable contemplation of both parties and the terms of the waiver itself; therefore, the waiver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submit there is no merit to the argument that they knew or ought to have known that Mr. Alton did not read or did not consent to the terms of the waiver. They assert they had no obligation to bring the waiver to the plaintiff's specific attention, and they submit that, in any event, the waiver was brought to the plaintiff's attention through the separate line-up procedure on the day of the 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support of his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claim, Mr. Alton says he never realized there was a waiver in the application form or the race day form. Another racer, Mr. James, deposed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not a single time when anyone at the Mission motocross track explained that I was signing a waiver or what that meant legally. I never understood that I would not be able to sue the track for their own mistakes.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Alton also points out that Mr. Redekopp, the defendants' representative at the examination for discovery, agreed the document signed on the race day was a sign-in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Alton submits that although he is an English speaker of full capacity, he only has a high school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Alton argues the 2012 Waiver in the CMA membership was buried in the middle of several pages, and he did not need to read the entire document in order to know where to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the Race Day Waiver, he argues that it was a cattle call to sign it and that the purpose of the Race Day Waiver was not read or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Alton relies on </w:t>
      </w:r>
      <w:r>
        <w:rPr>
          <w:rFonts w:ascii="arial" w:eastAsia="arial" w:hAnsi="arial" w:cs="arial"/>
          <w:i/>
          <w:color w:val="000000"/>
          <w:sz w:val="20"/>
          <w:lang w:val="en-US" w:eastAsia="en-US" w:bidi="ar-SA"/>
        </w:rPr>
        <w:t>Farrell Estates v. Win-Up Restaurant Ltd.</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2010 BCSC 1752</w:t>
        </w:r>
      </w:hyperlink>
      <w:r>
        <w:rPr>
          <w:rFonts w:ascii="arial" w:eastAsia="arial" w:hAnsi="arial" w:cs="arial"/>
          <w:color w:val="000000"/>
          <w:sz w:val="20"/>
          <w:lang w:val="en-US" w:eastAsia="en-US" w:bidi="ar-SA"/>
        </w:rPr>
        <w:t xml:space="preserve">. That case states that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is a narrow document that applies when a party fails to realize the essential nature of the transaction. It is often induced by fraud and should be kept within narrowly prescribed limits for persons of full capacity. The doctrine is one of fundamental mistake. If there is no evidence of fraud, deliberate misrepresentation, or deceptive behaviour, the key question is whether the relevant contractual terms were reasonably brought to the plaintiff's attention through the form of the contract itself. If the answer to that question is yes, then the plaintiff cannot claim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analysis in determining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is not purely subjective, and involves an objective component, namely, what would a reasonably careful person believe when reading the contract? The court in </w:t>
      </w:r>
      <w:r>
        <w:rPr>
          <w:rFonts w:ascii="arial" w:eastAsia="arial" w:hAnsi="arial" w:cs="arial"/>
          <w:i/>
          <w:color w:val="000000"/>
          <w:sz w:val="20"/>
          <w:lang w:val="en-US" w:eastAsia="en-US" w:bidi="ar-SA"/>
        </w:rPr>
        <w:t>Farrell Estates</w:t>
      </w:r>
      <w:r>
        <w:rPr>
          <w:rFonts w:ascii="arial" w:eastAsia="arial" w:hAnsi="arial" w:cs="arial"/>
          <w:color w:val="000000"/>
          <w:sz w:val="20"/>
          <w:lang w:val="en-US" w:eastAsia="en-US" w:bidi="ar-SA"/>
        </w:rPr>
        <w:t xml:space="preserve"> stated at para. 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The principles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as formulated in the weight of the authorities, can be summarized as follows:</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proving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rests with the party seeking to disown their signature. For a person of full capacity the application of the doctrine must be kept within narrowly prescribed limits.</w:t>
      </w:r>
    </w:p>
    <w:p>
      <w:pPr>
        <w:numPr>
          <w:numId w:val="2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seeks to invoke the remedy must show that the document signed is fundamentally different from what the person believed he or she was signing.</w:t>
      </w:r>
    </w:p>
    <w:p>
      <w:pPr>
        <w:numPr>
          <w:numId w:val="27"/>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person shows such a fundamental difference, the court must examine whether the signer was careless in failing to take reasonable precautions in the execution of the document. The court must also consider the conduct of the party relying on the document and whether they qualify as an innocent party, in order to determine which party, by application of reasonable care, was in the better position to avoid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Gadhri v. 0760815 B.C. Ltd.</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2016 BCSC 521</w:t>
        </w:r>
      </w:hyperlink>
      <w:r>
        <w:rPr>
          <w:rFonts w:ascii="arial" w:eastAsia="arial" w:hAnsi="arial" w:cs="arial"/>
          <w:color w:val="000000"/>
          <w:sz w:val="20"/>
          <w:lang w:val="en-US" w:eastAsia="en-US" w:bidi="ar-SA"/>
        </w:rPr>
        <w:t xml:space="preserve"> affirmed this approach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Both subjective and objective elements are essential to determine which obligations should reasonably bind the parties: </w:t>
      </w:r>
      <w:r>
        <w:rPr>
          <w:rFonts w:ascii="arial" w:eastAsia="arial" w:hAnsi="arial" w:cs="arial"/>
          <w:i/>
          <w:color w:val="000000"/>
          <w:sz w:val="20"/>
          <w:lang w:val="en-US" w:eastAsia="en-US" w:bidi="ar-SA"/>
        </w:rPr>
        <w:t>Jamieson v. Whistler Mountain Resort Limited Partnership</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2017 BCSC 1001</w:t>
        </w:r>
      </w:hyperlink>
      <w:r>
        <w:rPr>
          <w:rFonts w:ascii="arial" w:eastAsia="arial" w:hAnsi="arial" w:cs="arial"/>
          <w:color w:val="000000"/>
          <w:sz w:val="20"/>
          <w:lang w:val="en-US" w:eastAsia="en-US" w:bidi="ar-SA"/>
        </w:rPr>
        <w:t xml:space="preserve"> at para. 108;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at paras. 25-26.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Alton relies on </w:t>
      </w:r>
      <w:r>
        <w:rPr>
          <w:rFonts w:ascii="arial" w:eastAsia="arial" w:hAnsi="arial" w:cs="arial"/>
          <w:i/>
          <w:color w:val="000000"/>
          <w:sz w:val="20"/>
          <w:lang w:val="en-US" w:eastAsia="en-US" w:bidi="ar-SA"/>
        </w:rPr>
        <w:t>Crocker v. Sundance</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[1988] S.C.J. No. 60</w:t>
        </w:r>
      </w:hyperlink>
      <w:r>
        <w:rPr>
          <w:rFonts w:ascii="arial" w:eastAsia="arial" w:hAnsi="arial" w:cs="arial"/>
          <w:color w:val="000000"/>
          <w:sz w:val="20"/>
          <w:lang w:val="en-US" w:eastAsia="en-US" w:bidi="ar-SA"/>
        </w:rPr>
        <w:t xml:space="preserve"> for the proposition that failure to draw attention to a waiver that was not read or understood renders it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There were two waivers at issue in </w:t>
      </w:r>
      <w:r>
        <w:rPr>
          <w:rFonts w:ascii="arial" w:eastAsia="arial" w:hAnsi="arial" w:cs="arial"/>
          <w:i/>
          <w:color w:val="000000"/>
          <w:sz w:val="20"/>
          <w:lang w:val="en-US" w:eastAsia="en-US" w:bidi="ar-SA"/>
        </w:rPr>
        <w:t>Crocker</w:t>
      </w:r>
      <w:r>
        <w:rPr>
          <w:rFonts w:ascii="arial" w:eastAsia="arial" w:hAnsi="arial" w:cs="arial"/>
          <w:color w:val="000000"/>
          <w:sz w:val="20"/>
          <w:lang w:val="en-US" w:eastAsia="en-US" w:bidi="ar-SA"/>
        </w:rPr>
        <w:t xml:space="preserve"> similar to this case, but the waivers were signed under different circumstances. The standard lift ticket waiver did not expressly exclude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did not contemplate the special type of downhill tubing event where the accident occurred; therefore, it did not apply. The event-related waiver was not noticeable on the face of the document, and its existence was not drawn to the plaintiff's attention; therefore, it did not apply. It was a combination of these circumstances that led to the determination that neither of the waivers released the defendants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Alton relies on </w:t>
      </w:r>
      <w:r>
        <w:rPr>
          <w:rFonts w:ascii="arial" w:eastAsia="arial" w:hAnsi="arial" w:cs="arial"/>
          <w:i/>
          <w:color w:val="000000"/>
          <w:sz w:val="20"/>
          <w:lang w:val="en-US" w:eastAsia="en-US" w:bidi="ar-SA"/>
        </w:rPr>
        <w:t>Tilden Rent-A-Car Co. v. Clendenning</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[1978] O.J. No. 3260</w:t>
        </w:r>
      </w:hyperlink>
      <w:r>
        <w:rPr>
          <w:rFonts w:ascii="arial" w:eastAsia="arial" w:hAnsi="arial" w:cs="arial"/>
          <w:color w:val="000000"/>
          <w:sz w:val="20"/>
          <w:lang w:val="en-US" w:eastAsia="en-US" w:bidi="ar-SA"/>
        </w:rPr>
        <w:t xml:space="preserve"> (C.A.). I did not find this case helpful to Mr. Alton because there was only one waiver at issue, and it was in fine print on the back of a dense page. The clerk who provided the form knew there was no way the plaintiff could have read the release. The waivers at issue in this case are easy to read and presented in clear, large font.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the 2012 Waiver and the Race Day Waiver are clearly titled with bold, capital letters. For the reasons that follow, I find that a reasonably careful reader would have realized the existence and significance of the waivers.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2012 Waiver is four pages long. Page 2 is designated for minors. The waiver is on page 3. The very first page states in red capital letters: "THIS FORM MUST BE COMPLETED IN FULL. SIGNATURES ARE REQUIRED ON PAGES 2, 3,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waiver on page 3 is titled "Annual Release" in bold, capital letters. It indicates in smaller bold capitals underneath that the waiver affects legal rights, including the right to sue. The text of the entire page is in bold.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2012 Waiver was intended to be reviewed and completed at home and mailed. There was no rush to return the document, and Mr. Alton had full opportunity to review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four pages of the 2012 Waiver are connected and folded like a book. The original is on heavier paper than what could be printed at home and contains a variety of colors. I do not accept that Mr. Alton could have printed this document at home from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Race Day Waiver is one page, single sided, and clearly subtitled "RELEASE OF LIABILITY, WAIVER OF CLAIMS, ASSUMPTION OF RISKS AND INDEMNITY AGREEMENT" in bold, capital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text of the Race Day Waiver is identical to that of the 2011 Waiver and the 2012 Waiver. Both used a consistent, defined term "EVENT" to refer to specific races.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Accordingly, Mr. Alton's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argument fails for the following reasons:</w:t>
      </w:r>
      <w:r>
        <w:rPr>
          <w:rFonts w:ascii="arial" w:eastAsia="arial" w:hAnsi="arial" w:cs="arial"/>
          <w:sz w:val="20"/>
          <w:lang w:val="en-US" w:eastAsia="en-US" w:bidi="ar-SA"/>
        </w:rPr>
        <w:cr/>
      </w:r>
    </w:p>
    <w:p>
      <w:pPr>
        <w:numPr>
          <w:numId w:val="2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received the 2011 Waiver and 2012 Waiver previously. He was presented with an identical waiver on the day of the race in the form of the Race Day Waiver.</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speaks English and has a full capacity, and given that the form of the documents clearly attempts to draw attention to the importance and content of the waiver, the objective factors outweigh Mr. Alton's alleged lack of knowledge.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defendants were not required to take additional steps to bring the waivers to Mr. Alton's specific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Mr. Alton asserts the defendants knew or had reason to know that he was mistaken as to the terms of the waivers, and therefore had a duty to bring them, particularly the Race Day Waiver, to his attention in a more overt way. Mr. Alton's claim that the defendants should have explicitly drawn attention to the waivers is linked to his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argument. He claims that the defendants should have known that he was unaware of the waiver because the contracts are confusing and unclear, and the waiver was inconsistent with the contractual purpose in his mind. For the following reasons, I do not accept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If an agreement includes a waiver but is excessively long, complicated, tendered for a different purpose, or if there is reason to believe that an individual might be mistaken about the terms, it may be necessary for the party tendering the contract to specifically draw attention to that waiver. The question of when notice is required will involve a context-specific analysis including subjective and objective factors: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cites the case of </w:t>
      </w:r>
      <w:r>
        <w:rPr>
          <w:rFonts w:ascii="arial" w:eastAsia="arial" w:hAnsi="arial" w:cs="arial"/>
          <w:i/>
          <w:color w:val="000000"/>
          <w:sz w:val="20"/>
          <w:lang w:val="en-US" w:eastAsia="en-US" w:bidi="ar-SA"/>
        </w:rPr>
        <w:t>Arndt v. The Ruskin Slo Pitch Association</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2011 BCSC 1530</w:t>
        </w:r>
      </w:hyperlink>
      <w:r>
        <w:rPr>
          <w:rFonts w:ascii="arial" w:eastAsia="arial" w:hAnsi="arial" w:cs="arial"/>
          <w:color w:val="000000"/>
          <w:sz w:val="20"/>
          <w:lang w:val="en-US" w:eastAsia="en-US" w:bidi="ar-SA"/>
        </w:rPr>
        <w:t>, where a waiver was placed on the back of a sign-up roster. In that case, the court concluded that, on its face, the document appeared to be a roster rather than a waiver, and therefore was not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are distinct from this case. The Race Day Waiver was clearly subtitled "Release of Liability" and found on the front of the page along with the signatures. On its face, this document appears to be a waiver. There was no attempt to disguise the text of the waiver and, at the bottom, each participant signs over a background with the words in grey "I HAVE READ THIS RELEASE" in large capitalized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that the 2012 Waiver and the Race Day Waiver are clear, noticeable, easy to read, and make no attempt to disguise their purpose. Furthermore, I accept the evidence of Ms. Thoring that the import of the Race Day Waiver was brought to Mr. Alton's specific attention.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It was not outside the contemplation of the parties that the waiver covers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due to improper maintenance or design of the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Alton claims that injuries caused by negligent design and maintenance of the track fall outside the scope of waivers. Given the express terms of the waiver, I do not accept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waivers in this case use broad and comprehensive language. Serious injury and death are included as the type of risks it covers. The signatory takes on an unqualified assumption of all risk and agrees to a full and final release and waiver of liability,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This type of broad, categorical wording has been repeatedly found to cover all types of injuries that fall within the listed categories. The precise types of injuries do not need to be exhaustively listed: </w:t>
      </w:r>
      <w:r>
        <w:rPr>
          <w:rFonts w:ascii="arial" w:eastAsia="arial" w:hAnsi="arial" w:cs="arial"/>
          <w:i/>
          <w:color w:val="000000"/>
          <w:sz w:val="20"/>
          <w:lang w:val="en-US" w:eastAsia="en-US" w:bidi="ar-SA"/>
        </w:rPr>
        <w:t>Fillingham v. Big White Ski Resort Limited</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2017 BCSC 1702</w:t>
        </w:r>
      </w:hyperlink>
      <w:r>
        <w:rPr>
          <w:rFonts w:ascii="arial" w:eastAsia="arial" w:hAnsi="arial" w:cs="arial"/>
          <w:color w:val="000000"/>
          <w:sz w:val="20"/>
          <w:lang w:val="en-US" w:eastAsia="en-US" w:bidi="ar-SA"/>
        </w:rPr>
        <w:t xml:space="preserve"> at paras. 43-52.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Mr. Alton primarily supports his argument with two cases: </w:t>
      </w:r>
      <w:r>
        <w:rPr>
          <w:rFonts w:ascii="arial" w:eastAsia="arial" w:hAnsi="arial" w:cs="arial"/>
          <w:i/>
          <w:color w:val="000000"/>
          <w:sz w:val="20"/>
          <w:lang w:val="en-US" w:eastAsia="en-US" w:bidi="ar-SA"/>
        </w:rPr>
        <w:t>Parker v. Ingalls</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2006 BCSC 942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Gallant v. Fanshawe College of Applied Arts and Technology</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2009 CarswellOnt 5734</w:t>
        </w:r>
      </w:hyperlink>
      <w:r>
        <w:rPr>
          <w:rFonts w:ascii="arial" w:eastAsia="arial" w:hAnsi="arial" w:cs="arial"/>
          <w:color w:val="000000"/>
          <w:sz w:val="20"/>
          <w:lang w:val="en-US" w:eastAsia="en-US" w:bidi="ar-SA"/>
        </w:rPr>
        <w:t xml:space="preserve"> (S.C.J.). These cases are distinguishable on the basis that they both involve training courses with an instructor and a key finding that the plaintiff could reasonably expect a safe training environment at those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case of motocross warm-up and racing, there is no reasonable expectation of a safe training environment, and the prevalence of waivers and attempts to alert participants to the risks reflects that reality.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waivers protect all of the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claims that even if the waivers are valid, they only protect the CMA from liability and not the LMMC or the BCCCA.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His central argument is that the waiver does not explicitly name the LMMC or the BCCCA, and therefore should not bind them. He claims that categorical identification like the "track owner" is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Quick v. Jericho Tennis Club</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[1998] B.C.J. No. 1149</w:t>
        </w:r>
      </w:hyperlink>
      <w:r>
        <w:rPr>
          <w:rFonts w:ascii="arial" w:eastAsia="arial" w:hAnsi="arial" w:cs="arial"/>
          <w:color w:val="000000"/>
          <w:sz w:val="20"/>
          <w:lang w:val="en-US" w:eastAsia="en-US" w:bidi="ar-SA"/>
        </w:rPr>
        <w:t xml:space="preserve"> (S.C.) to support the proposition that a waiver does not protect defendants it does not expressly name. In </w:t>
      </w:r>
      <w:r>
        <w:rPr>
          <w:rFonts w:ascii="arial" w:eastAsia="arial" w:hAnsi="arial" w:cs="arial"/>
          <w:i/>
          <w:color w:val="000000"/>
          <w:sz w:val="20"/>
          <w:lang w:val="en-US" w:eastAsia="en-US" w:bidi="ar-SA"/>
        </w:rPr>
        <w:t>Quick</w:t>
      </w:r>
      <w:r>
        <w:rPr>
          <w:rFonts w:ascii="arial" w:eastAsia="arial" w:hAnsi="arial" w:cs="arial"/>
          <w:color w:val="000000"/>
          <w:sz w:val="20"/>
          <w:lang w:val="en-US" w:eastAsia="en-US" w:bidi="ar-SA"/>
        </w:rPr>
        <w:t>, the waiver made no mention of the Jericho Tennis Club expressly, or by a categorical name like the "court owner." As a result, the tennis club could not rely on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defendants argue that CMA is the sanctioning body for the LMMC and BCCCA and provides insurance in exchange for the payment of fees from LMMC and BCCCA riders.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further submit that there is no ambiguity that the track owner is the BCCCA and the track lessee is LMMC, and they are intended to be protected by the waivers, and that CMA was contracting on behalf of those parties. The waivers categorically limit liability for the track owners and lessees, sanctioning bodies, and racing associations.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Lafontaine (Guardian Ad Litem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Prince George Auto Racing</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[1994] B.C.J. No. 176</w:t>
        </w:r>
      </w:hyperlink>
      <w:r>
        <w:rPr>
          <w:rFonts w:ascii="arial" w:eastAsia="arial" w:hAnsi="arial" w:cs="arial"/>
          <w:color w:val="000000"/>
          <w:sz w:val="20"/>
          <w:lang w:val="en-US" w:eastAsia="en-US" w:bidi="ar-SA"/>
        </w:rPr>
        <w:t xml:space="preserve"> (S.C.). In that case, the court placed significant emphasis on the fact that the plaintiff was a member of the club, knew the risks, and knew the type of entities involved to some extent. This is similar to the circumstance in this case with motocross 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For the reasons that follow, whether Mr. Alton knew the exact names of the track owners and any other organization or body involved, it should have been common knowledge that the CMA was not the only organization responsible for every race. For this exact reason, the text of the waiver expressly releases common categories of entities associated with motocross events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Again, the standard the court is to apply is not purely subjective. Mr. Alton's beliefs are one factor, but observations about the waiver itself and the nature of motocross racing are also important. The track owner, BCCCA, is clearly involved in the event and is named by category in the waiver, unlike the situation in </w:t>
      </w:r>
      <w:r>
        <w:rPr>
          <w:rFonts w:ascii="arial" w:eastAsia="arial" w:hAnsi="arial" w:cs="arial"/>
          <w:i/>
          <w:color w:val="000000"/>
          <w:sz w:val="20"/>
          <w:lang w:val="en-US" w:eastAsia="en-US" w:bidi="ar-SA"/>
        </w:rPr>
        <w:t>Quick</w:t>
      </w:r>
      <w:r>
        <w:rPr>
          <w:rFonts w:ascii="arial" w:eastAsia="arial" w:hAnsi="arial" w:cs="arial"/>
          <w:color w:val="000000"/>
          <w:sz w:val="20"/>
          <w:lang w:val="en-US" w:eastAsia="en-US" w:bidi="ar-SA"/>
        </w:rPr>
        <w:t>. The track lessee, LMMC, is also involved in the event and is also named by category. The fact that generic, categorical names are used does not disguise the purpose or scope of the waiver, and there are good reasons to use categorical language because the particular corporate entities or individuals involved may change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Further, the four-part test established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at para. 33 was raised by both the plaintiff and defendants. I accept the first three criteria with respect to the waiver's clarity and the authority of the CMA to contract on behalf of the other defendants. I also find that consideration was given as Mr. Alton was allowed to utilize the motocross track and participate in races by virtue of signing the release. Consequently, I find the waiver is sufficiently clear regarding the covered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Finally, there were no submissions made by either party regarding the two John Does named as respondents. Accordingly, I will not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grant the order sought by the defendants that the 2012 Waiver and Race Day Waiver bar Mr. Alton's claim. I find these waivers are valid and enforceable. Therefore, Mr. Alton's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are entitled to their costs at Scale B unless there are circumstances in which I am unaware that require a costs hearing. If the latter is the case, the parties should contact Supreme Court Scheduling within 30 days of today's date to set down the costs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CHOI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Assuman v. Kent, [2009] B.C.J. No. 2945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M060478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2945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1964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Lynn Assuman, Plaintiff, and Dr. Nancy Kent, Dr. Jennifer C. Muir, Dr. Deborah Money, Dr. Alain Gagnon, Dr. Abhullah, Dr. Anand Dr. Andrew J. Kotaska, Dr. G. Samoukovic, Dr. Susan E. Purkiss, Dr. Sayrin Lalji, Dr. Kenneth I. Lim, Dr. John Doe No. 1, Dr. John Doe No. 2, Dr. John Doe No. 3, Dr. John Doe No. 4, Dr. John Doe No. 5, Dr. John Doe No. 6, Dr. John Doe No. 7, Dr. John Doe No. 8, Dr. John Doe No. 9, Dr. John Doe No. 10, Dr. John Doe No. 11, Dr. John Doe No. 12, Nurse S. Baker, Nurse Montague, Nurse Jane Doe No. 1, Nurse Jane Doe No. 2, Nurse Jane Doe No. 3, Nurse Jane Doe No. 4, Nurse Jane Doe No. 5, Children's and Women's Health Centre of British Columbia, British Columbia's Children's Hospital, and Provincial Health Services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jc w:val="both"/>
        <w:rPr>
          <w:rFonts w:ascii="arial" w:eastAsia="arial" w:hAnsi="arial" w:cs="arial"/>
          <w:sz w:val="20"/>
          <w:lang w:val="en-US" w:eastAsia="en-US" w:bidi="ar-SA"/>
        </w:rPr>
      </w:pPr>
      <w:bookmarkStart w:id="352" w:name="Counsel_41"/>
      <w:bookmarkEnd w:id="3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her own behalf: L. Assuman.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Nurse Baker, Nurse Montague, Children's and Women's Health Centre of British Columbia and Provincial Health Services Authority: Catherine Woods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physicians: B. Stock.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3" w:name="Judgment_41"/>
      <w:bookmarkEnd w:id="353"/>
      <w:r>
        <w:pict>
          <v:line id="_x0000_s1226" style="position:absolute;z-index:2517524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4" w:name="E.J. ADAIR J. (orally)"/>
            <w:bookmarkEnd w:id="354"/>
            <w:r>
              <w:rPr>
                <w:rFonts w:ascii="arial" w:eastAsia="arial" w:hAnsi="arial" w:cs="arial"/>
                <w:b/>
                <w:color w:val="000000"/>
                <w:sz w:val="30"/>
                <w:lang w:val="en-US" w:eastAsia="en-US" w:bidi="ar-SA"/>
              </w:rPr>
              <w:t>E.J. ADAIR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Lynn Assuman, delivered healthy triplets by C-section on February 4, 2004 at B.C. Women's Hospital. Ms. Assuman was then 46 years old, and her pregnancy was considered a high risk one. She was admitted to hospital on January 30, 2004 when her pregnancy was at 34 weeks. At that time, she had worrying symptoms, including increased blood pressure, and the doctor who examined and admitted her suspected she had gestational hypertension and pre-eclampsia.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Based on the evidence, specifically that of Doctors Muir (who performed the caesarean) and Kent (who assisted and supervised Dr. Muir), the surgery for the caesarean itself was uneventful. When Dr. Muir saw Ms. Assuman in the evening of February 4, 2004, she noted that Ms. Assuman was feeling well and had no complaints. Dr. Muir saw Ms. Assuman again late in the evening and noted that Ms. Assuman had seen her babies, that she continued to feel well and was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However, and regrettably, Ms. Assuman subsequently developed a number of complications. I will summarize some of these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disclosed that on February 10, 2004, Ms. Assuman complained of upper abdominal discomfort that had started during the night. X-rays were ordered, but there was no evidence of an obstruction, and no mass was identified. On February 12, 2004, Ms. Assuman had worsening anaemia. Blood work investigations were ordered to rule out iron/folate deficiency and haemolysis (abnormal breakdown of red blood cells). Orders were given for supplementary iron sulphate and folate. An ultrasound and blood work were ordered by the internal medicine resident. The report from the ultrasound indicated moderate ascites (fluid in the space between the tissues lining the abdomen and abdominal organs), but no other abnormality was identified. On February 14, 2004, the on-call physician for the maternal-fetal medicine service examined Ms. Assuman and noted that she remained generally uncomfortable with abdominal distention, bowel cramps and that she had profound leg edema. The doctor noted severe third spacing (that is, when body fluids collect in a "third" body compartment that is not normally perfused or permeated with fluids), with no clear cardiac etiology based on the investigations Ms. Assuman had undergone to that date. There were significant hypo-albuminemia (abnormally low blood level of albumin) and anaemia that were contributing factors. The doctor discussed the possibility of a blood transfusion with Ms. Assuman, including the anticipated benefits (that she would likely feel better, she would likely improve her ability to mobilize, and the transfusion would promote reabsorption of some of the fluid from the abdomen). However Ms. Assuman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February 16, 2004, Ms. Assuman's anaemia was noted and the obstetrician and gynecologist on call discussed a blood transfusion with her, but she refused. On February 17, 2004, it was noted that Ms. Assuman had a low grade fever. On February 18, 2004, Ms. Assuman was seen in consult by a hematologist for progressive anaemia. The doctor noted abdominal distension. Ultrasound showed ascites. He recommended transfusion but Ms. Assuman declined. On February 19, 2004, an abdominal ultrasound was carried out, and the report indicated a large amount of ascites throughout the abdomen with some septations (divisions or partitions) felt probably to be organizing clot. One of the physicians' notes on Ms. Assuman's chart was that the indications for surgery for Ms. Assuman would be increased temperature and signs of infection and/or continuing drop in hemoglobin. Ms. Assuman was examined by another doctor the same day, who noted that if the hemoglobin dropped further, Ms. Assuman would need treatment and/or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February 23, 2004, a number of problems were noted by the day-call maternal-fetal medicine physician in charge. One of these was anaemia. Ms. Assuman's hemoglobin was 56 and showing no signs of change from the previous week. The doctor noted that with hemoglobin less than 60 there was significant risk to the mother, including death, and Ms. Assuman's ability to heal and recover were impaired due to low hemoglobin. On February 24, 2004, an abdominal ultrasound was carried out, and the report indicated moderate to marked ascites located in the left flank. Hemoglobin was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February 25, 2004, Ms. Assuman's temperature was elevated. A blood culture was done, and the report indicated there was no growth. The on-call physician had a long discussion with Ms. Assuman and her husband about blood transfusion. He told Ms. Assuman that any further significant bleeding might cause her acute ischemia and severe morbidity or death. Ms. Assuman agreed to a transfusion.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nursing notes on February 28, 2004 indicate that Ms. Assuman had a small white pustule on the right lower abdomen between abdominal folds, which was beginning to rupture. A swab was taken for culture and sensitivity. The culture report indicated a growth of +3 staph aureus sensitive to Cefazolin, Clindamycin, Cotrimoxazole and Oxacillin. On February 29, 2004, the physician noted a wound swab for culture had grown staph aureus 3+, and Ms. Assuman told the doctor about the pustule she had noticed. There was a gauze over the lesion to absorb the discharge. On examination, Ms. Assuman's temperature was elevated, and the doctor's impression was that there was a wound infection that may need to be incised and drained. The doctor ordered oral Cloxacillin (an antibiotic) four times daily for Ms. Assuman.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Ms. Assuman was examined on March 2, 2004, the physician noted his impression of peritonitis. He ordered a CT scan and probable OR that day, and, indeed, Ms. Assuman underwent an exploratory laparotomy and lysis (disintegration) of adhesions on March 2. Among other things, diffuse multi-loculated abscesses (abscesses with multiple compartments) were seen throughout the abdominal cavity. Multiple other loculations of acidic fluid were also encountered. During blunt dissension and sharp dissection to start mobilizing the loculations, a small bowel perforation was caused, and Dr. Allardyce, a general surgeon, was called from St. Paul's Hospital to deal with this. Ms. Assuman was subsequently transferred to St. Paul's for further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Among the doctors who treated Ms. Assuman during this period were Dr. Muir (who at the time was a fifth year resident in obstetrics and gynecology), Dr. Kent (an obstetrician and gynecologist, and a specialist in maternal-fetal medicine), Dr. Lim (an obstetrician and gynecologist, and a specialist in maternal-fetal medicine), Dr. Lalji (an obstetrician and gynecologist, and a fellow in the maternal fetal medicine subspecialty training program at B.C. Women's Hospital), Dr. Money (an obstetrician and gynecologist with the subspecialty in infectious diseases), Dr. Purkiss (a specialist in internal medicine) and Dr. Gagnon (an obstetrician and gynecologist, and a specialist in maternal-fetal medicine). All are named as defendants in this action and I will refer to them collectively as "the Defendant Doctors." Four other doctors (Abdullah, Anand, Kotaska and Samoukovic) are also named as defendants, but they were never served with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this action, Ms. Assuman claims damages against the Defendant Doctors and against the defendants Nurse Baker and Nurse Montague (the "Nurses"), the Children's &amp; Women's Health Centre of British Columbia (a branch of the Provincial Health Services Authority) and the Provincial Health Services Authority carrying on business as B.C. Children's Hospital (collectively, the "Hospital Defendants") for alleged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during Ms. Assuman's treatment and hospitalization in the period between January 30 and March 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Doctors apply pursuant to Rule 18A for an order that Ms. Assuman's claim against them be dismissed. In support of their application, they have filed affidavits sworn by Doctors Kent, Muir, Money, Gagnon, Purkiss, Lalji and Lim, setting out facts concerning Ms. Assuman's treatment in the relevant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the Defendant Doctors have filed two expert reports to support dismissal of Ms. Assuman's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first report is from Dr. Geoffrey Cundiff, an obstetrician and gynecologist in the department of obstetrics and gynecology at the Faculty of Medicine at UBC. Dr. Cundiff expresses his opinion concerning the care Ms. Assuman received generally, and specifically from Doctors Kent, Money, Lim, Gagnon, Lalji and Muir. His opinion is based on a statement of assumed facts (the "Assumed Facts") and the clinical notes and records of B.C. Women's Hospital relating to Ms. Assuman's treatment during the relevant period (the "Clinical Records"). The Assumed Facts are themselves based on the contents of the Clinical Records. The Clinical Records were in evidence as an exhibit to the affidavit of Dr. Gagnon, and many of the matters reflected in the Clinical Records were separately verified under oath in the affidavits of the Defendant Doctors. In brief summary, Dr. Cundiff's opinion is that the care provided to Ms. Assuman by Doctors Kent, Money, Lim, Gagnon, Lalji and Muir was timely and appropriate and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second opinion is from Dr. John Boyd. He is a specialist certified in adult internal medicine, pulmonary and critical care medicine, and his practice consists mainly of attending in the critical care units at St. Paul's and Mt. St. Joseph's hospitals in Vancouver. While attending at St. Paul's, Dr. Boyd's group provides critical care consultation for B.C. Children's &amp; Women's Hospital. In his group's critical care units, the primary admission diagnosis is severe infection with pneumonia representing the most common infection; intra-abdominal infection is just behind this as the second most common admission diagnosis. Dr. Boyd states that he is very familiar with the clinical presentation of sepsis, and in particular intra-abdominal sepsis. Dr. Boyd's opinion is also based on the Assumed Facts and the Clinical Records. Again to summarize, Dr. Boyd's opinion is that the treatment and care Ms. Assuman received during the relevant period was within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Nurses and the Hospital Defendants also apply pursuant to Rule 18A for dismissal of Ms. Assuman's claim against them. They rely on the same affidavits and expert reports submitted by the Defendant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Assuman, who is representing herself, submitted no affidavit evidence with respect to the merits of her claims, and no expert report or reports. Rather, on August 14, 2009, she swore a very brief affidavit, which she submitted at the beginning of the hearing on August 24, 2009 in support of an application for an adjournment. Ms. Assuman says in her affidavit, beginning at paragraph 2:</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to many lawyers and they are very busy. They could not handle my case. I went to pick up files from them.</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still trying to find a lawyer and calling them.</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want my case dismissed and want my day in court.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so sick and blood vessels are very weak when I walk. Because of too many surgeries I wobble when I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Assuman informed me that she had seen a lawyer on August 14, 2009, but it was unclear whether this individual had in fact agreed to act for Ms. Assuman. Ms. Assuman confirmed that she has been unable to locate a medical doctor who has told her that he or she will provide an opinion supporting Ms. Assuman's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order to succeed in her case Ms. Assuman must first prove that the Defendant Doctors failed to meet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When a medical professional acts in accordance with a recognized and acceptable practice of the profession, he or she will not be found to be negligent. The standard is one of a prudent and diligent medical professional in similar circumstances. In the case of a specialist, the doctor's behaviour must be assessed in light of the conduct of other ordinary specialists, who possess a reasonable level of knowledge, competence and skill expected of professionals in Canada in that field. The conduct of the physician is judged in light of the knowledge that ought to have been possessed at the time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Courts must not, with the benefit of hindsight, judge too harshly doctors who act in accordance with prevailing standards of professional knowledge, and should be careful not to rely on the perfect vision afforded by hindsight. See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Korn</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paras. 33-34; and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at pp. 812-813.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the Court of Appeal has recently emphasized the importance of not judging with the benefit of hindsight whether a physician failed to meet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However, by imposing a standard of excellence that amounted to perfection, the trial judge set a standard that was impossible to rebut. ... In this respect, the trial judge improperly focussed only on the result of the surgery and not on the precise manner in which [the doctor] failed to meet the appropriate standard of care. In the result, he held the doctor to a standard that amounted to a guarantee. But such a standard has never been the law is exemplified in the passage from </w:t>
      </w:r>
      <w:r>
        <w:rPr>
          <w:rFonts w:ascii="arial" w:eastAsia="arial" w:hAnsi="arial" w:cs="arial"/>
          <w:i/>
          <w:color w:val="000000"/>
          <w:sz w:val="20"/>
          <w:lang w:val="en-US" w:eastAsia="en-US" w:bidi="ar-SA"/>
        </w:rPr>
        <w:t>Greaves and Co. (Contractors) Ltd. v. Baynham Meikle &amp; Partners</w:t>
      </w:r>
      <w:r>
        <w:rPr>
          <w:rFonts w:ascii="arial" w:eastAsia="arial" w:hAnsi="arial" w:cs="arial"/>
          <w:color w:val="000000"/>
          <w:sz w:val="20"/>
          <w:lang w:val="en-US" w:eastAsia="en-US" w:bidi="ar-SA"/>
        </w:rPr>
        <w:t>, [1995] 3 All E.R. 99 at 103-104 ... per Lord Denning, M.R.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does not usually imply a warranty that [a professional] will achieve the desired result, but only a term that he will use reasonable care and skill. The surgeon does not warrant that he will cure the patient. Nor does the solicitor warrant that he will win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follows that, although Ms. Assuman experienced serious complications following the birth of her triplets, one cannot conclude from this that any of the Defendant Doctors failed to act in accordance with the appropriate standard of care or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 doctor is not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he or she has acted in accordance with the practice accepted as proper by a responsible body of medical practitioners skilled in that particular art. In other words, a doctor is not negligent if he or she is acting in accordance with such a practice merely because there is a body of opinion that takes a contrary view. I will just pause here to note that there is no body of opinion in this case submitted by Ms. Assuman that does take a contrary view. A court's preference for one body of opinion over another is not sufficient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practitioner whose actions have received the seal of approval of those whose opinions truthfully expressed honestly held were not preferred. See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at pp. 469 and 473-474.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under Rule 18A, the court may grant judgment unless the court is of the opinion that it would be unjust to decide the application, I will now set out some procedural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Ms. Assuman's writ was filed February 3, 2006, two years after her c-section. The statement of claim was filed on September 14, 2007, and is signed by Ms. Assuman herself. Although not without flaws, it is competently drafted. One of the more serious flaws is that all of the defendants are lumped together in a general plea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After pleading facts concerning her c-section on February 4, 2004, Ms. Assuman alleges: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this operation [the c-section] and/or subsequent treatment by the Defendant doctors and nurses, while in the Defendants' hospital, the Plaintiff developed severe infection and sepsis which necessitated numerous further surgeries, extended hospitalization and put the Plaintiff in a coma for several weeks.</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sepsis and resulting damages were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duty on the part of the Defendants or any of them, particulars of which include, without restricting the generality of the foregoing: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adequate care to prevent infection;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adequate care to avoid and/or insure there were no perforations of the bowel as a result of the initial operation;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reasonable steps to detect sepsis and/or perforations of the bowels after the said caesarean section;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reasonable or adequate steps once they knew or ought to have known of the perforation of the plaintiff's bowel and/or sepsis;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adequate and/or timely steps to repair and/or drain the leakage from the bowel and the fluid from the peritoneal cavity;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adequate, appropriate and timely medication to the Plaintiff;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 reasonable standard of care to the Plaintiff under all of the circumstances of the case;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note and report signs which they knew or ought to have known would have indicated the need for further treatment and/or more timely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Again, I will just pause here to note that a copy of the statement of claim was provided to both of the experts in connection with the preparation of their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Based on these allegations, Ms. Assuman believed and intended to prove that her bowel was perforated during her C-section surgery on February 4, 2004. Indeed, she expressed such a belief in the course of making her submissions at the hearing. However, there is no evidence to support this conclusion. On the contrary, based on the operative note in the Clinical Records in evidence, the bowel perforation did not occur until Ms. Assuman's exploratory surgery on March 2,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statement of defence on behalf of the Nurses and the Hospital Defendants was filed on September 21, 2007. The Defendant Doctors' statement of defence was filed on October 18, 2007. Both defences put liability and damages in issue. As of October 18, 2007, the pleadings were closed. Since then, there have been no examinations for discovery and the case has not been set for trial. I understand that Ms. Assuman has had the assistance of legal counsel from time to time, but since about December 2008 she has been representing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the applications came on for hearing on August 24, 2009, Ms. Stock, counsel for the Defendant Doctors, submitted for filing two affidavits of service: one sworn by Brittany Weinberger, process server, on August 12, 2009; and the second sworn by Larry Galvin, process server, on July 21, 2009. Ms. Weinberger's affidavit discloses that on June 12, 2009, in addition to the motion, affidavits, expert reports and outline on which the Defendant Doctors rely in support of the application, and a notice of hearing, two letters from Ms. Stock to Ms. Assuman were delivered to Ms. Assuman's address for delivery. One of the letters is a covering letter for the motion materials, where Ms. Stock says in part (emphasis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assisting Mr. Brown with respect to this matter in terms of preparing and speaking to a summary trial application to have your claim against [the Defendant Doctors] dismissed with costs. A summary trial is a trial on the merits of the claim pursuant to Rule 18A of the British Columbia Supreme Court Rules of Court. I have enclosed a copy of Rule 18A for your review. At a summary trial application, the parties rely upon affidavit and/or expert evidence. We have scheduled the summary trial for </w:t>
      </w:r>
      <w:r>
        <w:rPr>
          <w:rFonts w:ascii="arial" w:eastAsia="arial" w:hAnsi="arial" w:cs="arial"/>
          <w:b/>
          <w:color w:val="000000"/>
          <w:sz w:val="20"/>
          <w:lang w:val="en-US" w:eastAsia="en-US" w:bidi="ar-SA"/>
        </w:rPr>
        <w:t>Monday, August 24, 2009</w:t>
      </w:r>
      <w:r>
        <w:rPr>
          <w:rFonts w:ascii="arial" w:eastAsia="arial" w:hAnsi="arial" w:cs="arial"/>
          <w:color w:val="000000"/>
          <w:sz w:val="20"/>
          <w:lang w:val="en-US" w:eastAsia="en-US" w:bidi="ar-SA"/>
        </w:rPr>
        <w:t xml:space="preserve"> at the Vancouver Law Courts, located at 800 Smithe Street, Vancouver, B.C. At this summary trial application we will be seeking to have your entire claim against the Defendant Doctors dismissed for all purposes and will be seeking an order that you pay the costs of the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recommend that you seek counsel if you have not already done so, to assist you with respect to this application. We have provided you with sufficient notice of the application and will not agree to an adjournment and, therefore, put you on notice that if you intend to seek counsel, you should do so promptly, in order to ensure that he or she is available to attend at the summary trial on </w:t>
      </w:r>
      <w:r>
        <w:rPr>
          <w:rFonts w:ascii="arial" w:eastAsia="arial" w:hAnsi="arial" w:cs="arial"/>
          <w:b/>
          <w:color w:val="000000"/>
          <w:sz w:val="20"/>
          <w:lang w:val="en-US" w:eastAsia="en-US" w:bidi="ar-SA"/>
        </w:rPr>
        <w:t>August 24, 2009</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also commend you to refer to the BC Supreme Court self-help information centre which can be found on the internet at www.supremecourtselfhelp.bc.ca. This website provides legal information, education, and referral services for family and civil (non-family) cases for unrepresented litigants involving civil actions in the Vancouver location of the Supreme Court of British Columbia. Should you wish to review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further, you may find them at the courthouse library or at the court's website at www.courts.gov.bc.ca. Once you are on the Supreme Court page, click on the link for </w:t>
      </w:r>
      <w:r>
        <w:rPr>
          <w:rFonts w:ascii="arial" w:eastAsia="arial" w:hAnsi="arial" w:cs="arial"/>
          <w:i/>
          <w:color w:val="000000"/>
          <w:sz w:val="20"/>
          <w:lang w:val="en-US" w:eastAsia="en-US" w:bidi="ar-SA"/>
        </w:rPr>
        <w:t>Supreme Court Act, Rules and Forms</w:t>
      </w:r>
      <w:r>
        <w:rPr>
          <w:rFonts w:ascii="arial" w:eastAsia="arial" w:hAnsi="arial" w:cs="arial"/>
          <w:color w:val="000000"/>
          <w:sz w:val="20"/>
          <w:lang w:val="en-US" w:eastAsia="en-US" w:bidi="ar-SA"/>
        </w:rPr>
        <w:t xml:space="preserve">. We expect you to abide by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with respect to this application and action, and, therefore commend you to refer to the above resources should you choose not to retain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affidavit of Mr. Galvin discloses that on July 16, 2009, Ms. Assuman was served at her address for delivery with copies of the chambers record index, the Defendant Doctors' written submissions and their brief of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Although Ms. Assuman has had almost two years from the time pleadings were closed to assemble evidence to support her case, and although she had ample notice of the date on which the defendants intended to have their summary trial applications heard, she did not submit any evidence going to the merits of her case when the summary trial came on for hearing. She also did not submit any evidence based on which I could reasonably conclude that, with more time, she would or even might be in a position to put evidence before the court to support her claims. The defendants, who face serious complaints concerning their professional conduct, are entitled to ask the court to rule on the merits of Ms. Assuman's case. They are not required to wait indefinitely for Ms. Assuman to prosecute her claims. Accordingly, in my opinion, it is not unjust to decide the issues on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courts have indicated clearly that the burden is on the plaintiff to prove that a defendant doctor fell below his or her required standard of care, and to provide evidence to support those allegations. Where a defendant has provided evidence to show that the standard of care has been met - as the Defendant Doctors have done in this case - and there is no evidence to the contrary, the defendant's application to dismiss the plaintiff's action ought to succeed: See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at paras 33-34; </w:t>
      </w:r>
      <w:r>
        <w:rPr>
          <w:rFonts w:ascii="arial" w:eastAsia="arial" w:hAnsi="arial" w:cs="arial"/>
          <w:i/>
          <w:color w:val="000000"/>
          <w:sz w:val="20"/>
          <w:lang w:val="en-US" w:eastAsia="en-US" w:bidi="ar-SA"/>
        </w:rPr>
        <w:t>American Pyramid Resources Inc. v. Royal Bank of Canada and others</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(1986), 2 B.C.L.R. (2d) 99</w:t>
        </w:r>
      </w:hyperlink>
      <w:r>
        <w:rPr>
          <w:rFonts w:ascii="arial" w:eastAsia="arial" w:hAnsi="arial" w:cs="arial"/>
          <w:color w:val="000000"/>
          <w:sz w:val="20"/>
          <w:lang w:val="en-US" w:eastAsia="en-US" w:bidi="ar-SA"/>
        </w:rPr>
        <w:t xml:space="preserve"> (S.C.) at pp. 105-106; </w:t>
      </w:r>
      <w:r>
        <w:rPr>
          <w:rFonts w:ascii="arial" w:eastAsia="arial" w:hAnsi="arial" w:cs="arial"/>
          <w:i/>
          <w:color w:val="000000"/>
          <w:sz w:val="20"/>
          <w:lang w:val="en-US" w:eastAsia="en-US" w:bidi="ar-SA"/>
        </w:rPr>
        <w:t>Steeves v. Air Canada</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[1996] B.C.J. No. 2879</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Pushee v. Roland</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2002 BCSC 1771</w:t>
        </w:r>
      </w:hyperlink>
      <w:r>
        <w:rPr>
          <w:rFonts w:ascii="arial" w:eastAsia="arial" w:hAnsi="arial" w:cs="arial"/>
          <w:color w:val="000000"/>
          <w:sz w:val="20"/>
          <w:lang w:val="en-US" w:eastAsia="en-US" w:bidi="ar-SA"/>
        </w:rPr>
        <w:t>, at paras. 16-21.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Steeves v. Air Canada</w:t>
      </w:r>
      <w:r>
        <w:rPr>
          <w:rFonts w:ascii="arial" w:eastAsia="arial" w:hAnsi="arial" w:cs="arial"/>
          <w:color w:val="000000"/>
          <w:sz w:val="20"/>
          <w:lang w:val="en-US" w:eastAsia="en-US" w:bidi="ar-SA"/>
        </w:rPr>
        <w:t>, the plaintiff claimed that the defendant Dr. Boileau was negligent in his medical care and treatment of her. Dr. Boileau made an application for a summary trial seeking dismissal of the plaintiff's claim against him. In dismissing the plaintiff's claim, Madam Justice Baker said at paras. 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 This is a trial, although it is a summary trial. The plaintiff is obliged to produce evidence, as at any trial. The plaintiff has not produced any evidence, expert or otherwise, that the conduct of Dr. Boileau fell below the standard of care required of a general physician in his circumstances. The plaintiff has not produced any evidence that, had Dr. Boileau done or not done something differently, the outcome would have been any different.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defendant on the other hand has produced evidence with respect to the treatment provided by Dr. Boileau in accordance with his records which included referrals to cardiologists, a hospitalization in which she was seen by an internist who did not identify the renal artery problem, although it would presumably have been within his area of expertise, and three expert opinions indicating that the treatment by Dr. Boileau was not only appropriate but in one case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Pushee v. Roland</w:t>
      </w:r>
      <w:r>
        <w:rPr>
          <w:rFonts w:ascii="arial" w:eastAsia="arial" w:hAnsi="arial" w:cs="arial"/>
          <w:color w:val="000000"/>
          <w:sz w:val="20"/>
          <w:lang w:val="en-US" w:eastAsia="en-US" w:bidi="ar-SA"/>
        </w:rPr>
        <w:t xml:space="preserve"> is another case where the plaintiff alleged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one of the defendant doctors, Dr. Stephenson, applied to have the action dismissed as against him on a summary trial. In dismissing the action, Mr. Justice Burnyeat said, at paras 19-20: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the absence of expert evidence to the contrary, the procedures adopted by Dr. Stephenson are assumed not to be negligent.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Sopinka,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(at p. 216)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This principle has been adopted in British Columbia in the following decisions: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Zeledon v. Kelowna General Hospital</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[1996] B.C.J. No. 2868</w:t>
        </w:r>
      </w:hyperlink>
      <w:r>
        <w:rPr>
          <w:rFonts w:ascii="arial" w:eastAsia="arial" w:hAnsi="arial" w:cs="arial"/>
          <w:color w:val="000000"/>
          <w:sz w:val="20"/>
          <w:lang w:val="en-US" w:eastAsia="en-US" w:bidi="ar-SA"/>
        </w:rPr>
        <w:t xml:space="preserve"> (B.C.S.C.): "The burden is on the plaintiff to prove the defendant doctors fell below the required standards of care and to provide evidence to support these allegations. Here, the defendants have provided evidence to support the standard of care and that it has been met. Not only has the plaintiff not provided evidence to the contrary, but the plaintiff's own evidence supports the defendants." (at para. 41);</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Steeves v. Air Canada</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[1996] B.C.J. No. 2879</w:t>
        </w:r>
      </w:hyperlink>
      <w:r>
        <w:rPr>
          <w:rFonts w:ascii="arial" w:eastAsia="arial" w:hAnsi="arial" w:cs="arial"/>
          <w:color w:val="000000"/>
          <w:sz w:val="20"/>
          <w:lang w:val="en-US" w:eastAsia="en-US" w:bidi="ar-SA"/>
        </w:rPr>
        <w:t xml:space="preserve"> (B.C.S.C.): "Absent any expert evidence that Dr. Boileau should have done something other than what he did, it is not open to the court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fact that at a later date another physician ... considered a further alternative and identified a possible renal problem."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failure of Ms. Assuman to present any expert evidence that any of the Defendant Doctors failed to meet the standard of care required of him or her is fatal through her case. The action is therefore dismissed as against the Defendant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same result follows with respect to the Nurses and the Hospital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None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 16 of the statement of claim relate directly to the care rendered by the nursing staff, who are not the individuals charged with performing surgery or detecting bowel perforations or prescribing medications. The only particular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could potentially relate to the nursing staff is subparagraph (h), which alleges the failure to note or report signs which "they" knew or ought to have known would have indicated the need for further treatment and/or more timely treatment. The "they" is not made specific to the nurses but relates to all defendants. To the extent that the allegation is against the Nurses, there is no evidence to support a failure on their part to note and report signs indicative of the need for further treatment. Rather, the affidavits of the Defendant Doctors confirm that they were aware of Ms. Assuman's condition and were treating it. Those affidavits do not suggest there was anything that the nursing staff failed to bring to the doctors' attention which would have altered their course of treatment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any event, diagnosis and treatment are not the responsibility of nursing staff. See </w:t>
      </w:r>
      <w:r>
        <w:rPr>
          <w:rFonts w:ascii="arial" w:eastAsia="arial" w:hAnsi="arial" w:cs="arial"/>
          <w:i/>
          <w:color w:val="000000"/>
          <w:sz w:val="20"/>
          <w:lang w:val="en-US" w:eastAsia="en-US" w:bidi="ar-SA"/>
        </w:rPr>
        <w:t>Tekano v. Lions Gate Hospital</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xml:space="preserve"> (S.C.) at paras. 109-110.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hospital chart also discloses the detailed monitoring and observations of Ms. Assuman were being undertaken by the nursing staff, with regular reports being made to the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was the case with the Defendant Doctors, Ms. Assuman has failed to adduce evidence - specifically, expert evidence - to show that the Nurses breached the standard of care. On the contrary, the preponderance of evidence from the Clinical Records, the affidavits of the Defendant Doctors, and the experts' reports, is that the treatment Ms. Assuman received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follows, therefore, that Ms. Assuman's claims against the Nurses and the Hospital Defendants must also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summary then, Ms. Assuman's action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036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Bahinipaty v. Vancouver Coastal Health Authority (c.o.b. Vancouver General Hospital), [2019] B.C.J. No. 2361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F.V. Marzari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S175536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2361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2112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Lingaraj Bahinipaty, Plaintiff, and Vancouver Coastal Health Authority operating as Vancouver General Hospital, Thomas J. Zwimpfer, MD, A.B. Morrison, MD, Faisal Khosa, MD, Ismail Ali, MD, A.A. Sharma, MD, Alex Sheppard, Charlotte Dandurand, MD, Andrew Meikel, MD,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jc w:val="both"/>
        <w:rPr>
          <w:rFonts w:ascii="arial" w:eastAsia="arial" w:hAnsi="arial" w:cs="arial"/>
          <w:sz w:val="20"/>
          <w:lang w:val="en-US" w:eastAsia="en-US" w:bidi="ar-SA"/>
        </w:rPr>
      </w:pPr>
      <w:bookmarkStart w:id="355" w:name="Counsel_42"/>
      <w:bookmarkEnd w:id="3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on his own behalf: L. Bahinipaty.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Vancouver Coastal Health Authority operating as Vancouver General Hospital: K. Low, M. Checchia.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Thomas Zwimpfer, MD, A.B. Morrison, MD, Faisal Khosa, MD, Ismail Ali, MD, A.A. Sharma, MD, Alex Sheppard, Charlotte Dandurand, MD and Andrew Meikel, MD: M.G.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6" w:name="Judgment_42"/>
      <w:bookmarkEnd w:id="356"/>
      <w:r>
        <w:pict>
          <v:line id="_x0000_s1229" style="position:absolute;z-index:2517534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7" w:name="F.V. MARZARI J."/>
            <w:bookmarkEnd w:id="357"/>
            <w:r>
              <w:rPr>
                <w:rFonts w:ascii="arial" w:eastAsia="arial" w:hAnsi="arial" w:cs="arial"/>
                <w:b/>
                <w:color w:val="000000"/>
                <w:sz w:val="30"/>
                <w:lang w:val="en-US" w:eastAsia="en-US" w:bidi="ar-SA"/>
              </w:rPr>
              <w:t>F.V. MARZARI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Vancouver Coastal Health Authority ("VCHA") applies to dismiss the action of Mr. Bahinipaty against it by way of summary trial, on the basis that the plaintiff misconceives its duty of care to him, and on the basis that the plaintiff has not, and will not be able to, prove a breach of its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Bahinipaty's action is for alleged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that he underwent at the Vancouver General Hospital ("VGH") between January 23, 2016 and February 12, 2016. He argues that the craniotomy was unnecessary, because he did not have a brain tumor but rather a stroke, and he argues that he would not have agreed to proceed with the craniotomy had he known that an MRI or a CTA had not been completed beforehand.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Bahinipaty's action is brought against Vancouver Coastal Health Authority operating as Vancouver General Hospital as well as 8 individuals (who I understand to be physicians) who he says treated him. The VCHA employs the nurses, technicians, and other non-physician staff who work at VGH, but it does not employ the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 ruling earlier this year, this Court dismissed an application by Mr. Bahinipaty to add individual staff members employed by the VCHA as defendants. I understand that Mr. Bahinipaty appealed that decision, but that appeal has been stayed by the Court of Appeal pending Mr. Bahinipaty posting security for costs of the appeal. Mr. Bahinipaty advised that he does not intend to proceed with that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Bahinipaty is now 78 years old. At the time of the surgery, he was 74 years old. He is representing himself in this action. He indicates that he is both a retired emergency room physician and a retired medical malpractice attorney, though neither of those practices were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His position is that he suffered a minor stroke but that the doctors treating him "deliberately, intentionally and knowingly" misdiagnosed his stroke as a brain tumor in order to proceed with a craniotomy. He furthermore alleges the staff employed by VCHA and working at VGH knew that Dr. Zwimpfer had lied to him about the tumor in order to obtain his consent to perform the emergency craniotomy. At the least, he argued before me, they should have warned him not to consent to the recommended surgery without an MRI and CTA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Bahinipaty has filed no expert evidence with respect to what his proper diagnosis should have been, but in argument he states that it is self-evident that he had a stroke, and not brain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evidence before me, and without any expert opinion evidence at all, it is not possible to determine whether or not Mr. Bahinipaty had a brain tumor, or, as he argues, he just had a stroke. Nor is it possible to determine on the evidence whether a diagnosis of brain tumor was supported by the information available to Dr. Zwimpfer or the other physicians who treated Mr. Bahinipaty at the time of his treatment. To put this another way, none of this information is self-evident.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does establish that Mr. Bahinipaty arrived at the VGH Emergency Department with complaints of dizziness, dehydration, slurred speech and weakness on his right side. About an hour after he arrived at the emergency ward, a doctor at the hospital examined Mr. Bahinipaty and ordered a number of tests, including a CT angiogram. Another doctor cancelled the order for the CT angiogram and instead ordered a CT contrast scan. The CT contrast scan was performed that day, and as a result of the CT scan, Mr. Bahinipaty was referred to neurology. By 10:00 p.m. that night, Mr. Bahinipaty was accepted into neurosurgery under the care of the head of neurosurgery for VGH, Dr. Zwimpfer, with a diagnosis of a brain tumor.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next day, it appears that Dr. Zwimpfer ordered a number of tests and investigations, including an MRI. However, the MRI was cancelled on January 25, 2016, and Dr. Zwimpfer performed the craniotomy on January 27, 2016, removing a portion of Mr. Bahinipaty's cerebellum.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Bahinipaty relies on the facts that both a CTA and an MRI were ordered and then cancelled as evidence of a breach of the standard of care in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Bahinipaty's main allegation is that the craniotomy performed by Dr. Zwimpfer on him was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the grounds for VCHA's liability, Mr. Bahinipaty argues that not only the doctors, but also the VCHA nurses and staff who were involved in his treatment, ought to have prevented, halted or refused to proceed with his surgery. At the least, he says, they should have informed him that without a CTA and MRI scan he should not accept the recommendation to proceed with surgery made by his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Bahinipaty also argues that the technician who performed the ordered CT contrast scan on him ought to have unilaterally performed a CTA and an MRI despite the cancellation of these tests by Mr. Bahinipaty's treating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VCHA argues that Mr. Bahinipaty misunderstands the role of hospital staff, as opposed to physicians. It says that Mr. Bahinipaty's claim is fundamentally based on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his medical diagnosis, his course of treatment, as well as what tests or investigations were necessary to make a proper diagnosis, and how Mr. Bahinipaty's consent was obtained for proceeding with that treatment. Diagnosis, treatment, directing the appropriate tests and scans to be performed, recommending or advising on treatment, and obtaining consent are all the sole responsibility of doctors at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VCHA says neither it nor its employees, including its nurses and diagnostic technicians, are authorized to make medical diagnoses, provide medical advice on a patient's course of treatment, order investigations or examinations to be done (including MRIs and CTAs), unilaterally change or alter physician made orders with respect to such tests, or give treatment recommendations to a patient (or disagree with or warn against a doctor's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Furthermore, the VCHA says that it is not directly or vicariously liable for the actions or inactions of doctors who work at VGH, because the doctors are not employees of VGH, including all of the individually named doctor defendants in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That proposition is well established at law. In Y</w:t>
      </w:r>
      <w:r>
        <w:rPr>
          <w:rFonts w:ascii="arial" w:eastAsia="arial" w:hAnsi="arial" w:cs="arial"/>
          <w:i/>
          <w:color w:val="000000"/>
          <w:sz w:val="20"/>
          <w:lang w:val="en-US" w:eastAsia="en-US" w:bidi="ar-SA"/>
        </w:rPr>
        <w:t>epremian et al. v. Scarborough General Hospital et al</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(1980), 110 D.L.R. (3d) 513</w:t>
        </w:r>
      </w:hyperlink>
      <w:r>
        <w:rPr>
          <w:rFonts w:ascii="arial" w:eastAsia="arial" w:hAnsi="arial" w:cs="arial"/>
          <w:color w:val="000000"/>
          <w:sz w:val="20"/>
          <w:lang w:val="en-US" w:eastAsia="en-US" w:bidi="ar-SA"/>
        </w:rPr>
        <w:t>, the Ontario Court of Appeal overturned a finding of liability on behalf of a hospital for the liability of doctors' conduct saying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exercises a substantial degree of control over public hospitals, through regulations and especially through the hospitals' finances. If liability is to be imposed upon hospitals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medical staff, including specialists, not employed by the hospitals, whether directly or by imposing a statutory duty to provide such services, it should be the function of the Legislature, as a policy question, to decide whether and under what conditions such liability is to attach.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Yepremian</w:t>
      </w:r>
      <w:r>
        <w:rPr>
          <w:rFonts w:ascii="arial" w:eastAsia="arial" w:hAnsi="arial" w:cs="arial"/>
          <w:color w:val="000000"/>
          <w:sz w:val="20"/>
          <w:lang w:val="en-US" w:eastAsia="en-US" w:bidi="ar-SA"/>
        </w:rPr>
        <w:t xml:space="preserve"> has been followed by our courts in a number of cases since then, including </w:t>
      </w:r>
      <w:r>
        <w:rPr>
          <w:rFonts w:ascii="arial" w:eastAsia="arial" w:hAnsi="arial" w:cs="arial"/>
          <w:i/>
          <w:color w:val="000000"/>
          <w:sz w:val="20"/>
          <w:lang w:val="en-US" w:eastAsia="en-US" w:bidi="ar-SA"/>
        </w:rPr>
        <w:t>Shannahan v. Fraser Health Authority</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2010 BCSC 144</w:t>
        </w:r>
      </w:hyperlink>
      <w:r>
        <w:rPr>
          <w:rFonts w:ascii="arial" w:eastAsia="arial" w:hAnsi="arial" w:cs="arial"/>
          <w:color w:val="000000"/>
          <w:sz w:val="20"/>
          <w:lang w:val="en-US" w:eastAsia="en-US" w:bidi="ar-SA"/>
        </w:rPr>
        <w:t xml:space="preserve"> at paras. 9-13, and </w:t>
      </w:r>
      <w:r>
        <w:rPr>
          <w:rFonts w:ascii="arial" w:eastAsia="arial" w:hAnsi="arial" w:cs="arial"/>
          <w:i/>
          <w:color w:val="000000"/>
          <w:sz w:val="20"/>
          <w:lang w:val="en-US" w:eastAsia="en-US" w:bidi="ar-SA"/>
        </w:rPr>
        <w:t>Basil v. Interior Health Authority</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2012 BCSC 1158</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Bahinipaty, as I understand him, does not disagree that the VCHA is not vicariously liable for the actions of doctors at VGH. He advances his claim against VCHA on the basis of his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nursing and technical staff who are employed by VCHA.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He also accepts that nurses, technicians and staff cannot provide diagnoses or order tests and investigations. That proposition is also well established at law: </w:t>
      </w:r>
      <w:r>
        <w:rPr>
          <w:rFonts w:ascii="arial" w:eastAsia="arial" w:hAnsi="arial" w:cs="arial"/>
          <w:i/>
          <w:color w:val="000000"/>
          <w:sz w:val="20"/>
          <w:lang w:val="en-US" w:eastAsia="en-US" w:bidi="ar-SA"/>
        </w:rPr>
        <w:t>Tekano (Guardian Ad Litem) v Lions Gate Hospital</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1999 CanLII 1578</w:t>
        </w:r>
      </w:hyperlink>
      <w:r>
        <w:rPr>
          <w:rFonts w:ascii="arial" w:eastAsia="arial" w:hAnsi="arial" w:cs="arial"/>
          <w:color w:val="000000"/>
          <w:sz w:val="20"/>
          <w:lang w:val="en-US" w:eastAsia="en-US" w:bidi="ar-SA"/>
        </w:rPr>
        <w:t xml:space="preserve"> (B.C.S.C.) at para. 110; </w:t>
      </w:r>
      <w:r>
        <w:rPr>
          <w:rFonts w:ascii="arial" w:eastAsia="arial" w:hAnsi="arial" w:cs="arial"/>
          <w:i/>
          <w:color w:val="000000"/>
          <w:sz w:val="20"/>
          <w:lang w:val="en-US" w:eastAsia="en-US" w:bidi="ar-SA"/>
        </w:rPr>
        <w:t>Shannahan</w:t>
      </w:r>
      <w:r>
        <w:rPr>
          <w:rFonts w:ascii="arial" w:eastAsia="arial" w:hAnsi="arial" w:cs="arial"/>
          <w:color w:val="000000"/>
          <w:sz w:val="20"/>
          <w:lang w:val="en-US" w:eastAsia="en-US" w:bidi="ar-SA"/>
        </w:rPr>
        <w:t xml:space="preserve"> at paras. 16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Bahinipaty says, however, that </w:t>
      </w:r>
      <w:r>
        <w:rPr>
          <w:rFonts w:ascii="arial" w:eastAsia="arial" w:hAnsi="arial" w:cs="arial"/>
          <w:i/>
          <w:color w:val="000000"/>
          <w:sz w:val="20"/>
          <w:lang w:val="en-US" w:eastAsia="en-US" w:bidi="ar-SA"/>
        </w:rPr>
        <w:t>Tekano</w:t>
      </w:r>
      <w:r>
        <w:rPr>
          <w:rFonts w:ascii="arial" w:eastAsia="arial" w:hAnsi="arial" w:cs="arial"/>
          <w:color w:val="000000"/>
          <w:sz w:val="20"/>
          <w:lang w:val="en-US" w:eastAsia="en-US" w:bidi="ar-SA"/>
        </w:rPr>
        <w:t xml:space="preserve"> establishes that nurses and other VGH employees have a legal duty to correct a doctor's order or direction where it is "clearly and obviously wrong." He accepts that "nurses are not responsible for diagnosis and are not free to depart from a physician's instructions absent "clear and obvious neglect or incompetence," but he says that this is a case of "obvious neglect or incompetence."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Specifically, Mr. Bahinipaty seeks to proceed with his claim against the VCHA on the basis that its staff </w:t>
      </w:r>
      <w:r>
        <w:rPr>
          <w:rFonts w:ascii="arial" w:eastAsia="arial" w:hAnsi="arial" w:cs="arial"/>
          <w:i/>
          <w:color w:val="000000"/>
          <w:sz w:val="20"/>
          <w:lang w:val="en-US" w:eastAsia="en-US" w:bidi="ar-SA"/>
        </w:rPr>
        <w:t>knew</w:t>
      </w:r>
      <w:r>
        <w:rPr>
          <w:rFonts w:ascii="arial" w:eastAsia="arial" w:hAnsi="arial" w:cs="arial"/>
          <w:color w:val="000000"/>
          <w:sz w:val="20"/>
          <w:lang w:val="en-US" w:eastAsia="en-US" w:bidi="ar-SA"/>
        </w:rPr>
        <w:t xml:space="preserve"> the doctors where committing malpractice because the malpractice was so clear and obvious, and they did nothing to stop it or warn him. In his response to the summary trial application he pleads variously that:</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VGH employees such as ER, ward, and operation room nurses, physiotherapists, and pharmacists... knew of the malpractice of the involved doctors from my medical chart...;"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VGH employees breached their standard of care "for the financial benefit of Dr. Zwimpfer and VCHA and to avoid the retaliatory wrath of Dr. Zwimpfer and VCHA, so, their violation was intentional, calculating, deliberate and knowing at my expenses, and this amounts to concealment of material facts that I would rely on them to my detriment;"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doctor's medical malpractice were 'clear and obvious' and therefore the employees had a duty to warn me of those malpractices."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therefore must consider:</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this application can be decided on summary trial;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VCHA employees breached their standard of care to Mr. Bahinipaty to stop the craniotomy procedure, or at least warn Mr. Bahinipaty directly not to follow his treating doctor's recommendations, on the basis that the actions of the doctors involved were known to the staff to be clearly wrong, negligent, or even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Suitability for Summary Trial on Liability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Because the VCHA seeks summary judgement on liability alone, I must first consider the principles governing severance as part of my determination of whether the matter is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test for severance is whether there are extraordinary, exceptional or compelling reasons for the severance. One compelling reason to order severance is a likelihood of significant savings in time and expense realized by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case, provided that the matter is amenable to summary trial, I find that severance would accomplish a significant savings in time and expense both for the VCHA, and the plaintiff as well. In this case, the issue of liability of the VCHA is discrete from the assessment of damages, and the issue sought to be tried summarily will resolve the whole of the proceeding against VCHA if the VCHA is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circumstances before me are very similar to those before the court in </w:t>
      </w:r>
      <w:r>
        <w:rPr>
          <w:rFonts w:ascii="arial" w:eastAsia="arial" w:hAnsi="arial" w:cs="arial"/>
          <w:i/>
          <w:color w:val="000000"/>
          <w:sz w:val="20"/>
          <w:lang w:val="en-US" w:eastAsia="en-US" w:bidi="ar-SA"/>
        </w:rPr>
        <w:t>Shannahan</w:t>
      </w:r>
      <w:r>
        <w:rPr>
          <w:rFonts w:ascii="arial" w:eastAsia="arial" w:hAnsi="arial" w:cs="arial"/>
          <w:color w:val="000000"/>
          <w:sz w:val="20"/>
          <w:lang w:val="en-US" w:eastAsia="en-US" w:bidi="ar-SA"/>
        </w:rPr>
        <w:t xml:space="preserve">, where this Court severed and dismissed a claim for liability against a health authority in a summary trial on the basis that there was no evidence capable of establishing the standard of care by hospital staff asserted by the plaintiff. As in this case, that claim also primarily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medical diagnosis and treatment, and the plaintiff's claim included a claim against the doctors involved in his treatment as well as the health authority. I have considered, as was considered in that case, whether giving judgment in relation to the VCHA might allow the remaining defendant doctors to throw blame on the Health Authority in its absence, and have concluded that that is not a risk on the pleadings and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Overall, I consider that it is appropriate to sever the issue of liability of the VCHA from the liability of the doctors and from damages assessment more generally for the purposes of considering the amenability of a summary trial on the liability of the VCHA.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test for whether a matter is amenable to summary trial was set out by our Court of Appeal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1989 CanLII 229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factors to be considered in determining the suitability of a summary trial are, among other things, the amount involved, the complexity of the matter, the cost of taking the case forward to a conventional trial in relation to the amount involved, whether there are significant issues of credibility that cannot be resolved on the affidavit evidence, and whether the summary trial involves a substantial risk of wasting time and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However, where, on the whole of the evidence, the court is able to find the facts necessary to decide the issues of fact and law, and it would be just to decide those issues, the court </w:t>
      </w:r>
      <w:r>
        <w:rPr>
          <w:rFonts w:ascii="arial" w:eastAsia="arial" w:hAnsi="arial" w:cs="arial"/>
          <w:i/>
          <w:color w:val="000000"/>
          <w:sz w:val="20"/>
          <w:lang w:val="en-US" w:eastAsia="en-US" w:bidi="ar-SA"/>
        </w:rPr>
        <w:t>should</w:t>
      </w:r>
      <w:r>
        <w:rPr>
          <w:rFonts w:ascii="arial" w:eastAsia="arial" w:hAnsi="arial" w:cs="arial"/>
          <w:color w:val="000000"/>
          <w:sz w:val="20"/>
          <w:lang w:val="en-US" w:eastAsia="en-US" w:bidi="ar-SA"/>
        </w:rPr>
        <w:t xml:space="preserve"> determine the matter. Each party is required to put its "best foot forward" and should not rely upon or assume that the matter will be found not to be amenable.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There is no conflict in the evidence before me so much as an absence of evidence adduced by the plaintiff. There is no expert evidence, for example, that the doctors were negligent at all, but only Mr. Bahinipaty's assertion of this. More importantly for this application, there is no evidence that the doctors were so negligent that the nursing staff and technical staff would have known of the doctors'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breached their own standard of care by failing to intervene in the doctor's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was stated by this Court in </w:t>
      </w:r>
      <w:r>
        <w:rPr>
          <w:rFonts w:ascii="arial" w:eastAsia="arial" w:hAnsi="arial" w:cs="arial"/>
          <w:i/>
          <w:color w:val="000000"/>
          <w:sz w:val="20"/>
          <w:lang w:val="en-US" w:eastAsia="en-US" w:bidi="ar-SA"/>
        </w:rPr>
        <w:t>Basil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It is not sufficient for the plaintiffs to make generalized allegations, and to take no steps following the issue of process to establish whether its suspicions are borne out in the evidence. The defence is entitled to lead its evidence and to put the plaintiffs to the proof of their case. A case based on evidence, including expert evidence negating the plaintiffs' claims, must be met by more than an assertion that the claim is just generally not suitable for disposition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this case, the plaintiff does not argue that there is any new or additional evidence that he intends to rely upon. The trial is set to commence in less than 3 months, and he has not filed any expert evidence with respect to the standard of care of nurses in the context of his care, and he advised me in court that he has no intention of doing so. He seeks a trial so that he can put the various nurses who cared for him on the stand, and he believes that when he is given the opportunity to ask the question whether they knew that his craniotomy was clearly negligent at the time it was being recommended and performed, that they will answer affirmatively and his case will be made out. However, he has not secured any admissions in this regard to date, or taken any steps to obtain such admissions. In the absence of this evidence, he simply asserts that the doctor's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so self-evident it requires no further expert testimony or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whole, I am satisfied that there is no competing evidence of fact, opinion or credibility before me in this summary trial application. Furthermore, the plaintiff's evidence is unlikely to improve at trial or as a result of the trial process. A summary trial in this case may have substantial costs savings not only to the VCHA, but also to Mr. Bahinipaty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therefore find that this matter is amenable to summary trial, and it is just and convenient to consider the evidence before me for the purposes of the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VCHA staff Breach their Standard of Care to Mr.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onus of proof remains on the plaintiff to prove his allegations against the defendants a on a balance of probabilities, even when it is the defendant that brings this summary trial application. See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Therefore, the burden is on Mr. Bahinipaty in this case to establish:</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he asserts was owed to him by VCHA directly or vicariously through its employees;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VCHA staff conduct fell below that standard of care;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breach (alone or with other breaches) caused Mr. Bahinipaty's losses.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Generally, the courts rely on expert evidence to establish a standard of care against which to measure the conduct of medical and healthcare professionals. This is a requirement where such a claim "does not involve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which an ordinary person could pass judgement sensibly." See </w:t>
      </w:r>
      <w:r>
        <w:rPr>
          <w:rFonts w:ascii="arial" w:eastAsia="arial" w:hAnsi="arial" w:cs="arial"/>
          <w:i/>
          <w:color w:val="000000"/>
          <w:sz w:val="20"/>
          <w:lang w:val="en-US" w:eastAsia="en-US" w:bidi="ar-SA"/>
        </w:rPr>
        <w:t>Crnkovic v. Stodckdill</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1998 CanLII 6703</w:t>
        </w:r>
      </w:hyperlink>
      <w:r>
        <w:rPr>
          <w:rFonts w:ascii="arial" w:eastAsia="arial" w:hAnsi="arial" w:cs="arial"/>
          <w:color w:val="000000"/>
          <w:sz w:val="20"/>
          <w:lang w:val="en-US" w:eastAsia="en-US" w:bidi="ar-SA"/>
        </w:rPr>
        <w:t xml:space="preserve"> (B.C.S.C.) at paras. 70 and 85; </w:t>
      </w:r>
      <w:r>
        <w:rPr>
          <w:rFonts w:ascii="arial" w:eastAsia="arial" w:hAnsi="arial" w:cs="arial"/>
          <w:i/>
          <w:color w:val="000000"/>
          <w:sz w:val="20"/>
          <w:lang w:val="en-US" w:eastAsia="en-US" w:bidi="ar-SA"/>
        </w:rPr>
        <w:t>Zeledon v. Kelowna General Hospital</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1996 CanLII 8662</w:t>
        </w:r>
      </w:hyperlink>
      <w:r>
        <w:rPr>
          <w:rFonts w:ascii="arial" w:eastAsia="arial" w:hAnsi="arial" w:cs="arial"/>
          <w:color w:val="000000"/>
          <w:sz w:val="20"/>
          <w:lang w:val="en-US" w:eastAsia="en-US" w:bidi="ar-SA"/>
        </w:rPr>
        <w:t xml:space="preserve"> (B.C.S.C.) at paras. 45 and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Furthermore, the case law indicates that the standard of care of nurses will generally require expert opinion evidence to establish: See </w:t>
      </w:r>
      <w:r>
        <w:rPr>
          <w:rFonts w:ascii="arial" w:eastAsia="arial" w:hAnsi="arial" w:cs="arial"/>
          <w:i/>
          <w:color w:val="000000"/>
          <w:sz w:val="20"/>
          <w:lang w:val="en-US" w:eastAsia="en-US" w:bidi="ar-SA"/>
        </w:rPr>
        <w:t>Basil, Shannahan, Crnkovic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Heidebrecht v. Fraser-Burrard Hospital Society</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1996 CanLII 2214</w:t>
        </w:r>
      </w:hyperlink>
      <w:r>
        <w:rPr>
          <w:rFonts w:ascii="arial" w:eastAsia="arial" w:hAnsi="arial" w:cs="arial"/>
          <w:color w:val="000000"/>
          <w:sz w:val="20"/>
          <w:lang w:val="en-US" w:eastAsia="en-US" w:bidi="ar-SA"/>
        </w:rPr>
        <w:t xml:space="preserve"> (B.C.S.C.). No such evidence has been prepared or is anticipated to be adduced by Mr. Bahinipaty.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Crnkovic</w:t>
      </w:r>
      <w:r>
        <w:rPr>
          <w:rFonts w:ascii="arial" w:eastAsia="arial" w:hAnsi="arial" w:cs="arial"/>
          <w:color w:val="000000"/>
          <w:sz w:val="20"/>
          <w:lang w:val="en-US" w:eastAsia="en-US" w:bidi="ar-SA"/>
        </w:rPr>
        <w:t>, Mr. Justice Cohen noted the need for expert evidence in respect to the nursing profession: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Finally, as counsel for the defendant hospital submitted, the plaintiff has led no expert evidence to indicate that the nursing staff fell below the standard approved practice in any area of the treatment rendered to the plaintiff. She cited </w:t>
      </w:r>
      <w:r>
        <w:rPr>
          <w:rFonts w:ascii="arial" w:eastAsia="arial" w:hAnsi="arial" w:cs="arial"/>
          <w:i/>
          <w:color w:val="000000"/>
          <w:sz w:val="20"/>
          <w:lang w:val="en-US" w:eastAsia="en-US" w:bidi="ar-SA"/>
        </w:rPr>
        <w:t>Heidebrecht v. Chan...</w:t>
      </w:r>
      <w:r>
        <w:rPr>
          <w:rFonts w:ascii="arial" w:eastAsia="arial" w:hAnsi="arial" w:cs="arial"/>
          <w:color w:val="000000"/>
          <w:sz w:val="20"/>
          <w:lang w:val="en-US" w:eastAsia="en-US" w:bidi="ar-SA"/>
        </w:rPr>
        <w:t xml:space="preserve"> for the proposition that the nursing profession is its own independent profession and its own independent duties and standards of care and, therefore, the expert evidence with regard to a breach of that standard of care is required in order to succeed in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Heidebrecht</w:t>
      </w:r>
      <w:r>
        <w:rPr>
          <w:rFonts w:ascii="arial" w:eastAsia="arial" w:hAnsi="arial" w:cs="arial"/>
          <w:color w:val="000000"/>
          <w:sz w:val="20"/>
          <w:lang w:val="en-US" w:eastAsia="en-US" w:bidi="ar-SA"/>
        </w:rPr>
        <w:t>, the plaintiff alleged that the nurse ought to have notified a doctor of the plaintiff's symptoms of soreness and stiffness. This court found that in the absence of expert evidence establishing a standard of care in this regard, the plaintiff could not prove a breach of the standard of care expected of a registered nurse for the alleged failure to warn the physician of these new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note that, unlike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Heidebrecht</w:t>
      </w:r>
      <w:r>
        <w:rPr>
          <w:rFonts w:ascii="arial" w:eastAsia="arial" w:hAnsi="arial" w:cs="arial"/>
          <w:color w:val="000000"/>
          <w:sz w:val="20"/>
          <w:lang w:val="en-US" w:eastAsia="en-US" w:bidi="ar-SA"/>
        </w:rPr>
        <w:t>, Mr. Bahinipaty asserts more than a duty to warn doctors. Mr. Bahinipaty asserts that the staff should not have warned the doctors, but should have warned him directly that the doctors orders and recommendations were wrong, and that they should have halted, prevented, or refused to proceed with the craniotomy or conducted or directed additional tests despite physician directions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Bahinipaty has not adduced any expert evidence to establish that this type of intervention in his care is part of the standard of care of nursing staff or other VGH employees involved in Mr. Bahinipaty's care. Nor does he intend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Bahinipaty acknowledges that the VCHA staff had no responsibility for or duty to diagnose, order tests or investigations, or provide treatment recommendations such as surgery to Mr. Bahinipaty, and that generally it would not come within their duties to undermine or countermand the directions and diagnoses of a physician. Rather, he proceeds on the basis that the recommendation and decision to perform an emergency craniotomy on him was "clear and obvious neglect or incompetence," and that VGH employees </w:t>
      </w:r>
      <w:r>
        <w:rPr>
          <w:rFonts w:ascii="arial" w:eastAsia="arial" w:hAnsi="arial" w:cs="arial"/>
          <w:i/>
          <w:color w:val="000000"/>
          <w:sz w:val="20"/>
          <w:lang w:val="en-US" w:eastAsia="en-US" w:bidi="ar-SA"/>
        </w:rPr>
        <w:t>knew</w:t>
      </w:r>
      <w:r>
        <w:rPr>
          <w:rFonts w:ascii="arial" w:eastAsia="arial" w:hAnsi="arial" w:cs="arial"/>
          <w:color w:val="000000"/>
          <w:sz w:val="20"/>
          <w:lang w:val="en-US" w:eastAsia="en-US" w:bidi="ar-SA"/>
        </w:rPr>
        <w:t xml:space="preserve">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question of whether it is part of the standard of care of nurses to advise patients against physician treatment recommendations, or to go so far as to halt or refuse to participate in a physician recommended treatment or surgery, when they observe or think they are observing clear or obvious malpractice, neglect or incompetence may seem obvious to Mr. Bahinipaty. However, undermining physician diagnoses, directing or proceeding with scans cancelled by physicians, or refusing to participate in physician recommended treatment, has inherent risks, and I consider that the question of when nursing staff might be required to take the steps stated by Mr. Bahinipaty, if at all, requires some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Because Mr. Bahinipaty has not adduced any expert opinion evidence to support the duty of care on the nurses and other staff that he asserts, he has not made out his liability claim against the VCHA. This alone is a basis upon which to dismiss Mr. Bahinipaty's claim against VCHA: see </w:t>
      </w:r>
      <w:r>
        <w:rPr>
          <w:rFonts w:ascii="arial" w:eastAsia="arial" w:hAnsi="arial" w:cs="arial"/>
          <w:i/>
          <w:color w:val="000000"/>
          <w:sz w:val="20"/>
          <w:lang w:val="en-US" w:eastAsia="en-US" w:bidi="ar-SA"/>
        </w:rPr>
        <w:t>Shannahan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Breach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However, even if I were to accept that a requirement to warn a patient not to follow a doctor's orders or otherwise not follow those orders where it is plain and obvious that the diagnosis is negligent or incompetent </w:t>
      </w:r>
      <w:r>
        <w:rPr>
          <w:rFonts w:ascii="arial" w:eastAsia="arial" w:hAnsi="arial" w:cs="arial"/>
          <w:i/>
          <w:color w:val="000000"/>
          <w:sz w:val="20"/>
          <w:lang w:val="en-US" w:eastAsia="en-US" w:bidi="ar-SA"/>
        </w:rPr>
        <w:t>is</w:t>
      </w:r>
      <w:r>
        <w:rPr>
          <w:rFonts w:ascii="arial" w:eastAsia="arial" w:hAnsi="arial" w:cs="arial"/>
          <w:color w:val="000000"/>
          <w:sz w:val="20"/>
          <w:lang w:val="en-US" w:eastAsia="en-US" w:bidi="ar-SA"/>
        </w:rPr>
        <w:t xml:space="preserve"> part of the standard of care owed by nurses or other health care professionals employed by a hospital, I am not satisfied on the evidence before me that Mr. Bahinipaty has proven that this was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Not only do I have no expert evidence of the standard of care of the nursing staff and technical staff, I have no expert evidence before me capable of establishing what Mr. Bahinipaty says should have been his proper diagnosis and treatment, or that the doctors treating him breached their standard of care. For Mr. Bahinipaty's claim to succeed against the nurses, a breach by the doctors of their own standard of care would not only have to be established, it would have to be clear and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That such a breach occurred is far from clear and obvious on the evidence before me. The existence of such a breach, and the asserted standard of care, is not supported by any evidence other than Mr. Bahinipaty's own evidence, which largely consists of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addition, there is absolutely no evidence before me that the doctors, nor the other medical staff, knew or believed that Mr. Bahinipaty had been misdiagnosed, as alleged by Mr. Bahinipaty.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is not a case, for example, where the recommendation was to operate on the right leg, and the nurses failed to intervene when a doctor operated on the left leg by mistake. This is a case about a diagnosis based on medical expertise and the interpretation of brain imagery, where expert opinion evidence would be required to establish a breach of a standard of care by Mr. Bahinipaty's doctors, as well as the nurses and other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Bahinipaty has not established that the VCHA staff breached any standard of care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Given my findings above, it is not necessary for me to consider whether Mr. Bahinipaty has proven that the conduct of VCHA staff causally contributed to any of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this summary trial, Mr. Bahinipaty was required to file evidence that would support the standard of care he alleges the nurses and other staff were required to live up to, and that that standard was breached. He has not done so. In addition, I am satisfied that he will not be capable of doing so without expert evidence even should I allow this matter to proceed to trial rather than deciding it on a summary trial basis. To allow this aspect of Mr. Bahinipaty's case to proceed to trial in the next few months would be unjust to VCHA and unnecessarily costly to Mr. Bahinipaty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therefore dismiss this action as against the Vancouver Coastal Health Authority operating as the Vancouver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VCHA is entitled to its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F.V. MARZARI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8046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Bay v. Woollard, [2019] B.C.J. No. 1228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M176248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1228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1073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Victor James Bay, Plaintiff, and Douglas Robert Woollard and Tina Theresa Bradley,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jc w:val="both"/>
        <w:rPr>
          <w:rFonts w:ascii="arial" w:eastAsia="arial" w:hAnsi="arial" w:cs="arial"/>
          <w:sz w:val="20"/>
          <w:lang w:val="en-US" w:eastAsia="en-US" w:bidi="ar-SA"/>
        </w:rPr>
      </w:pPr>
      <w:bookmarkStart w:id="358" w:name="Counsel_43"/>
      <w:bookmarkEnd w:id="3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 Promislow.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Woollard: S. 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 Bradley: R. Rogers.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9" w:name="Judgment_43"/>
      <w:bookmarkEnd w:id="359"/>
      <w:r>
        <w:pict>
          <v:line id="_x0000_s1232" style="position:absolute;z-index:2517544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0" w:name="J.S. HARVEY J."/>
            <w:bookmarkEnd w:id="360"/>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morning of December 19, 2013, the plaintiff was involved in a three-car collision on what I shall refer to as the northbound on-ramp leading from Highway 91 onto Highway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struck the rear end of the vehicle driven by the defendant, Ms. Bradley. Depending on what view of the evidence I prefer, Ms. Bradley's vehicle had either already collided with the rear end of the vehicle driven by the defendant, Mr. Woollard or, according to Ms. Bradley, was pushed into Mr. Woollard's vehicle which had slowed almost to a stop to yield for a bus in the easternmost lane of Highway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asserts that both drivers were negligent and, as a result of their collective or individual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sustained injuries for which he now makes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Bay was 76 at the time of the accident and is now 82. He testified as to soft tissue injuries resulting in a loss of income and interference with his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primary issue is liability. Are either of the two defendants at fault and, if so, was the plaintiff a contributing factor to the happening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If liability is found as against one or both of the defendants, the issues concerning damages are that of an award for general damages and a determination of what, if any, economic loss has been suffered by the plaintiff. No costs for special damages were advanced. There is no claim for 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Bay's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he was driving his son to the Vancouver International Airport to allow him to fly to Saskatoon. The plaintiff was driving from his home in Surrey. He had come via the East-West Connector intending to turn onto Highway 99 to proceed to the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his testimony, the accident occurred sometime between 5:00 a.m. and 5:30 a.m. He said the roads were icy. He did not notice that until after the accident when he says he slipped at some after exiting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His description of the circumstances of the accident can be described as follows. He stated after exiting Highway 91, he was intending to enter onto Highway 99 heading north to the Oak Street Bridge. Traffic was light. When he first saw the defendant Bradley's vehicle, he says his speed was about 90 km/h and that he was some 150 to 200 feet away when he saw her SUV. He said that it had "piled into the car in front of it" and that the backend of the Bradley vehicle was "way up". He braked sharply but was unable to bring his vehicle to a stop before it collided with the rear end of the Bradley vehicle. He testified the road was 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asserted at trial that the vehicle driven by Mr. Woollard, the first vehicle in the line of three, had missed its turn and as a result, Mr. Woollard had reversed his car and was proceeding backwards when the Bradley vehicle collided with it. He says that when he observed the Woollard vehicle after the collision, its backup lights were on. He said that he spoke to Mr. Woollard following the accident and Mr. Woollard explained that he had "missed his turn". Mr. Bay said he pointed to the backup lights but that Mr. Woollard did not say anything. Other than the two defendants, Mr. Bay and Mr. Bay's son, there were no other witnesses to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Bay did not see the Woollard vehicle back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Bay said he spoke to the defendant Bradley but she did not say anything concerning the events of the accident. Ms. Bradley cooperated in the exchange of insurance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cross-examination, Mr. Bay conceded he was unfamiliar with the scene of the accident. He was unaware of the bus lane which travels north-south in the easternmost lane of Highway 99 and of the sign posted next to the on-ramp to northbound Highway 99 traffic warning of oncoming buses into the furthermost lane of northbound Highway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neither saw the lights flashing on the stanchion adjacent to the on-ramp at or just before the time of the collision nor did he see a bus at any time which would give rise to an explanation as to why the defendants had reduced their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explained as he got onto the exit lane for Highway 99 off of Highway 91 he dropped his speed to perhaps 70 km/h but did not recall looking. He said when he turned onto the exit he saw the rear end of Ms. Bradley's Ford Explorer "way up in the air". He then noted he was 200 to 300 feet away when he first saw the defendant Bradley's vehicle. He says he hit the brakes really hard and then skidded into Ms. Bradley's vehicle. He did not see Mr. Woollard's vehicle until later. He says there was no warning. Specifically, he saw no brake lights on the Bradley vehicle. He denied the suggestion that it was his striking the Bradley vehicle which caused the Bradley vehicle to hit Mr. Woollard's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confirmed that he was certain of the time because he checked with his son who told him that the flight to Saskatoon was at 6:00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Despite his assertion that the accident occurred closer to 5:00 a.m. than 7:00 a.m. to 7:30 a.m., he said it was dawn and that it was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 emergency personnel attended. Mr. Bay's vehicle was not operational after the accident requiring his son to get a ride from Ms. Bradley to a bus stop near the airport. He walked from the accident sight and caught a bus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cannot recall any further discussion about the circumstances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Woollard's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Mr. Woollard, describes the events of the accident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Woollard testified he was on his usual route to work via the East-West Connector coming from his home in North Delta to reach Highway 99 so as to cross over the Oak Street Bridge to get to his place of work on 73rd Avenue. He stated he left his home at 6:30 a.m. approximately and that the accident occurred sometime around 7:00 a.m. He stated his workday typically began at 7:00 a.m. or 7:30 a.m. He described the roads as dry and that it was dark. The roads were not icy and traffic was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proceeded uneventfully until he got to the exit ramp for Highway 99. He described it as going slightly up a rise to the right and then down towards the highway itself. There is a large stanchion with an extended yellow sign warning traffic of the bus lane on the left together with a mirror placed such that the merging driver can determine whether in fact a bus is coming in the bus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Woollard explained that after he made his way onto the exit ramp he saw the lights flashing on the sign to his right and he began to brake. He slowed down and looked into the mirror showing the bus lane and observed a bus coming "at full speed". He said that he pretty much stopped his vehicle as the bus came by on his left. Then he said he felt an impact. He did not describe himself as being at a complete stop but perhaps rolling. In any event, he had slowed considerably. His brake lights were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was clear that at no time did he come to a complete stop and put his vehicle into reverse. He testified he neither reversed his vehicle nor did he tell Mr. Bay that he had missed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accident occurred, he exited his car and spoke to Ms. Bradley, the other defendant, to see whether she was alright. He took pictures of her car and a photo of her driver's license. He then spoke to the plaintiff and similarly took a picture of the plaintiff's car and his driver's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observed damage to the front end of the plaintiff's car but on inquiry was told by Mr. Bay that he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All agreed there was no need for the intervention of either emergency personnel or police. They went on their separate ways. Mr. Woollard never spoke to Mr. Bay's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cross-examination, Mr. Woollard agreed that he thought he had been "hit twice". He has testified he thought was struck by Bradley's vehicle first, which was the stronger of the two impacts, and then again seconds apart. He acknowledged that he did not look in his mirror as he was going down the ramp to see whether traffic was behind him. He further agreed he did not put his flashers on or remove himself from the travelled portion of the road to the shoulder as was asked of him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stated he was not concerned about the traffic behind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Bradley's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Finally, Ms. Bradley testified as to the circumstances of the accident. She noted that she too was travelling westbound on the East-West Connector intending to get onto Highway 99. She was not as familiar with the route as she usually used the Deas Island Tunnel from home to work downtown.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estimated the accident happened between 7:00 to 7:30 a.m. Her work began at 8:00 a.m.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she got onto the on-ramp for Highway 99, she immediately noticed the flashing lights warning of the bus lane. She identified same on a photo filed as an exhibit in the proceedings. She described the road as wet. She could not recall traffic. She testified she was 3 to 4 car lengths behind the Woollard vehicle. She does not recall whether it stopped but she noticed it slowing, presumably because of the flashing lights warning of the oncoming bus. Then she said she was struck from behind. She testified her vehicle did not contact the Woollard vehicle until she was hit by Mr. Bay's vehicle. She says the force of the impact caused her to go forward into the steering wheel and that her glasses flew off and she then went into the vehicle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too said all three vehicles stopped and pulled over off of the on-ramp to exchange information. She cannot recall any real conversation. She did not speak to Mr. Bay until after she had spoken to Mr. Woollard. She confirmed they exchanged their identification and insurance particulars. She does not recall any other discussion. She agreed that she took Mr. Bay's passenger, his son, to a bus stop near Cambie Street to allow him to catch a bus to the airport because Mr. Bay's vehicle was not operational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cross-examination, she agreed that she slowed down by taking her foot off the gas when she noticed the Woollard vehicle slowing but stated "I don't think I braked". She did not see Mr. Bay until after the accident. She went on to say she did not put her brakes on nor did she put her flashers on and agreed that would give no indication to the person behind her of any emergent situation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estimated her speed at 60 km/h or so. She confirmed that Mr. Woollard's brake lights were visible. She did not see any backup lights and did not suggest that Mr. Woollard had come to a complete stop let alone begun to reverse.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Were either of the defendants negligent and if so, did the plaintiff's driving contribute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Assuming an affirmative answer to the first inquiry, what are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begin by observing that the evidence of Mr. Bay is less than reliable on many fronts. As noted during submissions, I do not mean to suggest that Mr. Bay was dishonest in his presentation. However, the stroke he suffered several years ago, the length of time between the date of the accident and the date of his evidence, coupled with the hesitant manner of his presentation, leads me to believe that while Mr. Bay may believe the circumstances of the accident as he presented them, they do not accord with the other evidence available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Firstly, I note that he was insistent that the accident occurred between 5:00 a.m. and 5:30 a.m. despite the fact he acknowledged that it was getting light. That simply does not accord with the weather in Vancouver in late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Secondly, the evidence of the two defendants make sense from a time standpoint in that both of them were attending office jobs which would start, presumably, more approximate to 8:00 a.m. than 6:00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Thirdly, Mr. Bay was mistaken as to a number of dates as to his medical treatment. The chiropractor he said he saw shortly following the accident was in fact not seen until March 2015, almost 16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Finally, his description of Ms. Bradley's SUV being high in the air after colliding with the Woollard vehicle does not accord with the photographic evidence of the damage done to the plaintiff's car. Mr. Bay testified that his vehicle went under the Bradley vehicle and the rear of the Bradley vehicle was in contact with his windshield. While the windshield was covered in the photograph exhibited in court, the front end and hood of Mr. Bay's car make clear his evidence does not accord with the photographic evidence. Were it so, the front end of his car would be crushed;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Bay failed to notice completely the stanchion with the flashing light which both Mr. Woollard and Ms. Bradley testified was operating at the time immediately prior to the parties' three-vehicle collision. I find that it was flashing in the moments immediately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assertion that Mr. Woollard explained to him that he had missed his turn resulting in the assumption that he was backing up is contrary to the reliable evidence of Mr. Woollard and defies common sense given the location of Mr. Woollard's office. Mr. Woollard was not cross-examined on his place of work nor does it is logically follow that anyone missing a turn entering onto a highway from an on-ramp would back up to exit it. In short, I find this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the evidence of Mr. Woollard that he reacted properly, in the manner of a reasonably prudent driver in slowing his vehicle, admittedly almost to a stop, to allow for the bus in the lane he was attempting to enter to go by him. As a reasonably prudent driver he need not do anything more than have working brake lights to alert drivers behind him of his intentions. Those intentions were in keeping with proper road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find that there has been no proven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Woollard resulting in liability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That leaves the question of whether or not Ms. Bradley was negligent. That turns, in part, upon whether or not I accept her evidence that she did not collide with the Woollard vehicle until after being hit by Mr. Bay's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are no photographs depicting the extent of the damage to either the Bradley or Woollard vehicle. That may have assisted in the determination of whether the Bradley vehicle struck the Woollard vehicle first; perhaps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Bradley acknowledges that she saw Mr. Woollard braking and that he was almost at a stop but says she never braked; rather, she took her foot off of the accelerator. She was still going at a speed considerably more than the vehicle driven by Mr. Woollard. The lack of braking on her part is consistent with Mr. Bay having no notice of her intention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Similarly, unless Ms. Bradley was braking quite sharply, in which case her lights would have been visible to Mr. Bay (and I conclude they were not), she would have been so close to the Woollard vehicle as to make a collision between the two inevitable absent any involvement by Mr. Bay. The Woollard vehicle was almost stopped, the Bradley vehicle was following behind at an unknown distance and at a speed far in excess of the Woollard vehicle so gaining on it rapidly.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Tipping the balance in favour of my conclusion that Ms. Bradley came in contact with the Woollard vehicle prior to Mr. Bay striking her is Mr. Woollard's evidence of two distinct collisions "seconds apart". He testified the first impact was stronger than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such, I conclude that the Bradley vehicle hit the Woollard vehicle before the Bay vehicle hit the Bradley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Ms. Bradley's driving, that is her failing to sharply apply her brakes thus giving warning to the vehicle behind her of her intention to stop, coupled with striking the vehicle in front of her thus creating a hazard to drivers following, was a contributing factor to the accident with the Bay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Bay was admittedly negligent. His counsel concedes such in that he ran into the rear of the vehicle which was there to be seen and was seen by him. Even were I to conclude the roadways were icy, which I do not as such was contrary to the evidence of the two witnesses whose evidence I prefer, that does not excuse Mr. Bay's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a rear-end collision does not necessarily lead to the result that the following driver was negligent, in these circumstances as testified to by Mr. Bay, he clearly was. In his evidence, he stated he first noticed the Bradley vehicle (he says completely at a stop) when he was 150 to 200 feet away. He later expanded that distance in his cross-examination. He failed to see flashing lights which I find were readily apparent and warned of the obvious hazard ahead. Mr. Bay was oblivious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Dorsett v. Sahib</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2018 BCSC 1884</w:t>
        </w:r>
      </w:hyperlink>
      <w:r>
        <w:rPr>
          <w:rFonts w:ascii="arial" w:eastAsia="arial" w:hAnsi="arial" w:cs="arial"/>
          <w:color w:val="000000"/>
          <w:sz w:val="20"/>
          <w:lang w:val="en-US" w:eastAsia="en-US" w:bidi="ar-SA"/>
        </w:rPr>
        <w:t>, Madam Justice Matthews summarized the law of rear-end collisions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This Court recently described rear-end collisions as "merely evidence, for which plaintiff and defendant can offer different explanations": </w:t>
      </w:r>
      <w:r>
        <w:rPr>
          <w:rFonts w:ascii="arial" w:eastAsia="arial" w:hAnsi="arial" w:cs="arial"/>
          <w:i/>
          <w:color w:val="000000"/>
          <w:sz w:val="20"/>
          <w:lang w:val="en-US" w:eastAsia="en-US" w:bidi="ar-SA"/>
        </w:rPr>
        <w:t>Wright</w:t>
      </w:r>
      <w:r>
        <w:rPr>
          <w:rFonts w:ascii="arial" w:eastAsia="arial" w:hAnsi="arial" w:cs="arial"/>
          <w:color w:val="000000"/>
          <w:sz w:val="20"/>
          <w:lang w:val="en-US" w:eastAsia="en-US" w:bidi="ar-SA"/>
        </w:rPr>
        <w:t xml:space="preserve"> at para. 17. A trial judge may, but is not required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fact that there was a rear-end collision: </w:t>
      </w:r>
      <w:r>
        <w:rPr>
          <w:rFonts w:ascii="arial" w:eastAsia="arial" w:hAnsi="arial" w:cs="arial"/>
          <w:i/>
          <w:color w:val="000000"/>
          <w:sz w:val="20"/>
          <w:lang w:val="en-US" w:eastAsia="en-US" w:bidi="ar-SA"/>
        </w:rPr>
        <w:t>Singleton</w:t>
      </w:r>
      <w:r>
        <w:rPr>
          <w:rFonts w:ascii="arial" w:eastAsia="arial" w:hAnsi="arial" w:cs="arial"/>
          <w:color w:val="000000"/>
          <w:sz w:val="20"/>
          <w:lang w:val="en-US" w:eastAsia="en-US" w:bidi="ar-SA"/>
        </w:rPr>
        <w:t xml:space="preserve"> at para. 38. Such an inference will be highly dependent on the particular facts of each case: </w:t>
      </w:r>
      <w:r>
        <w:rPr>
          <w:rFonts w:ascii="arial" w:eastAsia="arial" w:hAnsi="arial" w:cs="arial"/>
          <w:i/>
          <w:color w:val="000000"/>
          <w:sz w:val="20"/>
          <w:lang w:val="en-US" w:eastAsia="en-US" w:bidi="ar-SA"/>
        </w:rPr>
        <w:t>Singleton</w:t>
      </w:r>
      <w:r>
        <w:rPr>
          <w:rFonts w:ascii="arial" w:eastAsia="arial" w:hAnsi="arial" w:cs="arial"/>
          <w:color w:val="000000"/>
          <w:sz w:val="20"/>
          <w:lang w:val="en-US" w:eastAsia="en-US" w:bidi="ar-SA"/>
        </w:rPr>
        <w:t xml:space="preserve"> at paras. 36-38.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often drawn in cases involving rear-end collisions because, as stated in </w:t>
      </w:r>
      <w:r>
        <w:rPr>
          <w:rFonts w:ascii="arial" w:eastAsia="arial" w:hAnsi="arial" w:cs="arial"/>
          <w:i/>
          <w:color w:val="000000"/>
          <w:sz w:val="20"/>
          <w:lang w:val="en-US" w:eastAsia="en-US" w:bidi="ar-SA"/>
        </w:rPr>
        <w:t>Wallman v. John Doe</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 xml:space="preserve"> at para. 410: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[410] ... the following driver owes a duty to drive at a distance from the leading vehicle that allows reasonably for the speed, traffic and the road conditions: </w:t>
      </w:r>
      <w:r>
        <w:rPr>
          <w:rFonts w:ascii="arial" w:eastAsia="arial" w:hAnsi="arial" w:cs="arial"/>
          <w:i/>
          <w:color w:val="000000"/>
          <w:sz w:val="20"/>
          <w:lang w:val="en-US" w:eastAsia="en-US" w:bidi="ar-SA"/>
        </w:rPr>
        <w:t>Barrie v. Marshall</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2010 BCSC 981</w:t>
        </w:r>
      </w:hyperlink>
      <w:r>
        <w:rPr>
          <w:rFonts w:ascii="arial" w:eastAsia="arial" w:hAnsi="arial" w:cs="arial"/>
          <w:color w:val="000000"/>
          <w:sz w:val="20"/>
          <w:lang w:val="en-US" w:eastAsia="en-US" w:bidi="ar-SA"/>
        </w:rPr>
        <w:t xml:space="preserve">, at paras. 23-24;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xml:space="preserve">, at para. 29. This duty is codified in ss. 144 and 162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In </w:t>
      </w:r>
      <w:r>
        <w:rPr>
          <w:rFonts w:ascii="arial" w:eastAsia="arial" w:hAnsi="arial" w:cs="arial"/>
          <w:i/>
          <w:color w:val="000000"/>
          <w:sz w:val="20"/>
          <w:lang w:val="en-US" w:eastAsia="en-US" w:bidi="ar-SA"/>
        </w:rPr>
        <w:t>Singleton</w:t>
      </w:r>
      <w:r>
        <w:rPr>
          <w:rFonts w:ascii="arial" w:eastAsia="arial" w:hAnsi="arial" w:cs="arial"/>
          <w:color w:val="000000"/>
          <w:sz w:val="20"/>
          <w:lang w:val="en-US" w:eastAsia="en-US" w:bidi="ar-SA"/>
        </w:rPr>
        <w:t xml:space="preserve">, the Court of Appeal held that there was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defendant for rear ending the plaintiff's vehicle that had stopped, in the normal course, at a stop sign. However the court found the inference had been negated by the evidence of oil on the road which could have caused the defendant to not be able to stop in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In </w:t>
      </w:r>
      <w:r>
        <w:rPr>
          <w:rFonts w:ascii="arial" w:eastAsia="arial" w:hAnsi="arial" w:cs="arial"/>
          <w:i/>
          <w:color w:val="000000"/>
          <w:sz w:val="20"/>
          <w:lang w:val="en-US" w:eastAsia="en-US" w:bidi="ar-SA"/>
        </w:rPr>
        <w:t>Waters v. Mariash</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2012 BCSC 927</w:t>
        </w:r>
      </w:hyperlink>
      <w:r>
        <w:rPr>
          <w:rFonts w:ascii="arial" w:eastAsia="arial" w:hAnsi="arial" w:cs="arial"/>
          <w:color w:val="000000"/>
          <w:sz w:val="20"/>
          <w:lang w:val="en-US" w:eastAsia="en-US" w:bidi="ar-SA"/>
        </w:rPr>
        <w:t xml:space="preserve">, Madam Justice Humphries declined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rear-end driver. The plaintiff had been traveling eastbound on Highway 1 in the right lane on a rainy, windy day when a tree suddenly fell across the highway, cutting off both eastbound lanes of traffic and causing the plaintiff to brake sharply and hit the tree. The rear-end driver, who was driving a semi-trailer truck behind the plaintiff in the left lane, braked sharply but was unable to stop before hitting the tree and striking the back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Here there is significant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Bay. He had ample time to react and stop in order to avoid colliding with the Bradley vehicle. He had ample warning of the impending dangerous situation unfolding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Were it an issue before me, Ms. Bradley would be 100% responsible for the collision between her vehicle and Mr. Woollard's (in the absence of a further strike by Mr. Bay). However, the same logic does not apply to the collision between Mr. Bay and Ms. Bradley.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negligent actions of both Ms. Bradley and the plaintiff contributed to the second impact and the plaintiff's damages.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was, however, the substantial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Ms. Bradley was negligent by failing to brake thus evidencing her intention to bring her vehicle to a stop or significantly slow it prior to impact with the Woollard vehicle. That is to be contrasted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Mr. Bay who for a significant period of time, a matter of seconds according to Mr. Woollard, travelled over a distance by his own reckoning of 150 to 200 feet (at a minimum) towards a car he says stopped and struck it in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Prior to the accident, the flashing lights gave warning of an impending hazard. Mr. Bay never saw them or responded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matter of determining the degrees of fault is governed by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It provides, at ss.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If by the fault of 2 or more persons damage or loss is caused to one or more of them, the liability to make good the damage or loss is in proportion to the degree to which each person was at fault.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awarding of damage or loss in every action to which section 1 applies is governed by the following rules: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or loss, if any, sustained by each person must be ascertained and expressed in dollars;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to which each person was at fault must be ascertained and expressed as a percentage of the total fault;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each person who has sustained damage or loss and each other person who is liable to make good the damage or loss, the person sustaining the damage or loss is entitled to recover from that other person the percentage of the damage or loss sustained that corresponds to the degree of fault of that other person;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2 persons each of whom has sustained damage or loss and is entitled to recover a percentage of it from the other, the amounts to which they are respectively entitled must be set off one against the other, and if either person is entitled to a greater amount than the other, the person is entitled to judgment against that other for the excess.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Unless the court otherwise directs, the liability for costs of the parties to every action is in the same proportion as their respective liability to make good the damage or loss.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 applies to the awarding of costs under this section.</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as between 2 persons, one is entitled to a judgment for an excess of damage or loss and the other to a judgment for an excess of costs there is a further set off of the respective amounts and judgment must be given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Given my conclusions set out above, as between the plaintiff Mr. Bay and the defendant Ms. Bradley I apportion liability 75% to the plaintiff and 25% to the defendant. The action against Mr. Woollard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Bay suffered soft tissue injuries as a result of the accident and says he lost his two front teeth. He has not had those replaced. He was not challenged on the particulars of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attended a chiropractor shortly following the accident but was unhappy with the treatment and disengaged from any form of active therapy for many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continued to see his doctor. There is no medical report which speaks to the nature, extent, or duration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Instead, I have the clinical records of a further chiropractor whom Mr. Bay saw on three occasions in the spring of 2015. Those records are helpful only to the extent that they indicate Mr. Bay was not complaining of hip pain, one of the complaints he mentioned at trial, but that his major complaints related to his neck and mid-back.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Bay adopted the independent medical report prepared by Dr. Osama Gharsaa. Dr. Gharsaa did not assess the plaintiff until December 2018 following his stroke. The stroke is a complicating factor as Mr. Bay was disabled for some six months following the occurrence. His presentation before Dr. Gharsaa was impacted by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to be noted again that the plaintiff is 82 years of age and was 76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Mr. Bay's injuries were soft tissue injuries which, but for his age, likely would have resolved within 3 to 6 months. Instead, he has had a more protracted period of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testified that he is taking painkillers and I believe him. However, he has presented no evidence as to the extent, duration or cost of any medications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His complaints, save for the dental injuries, are all subjective and, in the absence of objective symptoms or something more compelling by way of medical evidence, I would characterize his injuries as more in keeping with those referenced to me by the defendant, Bradley.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agree that the defendant Ms. Bradley is not required to compensate Mr. Bay for any ill effects that he would experience regardless of the accident. Some of his present complaints I find relate singularly to his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to the degree to which they interfered with Mr. Bay's recreational activities, he deposed to playing hockey, hunting and fishing prior to the accident and that he has not done any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Recalling that I have some difficulty relying on the evidence of Mr. Bay as to the timing of events, absent corroborative evidence as to the extent of his activities prior to the accident, I am leery that a 76-year-old was playing ice hockey. Nonetheless, he is entitled to compensation based upon what I will refer to as a mild to moderate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the plaintiff suggested a range of damages exceeding $50,000. He referred me to cases that involved injuries far more substantial than that proven by Mr.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Defence counsel referred me to a number of cases including </w:t>
      </w:r>
      <w:r>
        <w:rPr>
          <w:rFonts w:ascii="arial" w:eastAsia="arial" w:hAnsi="arial" w:cs="arial"/>
          <w:i/>
          <w:color w:val="000000"/>
          <w:sz w:val="20"/>
          <w:lang w:val="en-US" w:eastAsia="en-US" w:bidi="ar-SA"/>
        </w:rPr>
        <w:t>Harshenin v. MacLeod</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2013 BCSC 2219</w:t>
        </w:r>
      </w:hyperlink>
      <w:r>
        <w:rPr>
          <w:rFonts w:ascii="arial" w:eastAsia="arial" w:hAnsi="arial" w:cs="arial"/>
          <w:color w:val="000000"/>
          <w:sz w:val="20"/>
          <w:lang w:val="en-US" w:eastAsia="en-US" w:bidi="ar-SA"/>
        </w:rPr>
        <w:t xml:space="preserve">. I consider the injuries described there are comparable to what I find the injuries to be here. A similar decision is </w:t>
      </w:r>
      <w:r>
        <w:rPr>
          <w:rFonts w:ascii="arial" w:eastAsia="arial" w:hAnsi="arial" w:cs="arial"/>
          <w:i/>
          <w:color w:val="000000"/>
          <w:sz w:val="20"/>
          <w:lang w:val="en-US" w:eastAsia="en-US" w:bidi="ar-SA"/>
        </w:rPr>
        <w:t>J. Williams v. Nicholson</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2005 BCSC 910</w:t>
        </w:r>
      </w:hyperlink>
      <w:r>
        <w:rPr>
          <w:rFonts w:ascii="arial" w:eastAsia="arial" w:hAnsi="arial" w:cs="arial"/>
          <w:color w:val="000000"/>
          <w:sz w:val="20"/>
          <w:lang w:val="en-US" w:eastAsia="en-US" w:bidi="ar-SA"/>
        </w:rPr>
        <w:t>, where a 75-year-old previously in good health received a mild to moderate soft tissue injury. There, non-pecuniary loss was assessed at $30,000 noting that the plaintiff's injuries significantly affected his ability to do things he used to do and things he wanted to enjoy in his retirement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circumstances, an appropriate award for non-pecuniary loss is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 for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turn now to the question of economic loss. Mr. Bay filed income tax returns evidencing no source of income other than pension income and old age supplement for the years immediately preceding the accident and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says that he earned income by working on old cars and dismantling them for parts. He called another witness Mr. Peter who stated that in 2017 Dolphin Delivery approached Mr. Bay asking him to assist them in the salvaging of a number of their delivery trucks. Mr. Peter estimated that the net recovery of such would have been $25,000 and that he and Mr. Bay would share that amount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task needed to be completed by January 1, 2018. He contacted Mr. Bay but never heard back from him such that he gave the work to somebody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Bay described the same job as likely to have earned him something like $40,000 as his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view, again having regard to the lack of declared income by the plaintiff over the course of the years he says he was making some modest income, I am unable to say on a balance of probabilities that he would have earned what he estimates could have from Dolphin Delivery. However, based on the evidence of the plaintiff combined with the evidence of Mr. Peter, there was a real and substantial possibility that his earning capacity was diminished over the course of time between the accident and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Trying to assess that dollars and cents is made more difficult because of the intervention of the stroke the plaintiff suffered during the period of time the work was to be performed. Doing the best I can, over the course of the 5 or more years from the happening of the accident to today's date I assess past loss of opportunity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no claim for future loss of opportunity nor is there a claim for special damages 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shall recover 25% of his assessed damages as against Ms. Bradley. In addition, the plaintiff is entitled to Court Order interest on the award for past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Mr. Woollard is entitled to his costs. As between the plaintiff and the defendant Bradley, costs are apportioned in accordance with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3"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Bradley v. Groves, [2009] B.C.J. No. 2814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12, 2009.</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March 12,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07 4557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Victoria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2814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1882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191 A.C.W.S. (3d) 1339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3876</w:t>
      </w:r>
    </w:p>
    <w:p>
      <w:pPr>
        <w:spacing w:before="120" w:line="260" w:lineRule="atLeast"/>
        <w:rPr>
          <w:lang w:val="en-US" w:eastAsia="en-US" w:bidi="ar-SA"/>
        </w:rPr>
      </w:pPr>
      <w:r>
        <w:rPr>
          <w:rFonts w:ascii="arial" w:eastAsia="arial" w:hAnsi="arial" w:cs="arial"/>
          <w:color w:val="000000"/>
          <w:sz w:val="20"/>
          <w:lang w:val="en-US" w:eastAsia="en-US" w:bidi="ar-SA"/>
        </w:rPr>
        <w:t>Between Charlene Marie Bradley, Plaintiff, and Sheila Groves,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(74 paras.)</w:t>
      </w:r>
    </w:p>
    <w:p>
      <w:pPr>
        <w:jc w:val="both"/>
        <w:rPr>
          <w:lang w:val="en-US" w:eastAsia="en-US" w:bidi="ar-SA"/>
        </w:rPr>
      </w:pPr>
      <w:bookmarkStart w:id="361" w:name="Counsel_44"/>
      <w:bookmarkEnd w:id="36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4" style="position:absolute;z-index:2517043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 Hunt.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S. Casey.</w:t>
      </w:r>
      <w:r>
        <w:rPr>
          <w:lang w:val="en-US" w:eastAsia="en-US" w:bidi="ar-SA"/>
        </w:rPr>
        <w:cr/>
      </w:r>
    </w:p>
    <w:p>
      <w:pPr>
        <w:spacing w:after="240"/>
        <w:rPr>
          <w:lang w:val="en-US" w:eastAsia="en-US" w:bidi="ar-SA"/>
        </w:rPr>
      </w:pPr>
      <w:bookmarkStart w:id="362" w:name="Judgment_44"/>
      <w:bookmarkEnd w:id="362"/>
      <w:r>
        <w:pict>
          <v:line id="_x0000_s1235" style="position:absolute;z-index:25175552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63" w:name="R. JOHNSTON J. (orally)"/>
            <w:bookmarkEnd w:id="363"/>
            <w:r>
              <w:rPr>
                <w:rFonts w:ascii="arial" w:eastAsia="arial" w:hAnsi="arial" w:cs="arial"/>
                <w:b/>
                <w:color w:val="000000"/>
                <w:sz w:val="30"/>
                <w:lang w:val="en-US" w:eastAsia="en-US" w:bidi="ar-SA"/>
              </w:rPr>
              <w:t>R. JOHNSTON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The plaintiff, Ms. Bradley, was in two motor vehicle accidents. The first was on March 24, 2006; the second, July 26, 2008. Ms. Bradley is now 29 years old. She lives with her boyfriend, Mr. Sebestyen. Ms. Bradley has been continuously employed since leaving high school. In this action, Ms. Bradley claims damages from the driver of the other vehicle involved in the first accident, that is, the vehicle operated by Ms. Groves that struck Ms. Bradley from the rear.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for Ms. Groves conceded liability for the first accident in his opening address, so whether the first accident caused injury to Ms. Bradley and, if it did, the quantum of any damages that should be awarded are in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Ms. Groves, pleads that Ms. Bradley should be found contributorily negligent for contributing to the collision of March 24, 2006, for failing to wear or properly adjust an available seat belt and for failing to adjust properly an available headrest.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circumstances of the first accident are that Ms. Bradley came to a stop in a line of traffic waiting at a red light on 10th Avenue where it intersections with Kingsway Avenue in Burnaby. Ms. Bradley was alone in her 1989 Chevrolet Sprint vehicle. The defendant Groves struck Ms. Bradley's car from the rear, and Ms. Bradley's car was pushed into the car in front of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Bradley felt pain in the back of her head and neck and felt extremely shaky immediately after the accident. Ms. Bradley testified that at the time of the accident she was wearing the seat belt with which her vehicle was equipped. There is no evidence to the contrary.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Photographs of Ms. Bradley's vehicle taken by a damage estimator employed by ICBC within a week of the accident show that her car had one piece front seats with a high non-adjustable seatback; that is, there was no separate headrest capable of adjustment. There is, thus, no merit to an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properly adjust that which was not capable of adjustment.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exchanging information with the other drivers involved, Ms. Bradley carried on driving her vehicle to her place of employment. At the time, Ms. Bradley worked at Delaney's Pub in Langley. Her duties there were split between waitressing where she served food and drinks and cleared tables, on the one hand, and working as a clerk in a related or connected beer and wine store where she stocked shelves and acted as a sales clerk. Both jobs required some reasonable amount of physical involvement on the part of Ms. Bradley and could be fairly categorized as medium to heavy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Bradley earned $8 per hour and worked an average of 35 hours per week. She says she also earned an average of about $200 per week in tips. I take it that was mostly while she was acting in a waitress capacity rather than a store clerk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Ms. Bradley got to work after the accident, she requested and was permitted by her employer a period of time to rest, approximately an hour she says, before she started her shift. Her reason, primarily, was that she continued to feel shaken up by the accident. Ms. Bradley was unable to complete a full shift on the day of the accident and went home early. She then took about a week off work as a result of the injuries she suffered in the accident. After that week, Ms. Bradley returned to work and maintained her employment at Delaney's Pub until about July of 2006 when she and Mr. Sebestyen moved back to Victoria.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she continued to work at Delaney's Pub, Ms. Bradley altered the manner in which she carried out her job by making more trips with lighter loads when serving or clearing tables and not stocking shelves in the same way or carrying the same weights as she did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Bradley went to a walk-in clinic on the day after the accident and returned to that walk-in clinic a couple of days later. The doctor at the clinic advised Ms. Bradley to take physiotherapy, and on the second visit she got a prescription for Tylenol 3. Ms. Bradley took three physiotherapy treatments toward the end of March and into early April 2006 and then discontinued those treatments. Ms. Bradley took the one prescription of Tylenol 3 that she was issued (and it is not clear on the evidence how many pills she took) and thereafter has medicated herself with over-the-counter painkillers and anti-inflammatories such as Ibuprofen and Tylenol.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Bradley did not go back to a doctor for accident-related complaints following her second visit to the walk-in clinic until she had returned to Victoria and went to consult with her doctor, a Dr. Woodburn, in May of 2007. Between April 2006, the second visit she made to a walk-in clinic after the accident, and May 2007 when she first consulted Dr. Woodburn for injuries she suffered in the March 2006 accident, Ms. Bradley did attend walk-in clinics some 10 or 11 different times, all for unrelated problems. Ms. Bradley says that she continued in this period, April 2006 to May 2007, to suffer discomfort from the injuries she suffered in the accident, but, she says, she did not see that a doctor could do much about her discomfort and so did not make a point of promoting her accident-related discomfort to the principal reason for attending at a walk-in clinic.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any event, Ms. Bradley says that when making an appointment or walking into a walk-in clinic, the protocol, as she understands it, is that there is one complaint per visit and one is discouraged from attending a walk-in clinic with multiple complaints, and so her other health problems that took her to the walk-in clinics those 10 or 11 times were considered by her to have higher priority than the continuing effects of her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some support, although perhaps thin support, for this impression gained by Ms. Bradley, and that is found in the evidence of Dr. Woodburn, who, in cross-examination, I believe, agreed that it is preferable, from his point of view, that a patient come in for one complaint at a time, and the context of that, as I recall, was Ms. Bradley's attendance to review the results of various tests relating to a tremor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any event, in July 2006, Ms. Bradley moved back to Victoria with Mr. Sebestyen and changed her employment focus from waiting tables to work in a law firm. That altered the physical requirements of her employment from being on her feet for long periods of time and carrying loads to having to sit for longer periods of time. Ms. Bradley says that she has had trouble sitting for long periods at her new employment because of the injuries she suffered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14th of May 2007, Ms. Bradley attended Dr. Woodburn, as I have said. Her primary reason for going there was unrelated to her accident injuries, as I understand it, but she did tell Dr. Woodburn about the accident and the injuries she sustained, and he did examine her on that occasion for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14, 2007, Dr. Woodburn found a decreased range of movement globally, and on palpation, or touching Ms. Bradley, Dr. Woodburn detected a discrepancy in muscle tone that he interpreted as muscle spasm. That muscle spasm has not been attributed to any pre-existing tremor or any other neurological condition by medical or other opinion evidence. I conclude that what Dr. Woodburn interpreted as spasm was attributable to injuries caused by the first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Bradley also took some 35 chiropractic treatments from Dr. Martorana. Those treatments were required for discomfort or pain felt by Ms. Bradley as a result of the motor vehicle accident or accidents. Ms. Bradley additionally has done stretching and other exercises on her own at home to assist in her rehabilitation.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Bradley's condition improved generally while Dr. Martorana was providing her with chiropractic treatment. Ms. Bradley says that she was back to about 80 percent of normal by the middle of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July 15, 2008, Ms. Bradley attended on Dr. Martorana, not having been treated by her since May 2008, for the purposes of an examination which would permit Dr. Martorana to provide a medical-legal report to Ms. Bradley's counsel. I note that Dr. Martorana says that on examining Ms. Bradley on July 15, 2008, she found, on spinal analysis, grade one muscle spasms in the cervical spine on both sides with trigger points in her cervical paraspinals and upper trapezius. These are the areas of which Ms. Bradley has complained since the March 2006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Bradley was in another motor vehicle accident on July 26, 2008. On that occasion, she was in her vehicle parked in a parking stall in a parking lot and wanting to back out of that parking stall to leave. She was turned to look to her rear and saw a pickup truck backing out of a stall behind her. She watched this pickup truck back into the rear of her vehicle, striking it slightly. Ms. Bradley says that fresh accident had the effect of putting her back to square one in terms of her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Bradley testified that at the time of trial, she felt that she had recovered to about 60 percent of her level of fitness and comfort that she had enjoyed prior to the first of her two motor vehicle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are some general principles that I must bear in mind. The first is that it is for Ms. Bradley to prove her claims on a balance of probabilities. The second is that it is for the defence to prove claims or assertions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 I am mindful of the need to scrutinize the evidence in this case with care because of the largely subjective nature of the proof of injury here and the concomitant risk to the defendant that she might be ordered to pay damages largely on the unsupported evidence of the plaintiff. I am also mindful that before I accept the evidence of a witness, I should consider the extent to which that witness's evidence is or is not supported by other credible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will say now that I found Ms. Bradley to be an entirely credible witness. She was not inclined to exaggerate her complaints; rather, if anything, she tended to minimize them in giving 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One example of what her counsel has described as a stoic nature is the question whether or not there has been a provable emotional fallout from Ms. Bradley's injuries. Emotional consequences have been described by Ms. Bradley and by her boyfriend, Mr. Sebestyen. These include a reduction in Ms. Bradley's enjoyment of life, her approach to her life, and her approach to leisure activities. Another they both describe is an alteration by way of reduction generally in their intimacy with each other. Ms. Bradley, in describing the emotional sequelae to her injuries, became tearful on a couple of occasions in giving her evidence, and she said that she did not mention this emotional problem or these problems to any doctor because she was reluctant to disclose that she had these emotional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difficulty that creates, of course, is that while I accept that Ms. Bradley has suffered an emotional consequence to her physical injuries, her reluctance to disclose that emotional consequence has meant that this condition has gone without treatment, and I am left with no information or evidence about whether or not this is a condition that could have been easily or successfully treated had it been disclosed to a physician who would then be in a position to advise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Bradley may be a stoic. Indeed, I think to a large extent she is. But it is not appropriate in this case that she lay at the feet of the defendant all of the consequences of an untreated emotional reaction to the accident or her injuries because it was not reasonable, in my view, that she avoid mentioning this emotional fallout to a doctor or seek treatment for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however, no question that Ms. Bradley's emotional relationships, particularly her relationship with Mr. Sebestyen, have been adversely affected by her injuries, and that is not entirely as a result of the emotional fallout from the accident but it is partially as a result of Ms. Bradley's physical discomfort.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argues that I must carefully review the evidence in this case, particularly in light of the absence of medical corroboration of continuing physical problems in that gap between April 2006 and May 2007 when she saw Dr. Woodburn. I agree generally with that proposition, but how I approach that time is influenced, in this case, by the absence of any evidence that it would have made one bit of difference to Ms. Bradley's recovery or to the progress of her injuries had she spent that interval regularly attending on doctors.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short, while there is no onus on the defendant to show that there would have been a difference, in the absence of evidence, I simply ask myself, am I persuaded there would have been a difference or might have been a difference in the progress of Ms. Bradley's injuries or condition had she spent that intervening 12 to 13 months going to doctors?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influenced in considering this time period by a suspicion that some people might go to doctors unnecessarily because they know they are making claims for damages and either they have been advised to or they have concluded on their own that it would be wise to paper their claim for damages by attending at a doctor to make serial and repetitive complaints of injuries, and perhaps this is understandable because if one does not go to a doctor one risks the very kind of argument that is made in this case, and those arguments are, on many occasions, entirely meritorious. This plaintiff did attend 10 or 11 times to walk-in clinics in the first year after the accident with no recorded complaint of accident-related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already referred to the spasm or the muscle tone anomaly interpreted as spasm by Dr. Woodburn in May of 2007, just over a year after the first accident. There is some element of the claims advanced in this case relating to headache. There are two types of headache mentioned in the evidence. One is what I will call the ordinary headache, which Ms. Bradley differentiates from a pre-accident headache condition by its location in her head. She says that prior to the accident she was prone to headaches in the temporal or frontal region of her head. After the accident, the headaches were in the back of her 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developed some time more than a year after the accident an additional headache problem: migraines. Dr. Woodburn is not prepared to attribute the migraines to the accident or injuries suffered in the accident, and I will not consider them further.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headaches Ms. Bradley complains of in the back of the head are not well-documented by Dr. Woodburn or elsewhere. I consider those as part and parcel of the generalized soft tissue complaints arising out of Ms. Bradley's neck and upper back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to non-pecuniary damages, the defendant points primarily to the amount of vehicle damage or, more to the point, the lack of vehicle damage, and argues that it is unlikely that any significant injury could occur or did occur as a result of such an apparently minor impact. Vehicle damage is, of course, a relevant consideration, but it should not be given undue weight in a claim for damages arising out of a motor vehicle accident. The question in issue is, what injuries, if any, were caused by the impact between the vehicles; not how badly the cars were damaged. The relationship, if any, between the amount of structural damage to a vehicle and the potential or actual damage to the human body in the vehicle is not something upon which a practical inference can, in all cases, safely be drawn.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note that there was some deformation to the rear bumper of Ms. Bradley's vehicle and some deformation to the sheet metal behind the bumper. To my mind, the amount of that deformation and its consequence for the potential for personal injuries on Ms. Bradley's part is nothing more than a factor to be considered with all of the other evidence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have reviewed the authorities proffered by counsel. Those authorities, if they have any common theme, show how heavily each damage award depends on the facts of the case in which the damages are awarded. The plaintiff's authorities show a range between $15,000 and $45,000. The defendant's authorities show a range between $1,000 and $12,000, with one or two notable exceptions, for example, </w:t>
      </w:r>
      <w:r>
        <w:rPr>
          <w:rFonts w:ascii="arial" w:eastAsia="arial" w:hAnsi="arial" w:cs="arial"/>
          <w:i/>
          <w:color w:val="000000"/>
          <w:sz w:val="20"/>
          <w:lang w:val="en-US" w:eastAsia="en-US" w:bidi="ar-SA"/>
        </w:rPr>
        <w:t>Cook v. Webb</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2004 BCSC 453</w:t>
        </w:r>
      </w:hyperlink>
      <w:r>
        <w:rPr>
          <w:rFonts w:ascii="arial" w:eastAsia="arial" w:hAnsi="arial" w:cs="arial"/>
          <w:color w:val="000000"/>
          <w:sz w:val="20"/>
          <w:lang w:val="en-US" w:eastAsia="en-US" w:bidi="ar-SA"/>
        </w:rPr>
        <w:t xml:space="preserve">, where a plaintiff was found by the trial judge to be not worthy of credit, or </w:t>
      </w:r>
      <w:r>
        <w:rPr>
          <w:rFonts w:ascii="arial" w:eastAsia="arial" w:hAnsi="arial" w:cs="arial"/>
          <w:i/>
          <w:color w:val="000000"/>
          <w:sz w:val="20"/>
          <w:lang w:val="en-US" w:eastAsia="en-US" w:bidi="ar-SA"/>
        </w:rPr>
        <w:t>Leo v. Leo</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2005 BCSC 1300</w:t>
        </w:r>
      </w:hyperlink>
      <w:r>
        <w:rPr>
          <w:rFonts w:ascii="arial" w:eastAsia="arial" w:hAnsi="arial" w:cs="arial"/>
          <w:color w:val="000000"/>
          <w:sz w:val="20"/>
          <w:lang w:val="en-US" w:eastAsia="en-US" w:bidi="ar-SA"/>
        </w:rPr>
        <w:t>, where a 12-year-old suffered a significant back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authorities tendered by both counsel can be fairly characterized as bearing some relationship, some closer, some more distant in terms of their facts, to the facts of this case. The ranges suggested by each party simply show that damage assessment, while guided by the authorities and done according to the principles of law, is an idiosyncratic process peculiar to the person entitled to an award while at the same time having to be fair to the person who will pay the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to Ms. Bradley's general approach to medical treatment as exemplified by that 12- to 14-month gap between April 2006 and May 2007 and periods after that, it is relevant, I think, that Ms. Bradley, at the time of the first accident, was no stranger to the medical profession. As I understand the evidence, Ms. Bradley had a bout of meningitis as a child. That meningitis has left her with what I understand to be a neurological condition that results in tremors more to her left arm and upper body than to the right side of her body, and those tremors do extend from time to time into her left lower body.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meningitis and the tremors that she has been left with have meant that Ms. Bradley has been, from time to time, examined by various doctors. There was reference to the Children's Hospital in Vancouver, for example, and some of the medical attendances on Dr. Woodburn in the period after the first accident have related to the tremor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tremors are not connected to nor were they aggravated by the accidents or injuries in the accidents, but they are relevant, to my mind, because they indicate that Ms. Bradley is someone who is not unfamiliar with the medical profession and has more than a passing understanding of its capabilities and of the probability that regular attendances to complain of a sore neck will result in any quicker relief or treatment or effective treatment than if one simply follows one's course of home exercise and seeking treatment when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So with all of that in mind, I conclude that the first accident caused soft tissue injuries to Ms. Bradley's neck and upper back. These were severe enough that Dr. Woodburn detected what he interpreted as spasm over a year later, that is, in May 2007, and severe enough that Dr. Martorana found what she interpreted as spasm over a year after that, July of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Those injuries have caused discomfort that has prevented Ms. Bradley from engaging in her social and recreational pursuits to the extent and with the frequency that she would otherwise have liked.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Those injuries have affected Ms. Bradley's ability to be intimate with Mr. Sebestyen with the frequency and with the quality that she would like, with a consequent effect upon their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Those injuries affected Ms. Bradley's work as a waitress and clerk at Delaney's Pub and continue to affect her work at the law firm, albeit that is more sedentary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Those injuries have persisted now for three years, with a period of acute aggravation following the July 2008 accident, and I will deal in a moment with the effect of that accident on the assessment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aggravation brought about by the July 2008 accident, I find, was as acute as it was because the first accident left Ms. Bradley, who was not then fully recovered from the effects of the first accident, in a somewhat more vulnerable position and exposed to injury to a greater extent because of the incomplete recovery from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Bradley's current prognosis is for recovery from the accident-related injuries. That has not yet happened. The tendency is to categorize soft tissue injuries on a mild, moderate, severe scale. The difficulty is, of course, hanging a label on an injury is not really accomplishing much other than permitting someone to compare that label with that injury to some similar label set out in a case authority.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To the extent that there is such a range, I find that Ms. Bradley's injuries fall toward the moderate end of a mild to moderate spectrum, and indeed, I conclude that she is somewhat uncomfortably in the moderate end of that spectrum.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all of that, I award Ms. Bradley $30,000 for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Bradley makes a loss of earnings claim. That claim is attacked because it is not supported by documents produced by her employer. Ms. Bradley says that she tried to get some documentary evidence of her lost income but was unsuccessful because she says Delaney's Pub no longer exists and she could not find anybody to give her documents to support her income loss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claim advanced is for 35 hours of lost income at $8 plus $200 in tips. I take some comfort here from the fact that knowing that there was no employer that could be easily found to support a claim, someone who might have been inclined to manufacture a claim could have deduced that it would be just as difficult to disprove a claim, and that might have led someone less honest to inflate a claim for damages. This claim is an entirely modest claim, $480.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accept completely that Ms. Bradley lost $480 as a result of injuries she suffered in this accident and award her that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There is a claim for cost of future care arising out of Dr. Martorana's opinion that Ms. Bradley could benefit from one to two chiropractic treatments per month. That claim I deny, primarily because I have some faith in Ms. Bradley's ability to decide what she needs or does not need by way of medical treatment, and Ms. Bradley, to put it colloquially, has voted with her feet in terms of chiropractic treatment, electing to discontinue that treatment some time ago, and so that claim, I find, is not sufficiently made out as being medically justified, as I understand the requirements set out by Madam Justice McLachlin, as she then was,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so I make no award for cost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a special damage claim that seems to be divided just about equally between the cost of a new bed and the balance. I do not award an amount to compensate for the cost of a new bed. It has not been shown to my satisfaction to be medically justified as a result of injuries suffered in the accident. I accept that a new bed was more comfortable to get in and out of than the old futon. I accept that Ms. Bradley's rest has been somewhat easier as a result of the new bed, but that, to me, is not the test. The test is whether a new bed is medically justified. That does not mean, to my mind, that a doctor has to come in and prescribe a new bed. It does mean that something more than I have must be shown to warrant an award fixing a defendant with the cost of a new 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there is a division between a special damage or a care item as medically justified, and the sort of thing that one is expected to take the non-pecuniary damages and purchase by way of solace for the injury, this, to my mind, is on the solace side of the divider, and I do not know that a divider exists, and for that reason the bed is not awarded.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do, however, award the amounts claimed for chiropractic and physiotherapy treatment and the small amount for parking, so the special damages are awarded at $1,324.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now turn to the impact of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has testified, as I have said, that this second accident set her back to square one in terms of her recovery. Dr. Woodburn has said that the complaints of injury from the second accident were essentially in the same pattern as the first accident and that his findings after the second accident were similar to his findings after the first accident but perhaps less traumatic. The plaintiff generally said that the areas of pain and suffering were the same after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That evidence leads me to conclude that the injuries in the second accident are indivisible from the injuries in the first accident. Those indivisible injuries were caused by consecutive torts, the first being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Groves in causing the accident of March 24, 2006, and the second being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pickup truck that backed into Ms. Bradley's vehicle while she was sitting in her parked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drivers, Ms. Groves and the driver of the pickup truck whose identity was not disclosed at trial, were both necessary causes of the indivisible injuries to Ms. Bradley and of the losses resulting from those indivisible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the Court of Appeal said, at para. 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[6] Drawing on the concepts as discussed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[1997] 1 W.W.R. 97</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81 B.C.A.C. 243</w:t>
        </w:r>
      </w:hyperlink>
      <w:r>
        <w:rPr>
          <w:rFonts w:ascii="arial" w:eastAsia="arial" w:hAnsi="arial" w:cs="arial"/>
          <w:color w:val="000000"/>
          <w:sz w:val="20"/>
          <w:lang w:val="en-US" w:eastAsia="en-US" w:bidi="ar-SA"/>
        </w:rPr>
        <w:t>, the trial judge defined an "indivisible" injury as that "caused or materially contributed to by a tort" and a "divisible" injury as one that has "no causal connection" to the tort. He found that Ms. Ashcroft's injuries from the second accident were "indivisible" from her first-accident injuries and their consequences because, at the time of the second accident, she had not yet recovered from the first accident and the second accident realized a vulnerability created by the first accident, namely, the risk that her first-accident injuries would be aggravated and exacerbated. Thus, the respondents were fully liable for the entirety of the injuries and their consequences the first tortfeasor had caused Ms. Ashcroft.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that whoever was driving the pickup truck that hit Ms. Bradley's vehicle on July 26, 2008, realized a vulnerability by aggravating an incomplete recovery from the injuries Ms. Bradley suffered in the first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 Groves has pleaded that Ms. Bradley's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first accident, that is, of March 24, 2006, or to her injuries through failure to wear or properly adjust her seat belt or to adjust her headrest. None of those allegations were proved at trial. Indeed, none were seriously pursued by the defendant Groves by way of cross-examination, and no evidence was tendered by the defendant Groves.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Bradley, that is, in relation to either of the two accidents, the one of March 24, 2006, or the one of July 26,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light of those findings, and on the authority of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and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 conclude that the defendant Groves is liable to pay 100 percent of the damages awarded to Ms. Bradley flowing from both accidents. Because there is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Bradley, apportionment is not necessary. It is also not necessary because both tortfeasors are not before the court, and I refer here to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at paras. 19-21.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would say, however, that had I been required to apportion damages, that would not have affected by one penny the amount that Ms. Bradley would receive in damages. It would simply permit the tortfeasors to deal with each other in terms of their contribution to what Ms. Bradley will receive.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will also say that had I been required to apportion, I would conclude that, given the relatively short time it took Ms. Bradley to get back to the position she was in prior to the second accident, I would have apportioned the damages at 80 percent to the first accident and 20 percent to the second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summary, therefore, the defendant Groves shall pay to Ms. Bradley non-pecuniary damages of $30,000, loss of income of $480, special damages of $1,324, court order interest as calculated, and I will hear counsel on costs.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COURT: The damages awarded exceed an offer to settle by about $6,000 or thereabouts. This was a case brought under Rule 66. Rule 66(29) provides that the amount of costs, exclusive of disbursements, is limited to $6,600 if the trial takes two days. This trial took two days. It went to the third day to conclude submissions, primarily because I required counsel to address the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note that Rule 66(29) is prefaced with the phrase </w:t>
      </w:r>
      <w:r>
        <w:rPr>
          <w:rFonts w:ascii="arial" w:eastAsia="arial" w:hAnsi="arial" w:cs="arial"/>
          <w:i/>
          <w:color w:val="000000"/>
          <w:sz w:val="20"/>
          <w:lang w:val="en-US" w:eastAsia="en-US" w:bidi="ar-SA"/>
        </w:rPr>
        <w:t>unless the court orders otherwise</w:t>
      </w:r>
      <w:r>
        <w:rPr>
          <w:rFonts w:ascii="arial" w:eastAsia="arial" w:hAnsi="arial" w:cs="arial"/>
          <w:color w:val="000000"/>
          <w:sz w:val="20"/>
          <w:lang w:val="en-US" w:eastAsia="en-US" w:bidi="ar-SA"/>
        </w:rPr>
        <w:t>, and subrule (29.1) indicates that in exercising the discretion under subrule (29), the court might consider settlement offers delivered in accordance with Rules 37 or 37A.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this case, the offer to settle in the amount of $26,500 is dated March 2nd and was delivered by fax. The trial started March 9th. That might be thought to offend a general rule that a party receiving an offer to settle should have seven clear days to consider that offer. At least, that was the effect of the decision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[2008] B.C.J. No. 1952</w:t>
        </w:r>
      </w:hyperlink>
      <w:r>
        <w:rPr>
          <w:rFonts w:ascii="arial" w:eastAsia="arial" w:hAnsi="arial" w:cs="arial"/>
          <w:color w:val="000000"/>
          <w:sz w:val="20"/>
          <w:lang w:val="en-US" w:eastAsia="en-US" w:bidi="ar-SA"/>
        </w:rPr>
        <w:t xml:space="preserve">. This is, however, fundamentally, a matter of discretion. How much time one needs to consider an offer is dependent to some extent on the complexity of the case and the complexity of the issues, and I do not understand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to be setting a hard and fast rule that is not otherwise contained within the Rules of Court. 1952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Here, I am influenced by several things. One is that until the plaintiff closed its case, the pleadings indicated that liability for the accident itself remained in issue. The matter of the claims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contributing to the accident itself I suppose ended with the concession of liability during defence counsel's opening, but as I understand it, the questions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the seat-belt defence and the headrest defence, so-called, remained outstanding. They had to be dealt with in the judgment notwithstanding that counsel did not focus on them in evidence or in argument.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To my mind, that does affect the exercise of the discretion conferred by Rule 37B, and in these circumstances, given that the offer was made on the seven-day time limit, and given the matters to which I have just referred, this is an appropriate case, in these circumstances, to award the plaintiff double costs of trial under the tariff.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 JOHNSTON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067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Chong v. Lee, [2014] B.C.J. No. 2970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27-31, February 3-7 and 11-12,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M095398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2970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2258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 Chong, Plaintiff, and Chi Yong Lee and John Lee,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(238 paras.)</w:t>
      </w:r>
    </w:p>
    <w:p>
      <w:pPr>
        <w:jc w:val="both"/>
        <w:rPr>
          <w:rFonts w:ascii="arial" w:eastAsia="arial" w:hAnsi="arial" w:cs="arial"/>
          <w:sz w:val="20"/>
          <w:lang w:val="en-US" w:eastAsia="en-US" w:bidi="ar-SA"/>
        </w:rPr>
      </w:pPr>
      <w:bookmarkStart w:id="364" w:name="Counsel_45"/>
      <w:bookmarkEnd w:id="3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V.J. LeBlanc and J.R.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Jones and M. Cheng.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5" w:name="Judgment_45"/>
      <w:bookmarkEnd w:id="365"/>
      <w:r>
        <w:pict>
          <v:line id="_x0000_s1238" style="position:absolute;z-index:2517565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6" w:name="P.J. PEARLMAN J."/>
            <w:bookmarkEnd w:id="366"/>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damages for injuries sustained by the plaintiff, Ann Chong, in a motor vehicle accident which occurred on December 1, 2007 at the intersection of Fraser Street and East 33rd Avenue in Vancouver, British Columbia. The plaintiff, who was 48 years old at the time, was the seat-belted driver and sole occupant of her vehicle. Ms. Chong, who was driving northbound on Fraser Street, had brought her vehicle to a stop at the intersection when a vehicle driven by the defendant Chi Yong Lee and owned by the defendant John Lee struck her vehicle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claims that she suffered soft tissue injuries to her low back, mid back, upper back, neck and right shoulder, headaches, sleep disturbance, emotional distress, anxiety and depression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the time of trial, more than six years after the accident, the plaintiff continued to complain of chronic pain. Ms. Chong also maintains that her injuries have prevented her from returning to the workforce, as she planned to do after her younger daughter graduated from high school in 2011. The plaintiff claims non-pecuniary damages, damages for loss of past and future earning capacity and costs of future care, damages for loss of homemaking capacity and special damages of $48,666.76.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raised in this action are:</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the plaintiff suffer as a result of the December 1, 2007 motor vehicle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cause or contribute to the plaintiff's ongoing complaints of chronic pain?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if any, are payable to the plaintiff for non-pecuniary damages, past and future loss of earning capacity, cost of future care, loss of homemaking capacity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addressing these issues, it will be necessary to assess the credibility and reliability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submits that but for the motor vehicle accident of December 1, 2007 she would not have experienced the chronic pain in her lumbar and thoracic spine, neck and right shoulder, or the sleep disruption and anxiety that continue to afflict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Chong says that, absent the accident, she would have returned to the workforce in the fall of 2011 after her younger daughter, Valerie, left home to attend university. The plaintiff left the workforce in the fall of 1993 in order to care for her two young children. She submits that her injuries have impaired her ability to upgrade her skills or to return to work in a retail position. Ms. Chong maintains she has suffered an annual loss of earning capacity of $30,000 to retirement at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says that before the accident she was a meticulous housekeeper who performed the bulk of the homemaking activities for her family. She submits that taking into account the time others now spend in performing services she used to provide, her loss of efficiency in performing housekeeping tasks and the loss of services that are no longer performed at all, she has suffered, and will continue to suffer a loss of homemaking capacity equivalent to about 10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Chong submits that her chronic pain, disrupted sleep, fatigue and anxiety have impaired her relations with her husband and daughters and have limited her social relationships to the point where she rarely entertains and has reduced her contact with her friends. In short, the plaintiff contends that the injuries she suffered in the accident have had a profound and detrimental effect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accept that Ms. Chong suffered mild soft tissue injuries in the accident. However, they contend that the plaintiff had substantially recovered from her injuries by the summer of 2008 and that her injuries caused by the accident had essentially resolved either by December 2010, or by mid-2011 at the latest.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submit that Ms. Chong's continuing complaints are entirely subjective, disproportionate to her injuries and have continued well beyond the normal course of recovery for a Grade 1 whiplash.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the defendants, the plaintiff is neither a credible nor a reliable witness. Her evidence at trial was repeatedly impeached when she was confronted with prior inconsistent statements from her examination for discovery. The defendants say that since 2011 the plaintiff has increasingly and obsessively focused on the accident, its perceived effects, and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argue that the plaintiff's damages should be limited to a modest award for pain and suffering and loss of enjoyment of life, reasonable and medically justified special damages, and a nominal award for cost of future care. The defendants dispute that the plaintiff had any vocational plan at the time of the accident. They say Ms. Chong has led no evidence about how long she would have worked or whether she would have worked part-time or full-time. The defendants submit that the plaintiff has not met her onus of establishing a real and substantial possibility of a future event leading to income loss. Similarly, the defendants argue that the plaintiff has not established a loss of past or future homemaking capacity. Rather, they say her evidence goes no further than showing that Mr. Chong helped out with shared domestic responsibilities while the plaintiff was in the initial stages of her recovery from a mild whiplash disorder. As for special damages, the defendants submit that many of the expenses claimed were incurred after the plaintiff had recovered from her injuries, and that the plaintiff continued to incur expenses for therapies she pursued contrary to medical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Original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Chong did not suffer from neck, back or shoulder pain, or indeed any chronic pain before the accident. She had no previous history of insomnia, anxiety 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graduating from high school in 1977, Ms. Chong married her husband, Felix Chong, in 1981. The plaintiff and her husband have two children, Stephanie, born in 1986, and Valerie, born in 1993. Stephanie Chong now lives independently in Vancouver while Valerie has attended university in Waterloo, Ontario since 2011. For the last 20 years, Mr. Chong has been employed by Telus as a Senior Technology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of the accident, Ms. Chong was a busy homemaker. While her elder daughter had left home to attend university in Ontario, Valerie, who was then 14, was heavily involved in extracurricular music programs at both her school and the Vancouver Music Academy. Before the accident, Ms. Chong would typically drive Valerie to school at 7:30 a.m., then return home to do the housekeeping and prepare the evening meal before returning to Valerie's school to pick her up and transport her to and from her music lessons at the Vancouver Academy of Music.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Chong had a close relationship with both her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Chong took pride in her home. She was described by her husband and by a friend, Deanna McGregor, as a meticulous housekeeper. Before the accident, the plaintiff did most of the cleaning, grocery shopping, cooking and gardening, although Mr. Chong helped her with heavier tasks. Ms. Chong enjoyed cooking for her family, both throughout the week and on special occasions. She was outgoing, and took pleasure in entertaining neighbours and 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evidence that she took particular pleasure in her garden is supported by the testimony of her friends, Deanna McGregor, Margaret Chow Liu and Alice Chin, as well as by the evidence of Felix, Stephanie and Valerie Chong.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Before the accident, for exercise, the plaintiff walked with her husband or with friends, typically for up to an hour and a half at a time. She was not active in other sports or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and her husband enjoyed road trips to Seattle, Portland, Los Angeles and Alberta. Before the accident, she had no difficulty sitting in a vehicle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Turning to Ms. Chong's pre-accident education and employment, following her graduation from high school in 1977, the plaintiff took courses at Langara College and later BCIT, where she obtained a certificate in advertising and public relations in 1981 and a certificate in marketing in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leaving high school, the plaintiff worked for the Chinese Cultural Centre for one year teaching citizenship classes. From 1978 to 1984, she worked part-time, and later full-time as a costing clerk for an electrical contractor. From 1984 through 1985, she was employed as an assistant manager at a clothing store. In 1986, the plaintiff began to work part-time at Woodward's. She accepted a full-time position at Woodward's in 1987, was later promoted to the position of assistant to a buyer, which she held until December 1991. Ms. Chong testified that in late 1991 she left Woodward's, which was then in financial difficulty, to take a sales position at Fabricana, a textiles retailer, where she worked until Valerie's birth in February 1993. After her maternity leave, she returned to Fabricana in August 1993 and remained there until October 1993 when she decided to devote all of her time to raising her two young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Chong testified that she earned about $29,000 a year at Fabricana, inclusive of her annual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Chong had not returned to the workforce before the accident. The plaintiff testified that in 2007 she had submitted applications for employment to Hudson's Bay and Winners' stores in Metrotown mall in order to "test the waters" for employment in retail, although she did not intend to return to the workplace until Valerie graduated from high school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had stopped her RAV 4 vehicle and was facing forward when she was struck from behind by the defendants' Toyota Corolla. Ms. Chong was on her way to have Valerie's violin bow re-strung. Ms. Chong recalled a loud impact and testified she was immediately overwhelmed by the noise of the impact. Although the plaintiff was able to exit from her vehicle on her own, she said she felt uneasy, and returned to her car. She called her husband, and asked him to bring his camera. Mr. Chong arrived about five minutes later and took a number of photos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Chong testified that she was in a state of shock. She did not recall experiencing pain at the time of the accident. Mr. Chong drove the plaintiff to have the violin bow re-strung and then dropped her off at the scene of the accident. Ms. Chong was able to drive her vehicle the short distance to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RAV 4 sustained damage requiring $5,346 in repair costs. The Insurance Corporation of British Columbia declared the defendants' vehicle a total loss. The Court heard no evidence of the speed of the defendants' vehicle at the point of impact. However, I infer from the evidence of the damage to both vehicles that the impact involved at least moderate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CONDITION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she began to experience pain in her right neck and shoulder on the late afternoon of December 1, 2007, which became progressively worse that night and over the remainder of the weekend. She began to experience difficulties sleeping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Because Ms. Chong's family doctor, Dr. Heather Jenkins was away from her office, the plaintiff first saw Dr. Jenkins' locum, Dr. Fiona Duncan, on Monday December 3, 2007. The plaintiff reported pain in her lower back, right upper back, her right neck and right shoulder. Dr. Duncan noted that the plaintiff had full range of motion in her neck but with pain at the full range of motion in all directions. Dr. Duncan prescribed Tylenol 3 and referred the plaintiff for physiotherapy. Between December 6, 2007 and mid April 2008, Ms. Chong attended 39 sessions of physiotherapy at West 4th Physiotherapy. Ms. Chong found that some sessions provided temporary relief, but she obtained no consistent benefit from the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Chong also saw a kinesiologist and received acupuncture treatments through West 4th Physiotherapy in 2008. In addition, with Dr. Jenkins' approval, Ms. Chong began restorative yoga classes in early 2008 and started to exercise in the gym at the Sunset Community Centre between three and five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recommendation of Dr. Jenkins, Ms. Chong participated in an active rehabilitation program at KARP Rehab during April and May 2008. Ms. Chong testified that she felt stronger after finishing the KARP program and that she felt better for a while following the end of that program in late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continued her physiotherapy after the KARP program, and in early 2009, began training with a personal trainer at the Langara YMCA.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November 2008, Dr. Jenkins first prescribed Tramacet to assist with pain relief, and Zoplicone to assist with the plaintiff's continuing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December 4, 2008, the plaintiff began to receive intramuscular stimulation (IMS) treatment from Matthew Powell, a physiotherapist at West 4th Physiotherapy. Although this therapy, which involved the insertion of multiple needles at trigger points in her back, neck and shoulder muscles, was painful, the plaintiff found that it produced significant, if temporary reductions in her pain. Mr. Powell testified that he observed increases in the plaintiff's reported pain and muscle tightness when she was stressed, when she reported difficulties at home, when she had changed her medication, or if she was exercising too aggressively.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Dr. Weiss, a physiatrist to whom Dr. Jenkins referred the plaintiff, recommended in December 2008, January 2009 and February 2009 that Ms. Chong limit the IMS treatments unless they were providing longer term benefits, Mr. Powell provided 102 IMS treatments to Ms. Chong between December 4, 2008 and May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From September 2009 through September 2012, Ms. Chong received massage therapy treatments from Mr. Andrew Peters. Mr. Peters testified that he did not observe any substantial variation in the plaintiff's symptoms, although they increased and decreased throughout the three years he treated Ms. Chong. According to Mr. Peters, fluctuations in the plaintiff's pain and stiffness were attributable to many factors, including how much she was sitting, whether she was working out, and other stressors in her life. Mr. Peters gave evidence that he observed the plaintiff to be despondent and in significant pain during several sessions through the course of 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Peters also testified that he repeatedly discussed with the plaintiff her poor "head forward" posture. He agreed that Ms. Chong's poor posture could cause pain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November 19, 2009, Mr. Peters noted that the plaintiff's tissue tonus - a measure of tissue health - was the best that he had ever seen despite Ms. Chong's denial of improvement. In cross-examination, Mr. Peters agreed that there was a disharmony between Ms. Chong's subjective complaints and his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Peters also gave evidence that Ms. Chong's massage therapy treatments in 2011 were largely concerned with her postural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Peters thought that Ms. Chong attended his treatments in part for support and validation. Mr. Peters said that he likes his patients to be more autonomous and had encouraged the plaintiff to engage in self-care, and to reduce her dependency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Chong testified that she and Dr. Jenkins discussed reducing the frequency of her treatments, including both the IMS and massage therapy sessions. The plaintiff understood that Dr. Jenkins wanted her to taper off and eventually stop these treatments. However, the plaintiff found that when she did stop, her pain increased, as did her sleep disruption. Ms. Chong testified that her ability to function and to perform daily activities was reduced when she stopped these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February 2012, the plaintiff began a weekly exercise program with Mr. Scott Andrews, a personal trainer at the downtown YMCA. Mr. Andrews testified that over the one and a half years that he trained the plaintiff, she was consistently willing to work hard on an exercise program aimed at strengthening and stabilizing her core muscles. Despite her efforts, Ms. Chong has difficulty mastering the proper exercise techniques.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Andrews also worked on improving the plaintiff's posture throughout her training. Like Mr. Powell and Mr. Peters, Mr. Andrews testified that changing one's posture can be quite difficult. He said that it may take decades to realize lasting improvement in posture.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September 2012, on the advice of the physiatrist, Dr. Weiss, Ms. Chong suspended her IMS treatments with Mr. Powell and her deep tissue massage therapy. The plaintiff and her husband both testified that her complaints of pain increased while she was not receiving these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April 2013, on the recommendation of Dr. Weiss, the plaintiff attended the UBC Sleep Clinic where her sleep was monitored and she was diagnosed as suffering from obstructive sleep apnea. Dr. Jenkins testified that condition was not caused by the motor vehicle accident. However, she thought that the plaintiff's chronic pain was also a significant contributing factor to her disruptive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December 2012, Dr. Jenkins referred Ms. Chong to Dr. Pamela Squire, a physician who restricts her practice to pain management. Ms. Chong, on Dr. Squire's recommendation, attended an eight-week chronic pain self-management program offered through the University of Victoria, attended a pain support group, and received further massage therapy from a new therapist, Mr. Mark Finch. These programs and therapies were aimed at assisting the plaintiff in learning to manage her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Jenkins also referred the plaintiff to a psychologist, Dr. Mark Lau. Between March 2013 and the time of trial, Ms. Chong attended 25 cognitive behavioural therapy (CBT) sessions with Dr. Lau. Ms. Chong testified that the CBT is teaching her to understand her pain and to identify triggers for her depression. She also found the techniques for mindfulness meditation taught by Dr. Lau were helpful in calming her thoughts and reducing her pain symptoms. At her first session, the plaintiff reported to Dr. Lau that she felt guilt, anxiety and anger, had a low mood, worried about the effects of her medications and about driving, worried about travelling due to her pain, and that she experienced nightmares that interfered with her sleep and significantly reduced her ability to function. Dr. Lau administered a depression inventory on which the plaintiff reported difficulties with concentration, low energy, sad and depressed mood, and a sense of worthlessness and hopelessness. The plaintiff also reported passive suicidal thoughts. By mid- October 2013, the plaintiff's suicidal ideation had escalated to the point where Ms. Chong talked about taking medication to commit suicide. Some of Dr. Lau's sessions focused on assisting the plaintiff to manage suicidal ideation. Ms. Chong testified that due to her attachment to her daughters she would never act on her suicidal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Lau testified that after 25 sessions of treatment, Ms. Chong's reported symptoms of anxiety and depression were the same or worse than when she began her therapy. Dr. Lau gave evidence that throughout his treatment the plaintiff frequently complained of sleep disturbance. He said that her disturbed sleep could have affected her reporting of other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May 2013, on Dr. Jenkins' referral, the plaintiff began attending the ChangePain clinic where she received treatment from Dr. Brenda Lau, a specialist in pain medicine. Her treatment has included IMS sessions, trigger point injections, and Lidocaine infusions. Ms. Chong testified that she experienced at 75% reduction in her level of pain following the first Lidocaine infusion in October 2013. Following this treatment, the plaintiff said that she was able to sit through a movie, and to attend a symphony and an opera. She also enjoyed some relief from her headaches. The initial Lidocaine infusion appears to have provided the plaintiff with significant relief for about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Jenkins testified that by the time of trial, the physicians at the ChangePain clinic had assumed the primary management of the plaintiff's chronic pain. On Dr. Brenda Lau's recommendation, the plaintiff was continuing physiotherapy. At the time of the trial, Ms. Chong was also practising yoga, walking, performing the exercises provided by her physiotherapist and also exercising in her home gym and at the downtown YMCA.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Chong is frustrated and angered by the persistence of her symptoms. She testified that she takes her frustration and anger out on her family and friends. Mr. Chong confirmed that the couple quarrel more frequently than they did before the accident. He said that as a result of the plaintiff's disrupted sleep, they have occupied separate bedrooms since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Chong, the plaintiff's daughters, and her friend Ms. Chin all testified that the plaintiff's conversation frequently focuses on her pain and symptoms. The plaintiff testified that after the accident her concerns about her pain and her preoccupation with her own circumstances led her to pay less attention to the needs of Valerie. She that her relationship with both of her daughters, and particularly Valerie, had weakened. Mr. Chong gave evidence that both Stephanie and Valerie now confide more in him than they do in their mother, and that this is a complete reversal from the way things were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testified that her pain and fatigue have diminished her social life and that since the accident she has been unable to host Christmas parties or other large gatherings.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Chong testified that while she is still able to perform some housekeeping tasks, she has difficulty cleaning the windows, or carrying equipment to wash the floors. The plaintiff testified that she is no longer able to maintain the same standard of cleanliness that prevailed before the accident. Both the plaintiff and Mr. Chong estimated at the trial of trial, Mr. Chong spent approximately 10 hours a week doing housework that he did not perform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to the garden, Ms. Chong testified that her pain prevents her from digging, turning soil and mulching and said that she finds it difficult to bend down to put plants in the ground. Mr. Chong testified that his wife still enjoyed spending time in the garden, and that typically she would spend 30 to 45 minutes at a time either watering or puttering about in the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road trips since the accident, the plaintiff has experienced pain from prolonged sitting and finds that frequent stops are necessary to enable her to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May 2008, the plaintiff and Mr. Chong travelled to Kingston, Ontario to attend Stephanie's graduation ceremony. The plaintiff experienced some discomfort on the flight to Toronto and the drive to Kingston, but was able to sit through the 2.5 hour graduation ceremony. In 2010, the plaintiff and Mr. Chong went on a cruise from Seattle to Alaska. Again, the plaintiff experienced some pain and discomfort. She chose not to participate in a shore excursion because she did not think she would be able to cope with the motion of car or bus transportation to nearby ice fields. While the plaintiff has continued to travel since the accident, she has done so with some restrictions and diminished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If the plaintiff's account of his or her change in physical, mental, and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cross-examination, Ms. Chong's testimony was repeatedly impeached when prior inconsistent statements from her examination for discovery were put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testified that her husband drove her to her first doctor's appointment following the accident on December 3, 2007. On her examination for discovery of June 16, 2011, when Ms. Chong was asked, at question 153 how she got to her doctor, her evidence was "I believe I drove." When asked if her answer on discovery was true, Ms. Chong responded "I guess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asked in cross-examination whether she learned about posture at physiotherapy, the plaintiff said she did not know how to answer. She was then referred to questions 315 to 318 from her discovery where she said that the physiotherapist talked about posture. When asked in cross-examination whether Matthew Powell had talked to her about posture, the plaintiff responded "possibly". She professed not to remember whether Matthew Powell had spoken to her about posture, but when pressed agreed that he had done so. Ultimately, the plaintiff acknowledged that she had been told repeatedly by her therapists to work on her posture.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cross-examination, the plaintiff denied that she sat through the full two and a half hours of her daughter Stephanie's convocation. She said she got up and left during the ceremony. Ms. Chong was then referred to her examination for discovery where, at questions 428 and 429 she said she sat for two and a half hours and could not get up and move around because of the seating. Ms. Chong did not deny giving that answer but maintained that she did leave the convocation in the middle of the ceremony.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acknowledged that by the time of trial she had received about five years of personal training and that her strength had continued to improve during that training. When defendants' counsel suggested that Ms. Chong had learned a lot from her personal trainers and physiotherapists, she became argumentative and asserted that she had "learned some" from the physiotherapists. On the continuation of the plaintiff's examination for discovery on December 18, 2013, at questions 1254 to 1256, Ms. Chong had agreed that she had learned a lot from the personal trainers and from her physiotherapists about exercise. When cross-examining counsel persisted, Ms. Chong agreed that she had received a lot of guidance from physiotherapists, personal trainers and KARP about exercising, and that Dr. Jenkins had told her she should become independent of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cross-examination, Ms. Chong acknowledged that it was possible that by June 2011 she was having more good days than bad days. On her discovery of June 16, 2011 at questions 408 to 409, the plaintiff agreed that it was fair to say that she then had more good days than bad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Also on that discovery, at questions 325 to 332, the plaintiff was asked about her mobility issues. Ms. Chong gave evidence that she had difficulty turning her neck sometimes; that it sometimes affected her driving; and that sometimes it was difficult for her to do chores at home like gardening and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agreed that while that was her status in June 2011, by the time of trial she was doing more grocery shopping and more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her discovery of June 16, 2011, Ms. Chong, when asked what she could then not do around the house, identified window cleaning, an activity she did once a month. At pages 64-65, questions 493 to 504, she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is it you can't do around the house still?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haven't washed the windows, climbed up a ladder for a while since, well, since before the accident. I haven't been able to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That's not a regular thing that you would do though, is it, washing the windows?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did it once a month.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Leaving aside the once-a-month activity, what is it on a daily basis that you still can't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if there is anything I can't do. I think I limit what I do because I am concerned about causing any other increased tension or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that was my point. Have you talked to somebody about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Uhm, I don't know. I, I don't know if I have talked to my doctor about that yet.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Has anybody told you that you suffered some sort of injury that it will get worse or something if you try to do more activity?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Haven't you been told actually to be as fit as you can and resume as many normal activities as you can?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anybody saying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this is just your concern on your own that, at the three and-a-half year mark, if you do too much, you might, you might cause more problems?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concern.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not something you have discussed with a medical professional?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if 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is that why you limit yourself, because you are concerned that you might, you might hurt more or something?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there is always a concern of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why you limit yourself though? Is that the reason?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is there another reason?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can think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asked if those answers were true, Ms. Chong said they were "true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the continuation of her examination for discovery, Ms. Chong gave the following evidence in answer to questions 1385 through 1391: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do all the basic cleaning except perhaps the vacuuming?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define?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Cleaning counters, washing dishes.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can -- general maintenance, general cleaning, 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can you do dusting, keeping counters clean, those sort of things?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Dusting at my level. If I have to get up high,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if you get up on a ladder?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find it difficult sometimes.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is it fair to say that the main help you need is with heavier such as vacuuming?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windows.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clean toilets and sinks, things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trial, Ms. Chong agreed that before the accident, her husband did some of the vacuuming.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testified she had talked to Dr. Jenkins about returning to work but could not remember when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question 528 of her examination for discovery, Ms. Chong said that she did not think she had ever discussed with any medical people whether she could go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Jenkins noted that after the accident, the plaintiff on many occasions had expressed interest in returning to the work place, although to her knowledge, Ms. Chong did not have a clear vocational aspiration.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trial, the plaintiff gave evidence that in 2012 she had taken a course in cardiopulmonary resuscitation (CPR) for which she received her CPR certificate. Ms. Chong claimed that she had received her certificate without doing everything physically required to complete the course. In cross-examination, she said she had knelt down on the ground and worked on the CPR dummy for maybe a minute or two. On her examination for discovery of December 18, 2013, at questions 1410 to 1411, the plaintiff was unable to recall how she practiced on the dummy. She said it was possible she knelt on the ground, but that she did not recall. In light of Dr. Squire's evidence that a person would not receive the certificate without demonstrating she could successfully perform CPR, I find the plaintiff's evidence that she was awarded her certificate without completing all of the course requirements to be implausible.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questions 629 to 633, the plaintiff acknowledged that there were activities that she could do, including small lifting, small carrying, walking and sitting for periods of time but that she has not tried to put all the things she can do into place in a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disagreed that in her conversations with friends and family she dwells upon her pain. That evidence is inconsistent with the testimony of her collateral witnesses. The plaintiff's friends, Margaret Chow Liu and Alice Chin both said that the plaintiff complained a lot about her pain. Stephanie Chong referred to her mother telling the family the details of her treatments and letting them know when she is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disagreed with Stephanie Chong's evidence that the litigation had been important to her mother and to the family for a long time. That denial is inconsistent with the evidence that Ms. Chong keeps detailed notes of her therapy, has shown her physicians photos of the accident scene, wanted her husband to attend and take notes during her examination by Dr. Hirsch, and was concerned that Dr. Jenkins would not provide a medical legal report that would, from Ms. Chong's perspective, accurately reflect her symptoms and injuries. Ms. Chong also admitted that when the stress of the litigation is over, she expects to move on with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evidence about her plans to return to work and when she would have been able to take on new employment was inconsistent, and at times confused. In cross-examination, Ms. Chong agreed that it would not have been possible for her to work even part-time while Valerie remained in school. However, she went on to say that she must have talked to her husband about working while Valerie was in Grade 8. When defendants' counsel put the proposition to Ms. Chong that she never had that discussion with her husband before the accident, her response was "I don't know." The plaintiff was then asked whether she felt with all of Valerie's activities that she had the ability to work full-time. Ms. Chong answered probably not, but that she was considering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was reminded that in her direct examination she said she did not plan to return to work until early 2012. She was asked if that statement was true or if she planned to work in early 2007. Her answer was "I don't know." Ms. Chong acknowledged that in 2007 her primary role was to care for Valerie. She said she did not want to go back to work full-time but was exploring her options in 2007. The plaintiff said that when she went out looking for jobs in 2007 she was testing the market. Ms. Chong said that in 2007 she put her resume together hastily. She explained the omission of Fabricana from the resume by stating that until recently she had forgotten that she had worked for Fabricana. That explanation is difficult to reconcile with her evidence in direct that before the accident she did not plan to return to work in a position that paid less than her annual salary of $29,000 at Fabricana.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During her direct examination, the plaintiff gave evidence that the Insurance Corporation of British Columbia had paid for her KARP rehabilitation treatment, and that she had suffered physical and psychological injuries during the course of that treatment. Ms. Chong gave extensive evidence about alleged shortcomings in her treatment at KARP and asserted that the KARP trainer had invited her to collaborate with him in providing a fraudulent record of the dates on which he had provided treatments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the application of the defendants, and after hearing submissions from the parties, I discharged the jury and the trial continued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led no evidence to support her allegations of negligent treatment by KARP or misconduct by her trainer. The plaintiff's allegations were contrary to her own evidence that she benefited from the KARP training, and her reports to Dr. Jenkins of improvements realized through the KARP program. I find that Ms. Chong's evidence of mistreatment at the hands of KARP is not credible. I also find the plaintiff gave that evidence in a deliberate but misguided attempt to garner sympathy from the triers of fact based on unfounded allegations of mistreatment by one of her care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found that some of the plaintiff's evidence is not credible. I also find that Ms. Chong is not a reliable witness regarding the progress and extent of her recovery. I say that recognizing that no plaintiff whose symptoms have persisted over a number of years can be expected to recall with complete accuracy the extent of her injuries at particular stages of 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that Ms. Chong had a tendency in her testimony at trial to downplay her progress and to overstate the extent of her restrictions. When she did so, it was not my impression that she sought to deliberately mislead the court. Rather, over the years since the accident, the plaintiff has become focused on her pain, and frustrated by her inability to achieve an entirely symptom-free recovery. As a consequence, Ms. Chong underestimates her ability to perform daily activities and to manage her ongoing symptoms. For example, in the passages from her examination for discovery which I have set out above, the plaintiff was hard-pressed to identify any housekeeping activities, other than window cleaning and vacuuming, for which she required assistance, but said that she had limited her activities out of concern that she might re-injure herself. Where there are discrepancies between the plaintiff's evidence at trial of her symptoms and the progress of her recovery and the plaintiff's contemporaneous reports of her progress as noted in the clinical records of her care providers, I prefer the evidence of her care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Heather Jenkins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Jenkins practises family medicine. The plaintiff has been her patient since 1999. Dr. Jenkins had the benefit of seeing the plaintiff regularly concerning the injuries she suffered from shortly after the accident through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When Ms. Chong first attended Dr. Jenkins' clinic on December 3, 2007, two days after the accident, she reported pain in her lower back, upper back, neck and right shoulder, and difficulty sleeping due to pain. The treating physician, Dr. Duncan, diagnosed musculoskeletal pain relating to the plaintiff's lumbar back, upper thoracic back, neck and shoulders. She classified the plaintiff's soft tissue injuries, which involved pain and tenderness without significant restriction to Ms. Chong's range of motion for the affected areas, as Whiplash Associated Disorder, Grade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Duncan recommended physiotherapy and massage therapy to help resolve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also required prescription medications to assist her in managing her musculoskeletal pain. In her medical/legal report of December 4, 2013, Dr. Jenkins advised that the plaintiff had used medications intermittently over the six years following her accident, including:</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anti-inflammatories: Naproxen, Celebrex;</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analgesic pain medications: Tylenol #3, Tramacet, BuTrans patch, Nabilone;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sleeping medications: Zoplicone;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anti-spasmodic medications: Flexeril, muscle relaxant;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anti-depressant medications: Cymbalta, Zoloft;</w:t>
      </w:r>
    </w:p>
    <w:p>
      <w:pPr>
        <w:numPr>
          <w:numId w:val="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medications: Cymbalta, Lidocaine Infusion.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also participated in a structured rehabilitation program through KARP during April and May 2008. Upon completing the program, the plaintiff reported improved daily functioning and Dr. Jenkins noted objective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Jenkins reported that over the course of many years, she encouraged the plaintiff to taper her regular use of therapists, but recommended that physiotherapy and massage therapy would be beneficial during flare-ups of the plaintiff's musculoskeletal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Jenkins referred the plaintiff to a physiatrist, Dr. Weiss, whose investigations established that the plaintiff had no underlying problems relating to her spine. A bone scan performed in 2008 showed the plaintiff had no active inflammation of the joints of her spine and back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October 2009, Dr. Jenkins altered her diagnosis of the plaintiff's injuries to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Jenkins reported that Ms. Chong began to show signs of clinical depression by May 2009. She counselled the plaintiff on the use of cognitive behavioural techniques to help manage her mood. Although Dr. Jenkins referred the plaintiff to a counsellor at that time, Ms. Chong did not follow up with this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By June 2012, Dr. Jenkins thought that the plaintiff met the criteria for depression. Ms. Chong was treated with the anti-depressant medication Cymbalta from March 2010 to May 2012, with Zoloft from November 2012 to March 2013 and with Cymbalta from March 2013 to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2013, the plaintiff attended at the UBC Sleep Disorder Clinic and was diagnosed with mild to moderate obstructive sleep apnea.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April 2013, Dr. Jenkins referred the plaintiff to the ChangePain Program, where she received treatment from Dr. Brenda Lau, a specialist in the management of chronic pain. Treatment at the ChangePain clinic included dry needling of the plaintiff's axial spine and neck and a Lidocaine infusion. The ChangePain physicians initially recommended that Ms. Chong curtail her activity and fitness programs. In Dr. Jenkins' opinion, the consequences were that Ms. Chong became deconditioned and lost much of the structure of 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her report of December 3, 2013, Dr. Jenkins diagnosed chronic pain involving the plaintiff's lumbar spine, upper thoracic para-vertebral muscles, trapezius muscles and neck muscles, disrupted sleep in the context of moderate, obstructive sleep apnea, and depression in partial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Jenkins offered the following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Chong has had a prolonged experience with her injuries and chronic pain and will likely continue to do so indefinitely. At this point, it is unrealistic to expect that she will have complete resolution of her symptoms. This type of chronic musculoskeletal pain typically waxes and wanes in its clinical course and while it is probable that Ms. Chong will experience improved functioning in the years ahead, this is tempered by the reality of her advancing age and the global, gradual muscle weakening that typically accompanies this. In addition, she will likely have flares of her pain that will cause her temporary setbacks in both her performance and her subjective, quality of life. She may need to use over-the-counter or prescription medications during these flares. Over the years since her MVA, Ms. Chong has purchased a variety of assistive devices, including cushions and pillows to help with her chronic back pain. I expect that she will continue to use these types of support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current time, Ms. Chong is undertaking a new medication therapy, under the supervision of Dr. Lau at the ChangePain Program: lidocaine subcutaneous infusion. This is a novel/therapeutic intervention to her and, based on the one trial that she had done, she felt it was helpful for her global sense of pain relief, improved functioning and sense of restorative sleep. It is expensive (over $200) and Dr. Lau has started the process of moving her over to the Chronic Pain Clinic at St. Paul's Hospital, where Ms. Chong has been told that she may be able to receive this therapy, subsidized. I am unable to provide a medical opinion about the future role of this type of medication for her and whether it will have utility in terms of her functioning. It may, but I will defer this opinion to the chronic pain experts.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medical literature clearly does not support the use of ongoing, regularly scheduled therapy (physiotherapy and massage therapy) for chronic pain to improve prognosis. At the present time, Ms. Chong is doing intermittent physiotherapy with Mark Finch. There is a role for therapy during acute flares and Ms. Chong may wish to use either massage or physiotherapy in the future when her back pain is exacerbated. It is difficult to provide a prognostic opinion about how frequently she may have flares, or similarly, how often she may seek Massage or Physiotherapy.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however, reasonable to assume that this may happen to an extent that it impacts her functioning in a significant capacity, probably once to twice per year. This opinion acknowledges that Ms. Chong has a daily chronic background muscular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was Dr. Jenkins' opinion that the plaintiff would benefit from self-directed exercise. However, Dr. Jenkins thought there was no further role for personal trainers or kinesiologists in managing the plaintiff's chronic pain. Dr. Jenkins noted that at the time of her report, Ms. Chong was receiving advice from physicians specializing in pain management who had recommended that she return to fitness under the supervision of a kinesiologist. While Dr. Jenkins was prepared to accept that recommendation on a short term basis, she noted that Ms. Chong had already received the benefit of years of education and advice from personal trainers about reasonable and safe rehabilitation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Jenkins also opined that the plaintiff's depression was a consequence of her chronic pain and functional limitations arising from the accident. At the time of her report, the plaintiff was receiving individual therapy from Dr. Mark Lau, and was participating in a peer support group that used cognitive behavioural techniques to assist with mood management. In Dr. Jenkins' opinion, the most influential factor affecting the plaintiff's mood was a worsening of her chronic pain. Dr. Jenkins thought it was possible that a future prolonged exacerbation of the plaintiff's pain could aggravate her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respect to sleep disruption, Dr. Jenkins noted that immediately following the accident some of the plaintiff's sleep problems arose from pain due to her injuries. However, the plaintiff's obstructive sleep apnea was not attributable to her injuries. In Dr. Jenkins' opinion, the plaintiff's ongoing sleep difficulties probably had more than one cause. She thought the plaintiff's chronic pain had a significant impact on her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Jenkins thought the plaintiff was capable of taking courses to improve her workforce skills, although she would need to take breaks, change positions and perhaps require more time than a typical student to complete the course requirements. Similarly, with respect to future employment, activities involving repetitive movements of her back and upper arm would be likely to flare her back pain. The plaintiff would need to be able self-pace, take breaks and stretch during the work day. Dr. Jenkins said that if the plaintiff could find a job that permitted her to do so, she would encourage her to take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cross-examination, Dr. Jenkins agreed that by April 2008 Ms. Chong was able to work through the progressive exercise program at KARP with no restrictions and that the KARP rehabilitation program produced significant gains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Jenkins counselled the plaintiff that she was getting stronger and that while her level of functioning would improve, she could not realistically expect to be pain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cross-examination, Dr. Jenkins testified that she thought the concerns Ms. Chong expressed in January and August 2010 about driving her daughter were anxiety-based rather than due to any physical limitations. Dr. Jenkins encouraged the plaintiff to drive. By mid-December 2010, Ms. Chong reported that she was driving more, including with Valerie.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Jenkins confirmed that by the summer of 2010 Ms. Chong had completed a walking clinic and reported that she was walking up to eight kilometers at a time. Dr. Jenkins agreed this was a positive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December 16, 2010, Dr. Jenkins noted that Ms. Chong's mood was upbeat, and that although she continued to complain of musculoskeletal pain, her exercise included Pilates, walking and personal training. Dr. Jenkins testified that this was a very positive visit, that the plaintiff had more mobility, was more active with her friends, and had not complained of depressive issues between August and December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Pamela Squire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Squire, a specialist in the treatment and management of pain performed an independent medical examination of Ms. Chong for plaintiff's counsel on December 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Squire diagnosed fibromyalgia but found that Ms. Chong just met the criteria for that condition. Dr. Squire explained the diagnostic criteria for fibromyalgia. First, the patient must self-report pain and symptom severity at or above prescribed levels on two questionnaires -- the Widespread Pain Index (WPI), and the Symptom Severity (SS) scale. Second, the plaintiff's symptoms must have persisted at a similar level for at least three months. Third, the patient must not have another disorder that would otherwise explain the pain. Ms. Chong's self-reporting on the WPI and SS scales just met the levels required for a diagnosis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Squire also performed a tender point examination. She explained there are 18 tender points, or sites of local tendon and bursa pain, and that a finding of 11 or more tender points is consistent with a diagnosis of fibromyalgia. On her examination, Dr. Squire found six positive tender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Other diagnostic possibilities to explain the plaintiff's neck and back pain, her fatigue and insomnia included chronic myofascial or muscle related soft tissue pain with secondary depression. Dr. Squire noted that despite the plaintiff's efforts to reduce her pain through exercise, medications and intramuscular stimulation she had not realized long-lasting pain relief. The fact that the plaintiff had a good range of motion in her neck indicated to Dr. Squire that Ms. Chong did not have any underlying disorder of the joints or soft tissues of her neck. Dr. Squire thought that the plaintiff's persistent neck pain might be generated from her cervical facet joints. She recommended a trial of medial branch blocks to rule out cervical facet joint generated pain. If the cervical medial branch blocks were positive, then she thought radio frequency neurotomy would be an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If facet joint pain was ruled out, Dr. Squire recommended that Ms. Chong receive a series of trigger point injections. If those injections did not produce sustained improvement in the plaintiff's muscle function, then Dr. Squire recommended a trial of Botulinum toxin ("Botox") injections for relief of the plaintiff's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Squire also diagnosed insomnia caused by the plaintiff's chronic pain. At the time she saw the plaintiff, Dr. Squire also thought that Ms. Chong was suffering from moderate but improving depression. Dr. Squire attributed the plaintiff's fibromyalgia, chronic neck, back and bilateral hip pain, headaches, fatigue, insomnia and cognitive difficulties to the accident of December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Dr. Squire's opinion, Ms. Chong suffers from complex chronic pain and would benefit from an interdisciplinary pain clinic offering medical, physical and psychological support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cross-examination, Dr. Squire was referred to page two, paragraph 21 of her report where she observed that "Ms. Chong does not report early resolution of symptoms." Dr. Squire was then asked why she made no reference to the physiotherapists' records for January 2008, which noted the plaintiff had normal range of motion and was walking for exercise. Dr. Squire acknowledged that she ought to have commented on these positive factors and that it was important to note improvements during a patient's early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Squire also agreed that it would have been helpful for her to know that Ms. Chong had reported improvements while attending the KARP Rehab program in April and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When pressed in cross-examination, Dr. Squire agreed that the plaintiff never told her, and she did not report the positive developments described in Dr. Jenkins' clinical record for July 15, 2008. At that point, approximately eight and a half months after the accident, Dr. Jenkins noted that Ms. Chong continued to be active with walking, gym and driving, although she continued to have pain with prolonged sitting, and ongoing pain and stiffness in her neck and shoulders. Dr. Squire agreed that the plaintiff was doing quite well in the fall of 2008 and made further improvements while receiving IMS therapy in the spring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Squire was unable to explain why she made no reference to Dr. Jenkins' clinical note of December 16, 2010 in her report. Three years after the accident, Dr. Jenkins noted that Ms. Chong's mood was upbeat, she was continuing to increase her walking capacity, was driving her daughter and working on her core exercises, although she continued to report pain as a consequence of her activities. Dr. Squire agreed that by December 2010 the plaintiff was doing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When Dr. Squire examined Ms. Chong in early December 2012, the plaintiff reported that after sitting for more than two hours she became severely limited by pain. This represented an improvement from the initial stages of the plaintiff's treatment, when Ms. Chong was not able to tolerate sitting for more than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Squire agreed that sleep disruption, problems at home, and the plaintiff's menopause were all factors that may affect her mood and may cause or contribute to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Squire agreed that when she examined the plaintiff, Ms. Chong's neck extension was normal and pain free, that the plaintiff reported no pain on either extension or rotation and that Ms. Chong had a normal range of motion in her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Squire acknowledged that there are patients who become dependent on a cycle of treatments and who may go to their therapists for support and validation.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cross-examination, Dr. Squire agreed that the length of recovery for most Grade 1 whiplash cases is three to six months, but testified that 30% of patients do not recover within that time. On re-examination, Dr. Squire stated those patients go on to experience chronic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Dr. Gabriel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Hirsch, an expert in rehabilitation medicine, examined Ms. Chong at the request of the defendants on November 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Hirsch found that the plaintiff's neck and back alignment and mobility was normal, aside from reduced neck side flexion. On his examination of the plaintiff, Dr. Hirsch found no evidence of fibromyalgia and no objective evidence of any neurologic deficit or nerve root irritation. He did find mild tenderness in the plaintiff's neck, shoulder girdle region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Dr. Hirsch's opinion, the plaintiff sustained soft tissue injuries to the muscles, tendons and ligaments of her neck, shoulder girdle and back in the accident. He acknowledged that at the date of his examination it was difficult to quantify the severity of the injuries Ms. Chong suffered in the accident. However, he thought the plaintiff likely had significant symptoms and limitations on her activities for at least four to six months following the accident that were directly attributable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Hirsch referred to the clinical record of Dee Malinski, a registered physiotherapist, for September 5, 2008 which noted that the plaintiff's lumbar spine was no longer a main area of focus, that both subjective and objective findings showed the plaintiff had progressed, and that her sitting tolerance was greater than one hour. At that time, Ms. Chong reported that her pain was intermittent and reduced to mild to moderate from moderate plus.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Hirsch thought that by the summer of 2008 the plaintiff would have been physically capable of furthering her education, and that her neck, shoulder girdle and back symptoms had improved in the summer of 2008 to a degree that rendered her physically capable of working in occupations that involved sedentary, light and light to moderate physical demands. Dr. Hirsch thought that by the summer of 2008 the plaintiff was likely capable of re-entering the workforce as a retail store manager. He also thought that over the year preceding his examination there had been some improvement in the plaintiff's symptoms based on her favourable response to cortisone injections, massage therapy and regular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Hirsch recommended that the plaintiff continue with her exercise program. He did not think additional injections or further investigations were warranted. He believed the plaintiff might benefit from a few sessions with a clinical psychologist to relieve her fear of causing herself harm through her daily activities, and to familiarize her with cognitive behavioural pain management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Hirsch offered a relatively positive prognosis. He thought there would be some further improvement of Ms. Chong's neck, shoulder girdle and back symptoms and that she was likely to make a good or very good recovery. In light of the duration of her symptoms, she might be left with intermittent discomfort or pain but he did not expect those symptoms to restrict her day to day activities to any significant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Hirsch thought that Ms. Chong was physically capable of working full-time in occupations for which she was qualified by her education and work experience. He also thought the plaintiff had the physical ability to perform all of her domestic tasks and yard-related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By his second report of December 9, 2013, Dr. Hirsch commented on Dr. Squire's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Hirsch noted that since his previous report of November 9, 2010, Ms. Chong had attended 18 one-hour sessions of cognitive behavioural therapy. He supported the plaintiff receiving a few additional sessions to reinforce her pain management strategies. Dr. Hirsch also recommended that the plaintiff continue a self-directed exercise program to strengthen her neck, shoulder girdle and back, and improve her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Hirsch disagreed with Dr. Squire's recommendation that the plaintiff receive treatment at a multi-disciplinary pain clinic. In Dr. Hirsch's opinion, Ms. Chong had already received sufficient psychotherapy, and enough physiotherapy and physical training to enable her to continue a self-directed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Hirsch did not recommend medial branch block or Botox injections, prolotherapy, or opioid-based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With respect to Dr. Squire's diagnosis of fibromyalgia, Dr. Hirsch noted that when he examined the plaintiff using a "distraction" method, she did not complain of tenderness at any of the 18 sites associated with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cross-examination, Dr. Hirsch agreed there was no relationship between range of motion and pain and that a patient with full range of motion could still experience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Hirsch also agreed that Ms. Chong's ongoing chronic pain was related to the accident and that her tension headaches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Hirsch disagreed with Dr. Squire's recommendation that Ms. Chong should receive further IMS therapy if her level of functioning deteriorated. Dr. Hirsch recommended that IMS should be stopped altogether on the basis that it is an invasive procedure and had not produced a sustained benefit. Dr. Hirsch thought prolonged treatment that produced no sustained improvement created therapeutic dependency, and that the plaintiff needed to assume more control of her own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 on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assessing the opinions of the medical experts, I give less weight to the evidence of Dr. Squire than to the evidence of Drs. Jenkins and Hirsch. Dr. Jenkins treated the plaintiff for six years following the accident. Doctors Jenkins and Hirsch each impressed me as professionals doing their best to provide objective assistance to the Court. Dr. Squire only saw Ms. Chong on one occasion, five years after the accident. Of more significance, Dr. Squire failed to note the progress made by the plaintiff at various stages of her treatment. In cross-examination, Dr. Squire acknowledged that it was important to take into consideration the plaintiff's progress and that there were instances where she had failed to do so. Notably, Dr. Squire was unable to explain her failure to refer to the plaintiff's significant progress as recorded in Dr. Jenkin's clinical note for December 16, 2010. Further, although requested by plaintiff's counsel to do so in her report, Dr. Squire provided no opinion on the extent, if at all, to which Ms. Chong's domestic activities or earning capacity were impaired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find that the plaintiff suffered mild to moderate soft tissue injuries to the muscles, tendons and ligaments of her neck, shoulder girdle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find that the plaintiff has failed to establish, on the balance of probabilities, that she suffers from fibromyalgia. Dr. Squire, who was the only physician who made a confirmed diagnosis of fibromyalgia, found that Ms. Chong just met the criteria for that diagnosis. Dr. Hirsch found no evidence of fibromyalgia. His testing of all 18 tender points elicited no complaint of pain from the plaintiff. Fibromyalgia is a diagnosis of exclusion. Dr. Squire recognized there were possible alternative diagnoses, including chronic myofascial pain. That diagnosis is consistent with Dr. Jenkins' diagnosis, and with Dr. Hirsch's acknowledgment that the plaintiff's pain from the soft tissue injuries to her back, shoulder girdle and neck has become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accept the evidence of Dr. Hirsch that the plaintiff suffered significant pain and restrictions on her activities for at least 4 to 6 months following the accident. I also find that by the spring of 2008, the plaintiff was making progress in her recovery. Dr. Jenkins noted in April and May 2008 that although the plaintiff found the KARP active rehabilitation program demanding, she was able to complete all the exercises without restriction. I find that the plaintiff continued, with some fluctuation in her symptoms, to make some further improvement through 2009 and 2010, and that by the time of her examination for discovery in June 2011 she had made a substantial, but not complete recovery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find that by June 2011 at the latest, the plaintiff was able to perform almost all of her housekeeping activities and that any limits on those activities were self-imposed by Ms. Chong's fear of re-injury, rather than due to any physical restrictions. Dr. Hirsch's opinion that the plaintiff was physically capable of performing her domestic activities without significant restrictions at the time of his examination in November 2010 is supported by the plaintiff's own evidence on 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Chong's fear of hurting herself while performing daily activities is a manifestation of the anxiety the plaintiff has suffered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accept that the plaintiff's pain is chronic, and find that Ms. Chong continued to suffer intermittent flares of her back, shoulder, neck pain and related headaches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also accept the plaintiff's evidence that since the accident she has suffered from sleep disruption. I accept Dr. Jenkins evidence that following the accident, the plaintiff's chronic pain disrupted her sleep. In 2013, the UBC Sleep Disorder Clinic diagnosed obstructive sleep apnea. That condition is unrelated to the injuries suffered by the plaintiff in the accident. Relying on Dr. Jenkins' opinion that the plaintiff's ongoing sleep disorder probably has more than one source, I find that the plaintiff's chronic pain and obstructive sleep apnea contribute in equal measure to Ms. Chong's continuing complaint of sleep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Regarding prognosis, Dr. Hirsch thought that with the benefit of some additional advice from a clinical psychologist to alleviate her fear of harming herself while performing daily activities, and with continued exercise, the plaintiff would experience some further improvement in her neck, shoulder and back symptoms. He thought the plaintiff would make a good recovery, but expected she might experience intermittent pain and discomfort. In Dr. Jenkins' opinion, the plaintiff is unlikely to experience complete resolution of her symptoms. I accept Dr. Jenkins' opinion that Ms. Chong is likely to experience intermittent flare-ups of her back, neck and shoulder pain, and that those flare-ups may have a significant but temporary impact on the plaintiff's level of functioning once or twice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basic test for determining causation is the "but for" test. The plaintiff bears the burden of establishing that "but for" the negligent act or omission of the defendant, the injury would not have occurred: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As the Court observed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"but for" test must be proved on a balance of probabilities, rather than with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the injury. As long as the defendant is part of the cause of the injury, the defendant is liable, even if his or her act alone was not enough to create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medical evidence supports a finding that the plaintiff suffered mild to moderate soft tissue injuries to her neck, shoulder and back as a result of the accident. Ms. Chong did not suffer from any pre-existing condition that would account for her back, neck and shoulder pain, or her headaches. The plaintiff has met her burden of establishing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would not have sustained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Accepting the evidence of Dr. Jenkins, I find the accident was a cause of the plaintiff's sleep disruption. I have found that Ms. Chong's sleep disruption is attributable 50% to her accident-related chronic pain, and 50% to her unrelated obstructive sleep apnea.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There is no evidence that the plaintiff suffered from significant anxiety before the accident. I find that as a result of the accident, the plaintiff developed apprehension about driving, which she had overcome by December 2010, when Dr. Jenkins reported that she was driving more, and with Valerie. The plaintiff has also developed an excessive fear of re-injuring herself which has led her to self-limit her participation in activities, including housekeeping, which she is physically capable of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Jenkins noted symptoms of depression in May 2009, which she attributed to the accident. Dr. Jenkins did not make a diagnosis of clinical depression until July 2012. By that time, multiple factors unrelated to the accident were contributing to Ms. Chong's mood swings, fatigue and depression. Dr. Squire thought that after Valerie Chong left home to attend university in 2011, the plaintiff's separation from her daughters, or "empty nest syndrome", might be a factor contributing to Ms. Chong's depression. Dr. Jenkins agreed that the plaintiff's peri-menopausal symptoms included mood swings, irritability, and short-term memory loss. Other factors that affected the plaintiff's mood included her obstructive sleep apnea, marital discord, Ms. Chong's strained relationship with Dr. Jenkins, and her belief that some of her friends did not accept that she was injured to the extent she claimed, and had rejected her. The plaintiff's increasing focus on the litigation and the accident also led her to overestimate her restrictions and to underestimate her ability to get on with the daily functions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did not plead a claim for damages for depression, and did not apply to amend her pleadings. During the course of the trial plaintiff's counsel advised that a claim for depression was not being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However, leaving clinical depression aside, I am satisfied that as a result of the persistence of her neck, back and shoulder pain, the plaintiff suffered from anxiety and emotional distress. I find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her anxiety and emotional distress. The plaintiff has had the benefit of extensive counseling for the management of chronic pain. I find that it is probable that as the plaintiff increases her level of activity, and finds that she can cope with discomfort and continue to function, her anxiety and distress, as it relates to the accident, will diminish.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of Appeal identified a non-exhaustive list of the factors to be considered when assessing non-pecuniary damages. They include the age of the plaintiff; the nature of the injury; severity and duration of the pain; disability; emotional suffering; loss or impairment of life; impairment of family, marital and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correct approach to assessing injuries which depend on subjective reports of pain, and which, as here, have persisted beyond the normal period for recovery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(as he then was).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bear that caution in mind in assessing Ms. Chong's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Counsel for the plaintiff referred to </w:t>
      </w:r>
      <w:r>
        <w:rPr>
          <w:rFonts w:ascii="arial" w:eastAsia="arial" w:hAnsi="arial" w:cs="arial"/>
          <w:i/>
          <w:color w:val="000000"/>
          <w:sz w:val="20"/>
          <w:lang w:val="en-US" w:eastAsia="en-US" w:bidi="ar-SA"/>
        </w:rPr>
        <w:t>Unger v. Singh</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(2000), 72 B.C.L.R. (3d) 353</w:t>
        </w:r>
      </w:hyperlink>
      <w:r>
        <w:rPr>
          <w:rFonts w:ascii="arial" w:eastAsia="arial" w:hAnsi="arial" w:cs="arial"/>
          <w:color w:val="000000"/>
          <w:sz w:val="20"/>
          <w:lang w:val="en-US" w:eastAsia="en-US" w:bidi="ar-SA"/>
        </w:rPr>
        <w:t xml:space="preserve">, where the Court of Appeal, in reviewing a jury award of non-pecuniary damages of $187,000, considered the range of damages in cases involving primarily soft tissue injuries with some emotional problems including sleep disruption, nervousness or depression. The Court held that the range was then from $35,000-$125,000, but emphasized that those numbers were only guides. In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the Court held that the appropriate award for the plaintiff who had suffered injuries in two accidents to her neck, shoulder, lower back and left arm, as well as psychological problems that had largely resolved by the date of trial, was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plaintiff submits that the appropriate award of damages for pain and suffering and loss of enjoyment of life is in the range of $110,000 to $120,000. In support of that submission, the plaintiff relies upon the following authorities: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2005 BCSC 1306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Gosselin v. Neal</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2010 BCSC 456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Gosal v. Singh</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2009 BCSC 1471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Those cases involved more serious injuries than Ms. Chong sustained in this case. For example,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the court awarded non-pecuniary damages of $120,000 to a 57-year-old plaintiff who suffered soft tissue injuries to her neck, shoulders, back, hip, upper arms and legs, and post-traumatic stress disorder and depression in two motor vehicle accidents. The plaintiff's psychological injuries disabled her from returning to the workforce. Here, there is no evidence that Ms. Chong suffered any psychological injury as a result of the accident that would prevent her from returning 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the plaintiff, a 47-year-old mother of two school-aged children, was awarded general damages of $130,000. In addition to soft tissue injuries to her neck, shoulders, back, upper arms and legs, the plaintiff's injuries included post-traumatic stress disorder, severe depression, cognitive impairment and heart palpitations. Her long-term prognosis for significant depression was poor. The plaintiff was fully disabled from any work other than employment one hour a day as a school lunch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Jackson</w:t>
      </w:r>
      <w:r>
        <w:rPr>
          <w:rFonts w:ascii="arial" w:eastAsia="arial" w:hAnsi="arial" w:cs="arial"/>
          <w:color w:val="000000"/>
          <w:sz w:val="20"/>
          <w:lang w:val="en-US" w:eastAsia="en-US" w:bidi="ar-SA"/>
        </w:rPr>
        <w:t xml:space="preserve">, the court assessed general damages of $100,000 for a 42-year-old female plaintiff who suffered soft tissue injuries to her neck, back, and right arm and shoulder, post-traumatic stress disorder and depression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was expected to be able to return to her former employment within five years after trial, with some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For their part, the defendants submit that the appropriate quantum of non-pecuniary damages for Ms. Chong is in the range of $25,000 to $45,000. In support of their position, the defendants rely upon </w:t>
      </w:r>
      <w:r>
        <w:rPr>
          <w:rFonts w:ascii="arial" w:eastAsia="arial" w:hAnsi="arial" w:cs="arial"/>
          <w:i/>
          <w:color w:val="000000"/>
          <w:sz w:val="20"/>
          <w:lang w:val="en-US" w:eastAsia="en-US" w:bidi="ar-SA"/>
        </w:rPr>
        <w:t>Harshenin v. MacLeod</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2013 BCSC 2219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Thibeault v. MacGregor</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2013 BCSC 808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Hatch v. Kumar</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2013 BCSC 2049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Many of the cases cited by the defendants involved plaintiffs who, like Ms. Chong, were not entirely credible or reliable witnesses, and whose subjective complaints of pain persisted well beyond the expected time of recovery. For example, in </w:t>
      </w:r>
      <w:r>
        <w:rPr>
          <w:rFonts w:ascii="arial" w:eastAsia="arial" w:hAnsi="arial" w:cs="arial"/>
          <w:i/>
          <w:color w:val="000000"/>
          <w:sz w:val="20"/>
          <w:lang w:val="en-US" w:eastAsia="en-US" w:bidi="ar-SA"/>
        </w:rPr>
        <w:t>Harshenin</w:t>
      </w:r>
      <w:r>
        <w:rPr>
          <w:rFonts w:ascii="arial" w:eastAsia="arial" w:hAnsi="arial" w:cs="arial"/>
          <w:color w:val="000000"/>
          <w:sz w:val="20"/>
          <w:lang w:val="en-US" w:eastAsia="en-US" w:bidi="ar-SA"/>
        </w:rPr>
        <w:t>, the 60-year-old plaintiff claimed to suffer pain in his neck, shoulders and back three and a half years after his accident. The Court had serious reservations about the plaintiff's credibility and reliability, and did not accept the opinions of the plaintiff's medical experts that he suffered from chronic pain because those reports were based on his subjective and unreliable reporting. Rather, the Court accepted the opinion of the defence expert that there were no objective findings to explain the plaintiff's ongoing complaints. The Court found the plaintiff had suffered a mild neck injury which should have resolved within two months of the accident, and awarded non-pecuniary damages of $25,000. That plaintiff's injuries were less severe than those of Ms. Chong.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Thibeault</w:t>
      </w:r>
      <w:r>
        <w:rPr>
          <w:rFonts w:ascii="arial" w:eastAsia="arial" w:hAnsi="arial" w:cs="arial"/>
          <w:color w:val="000000"/>
          <w:sz w:val="20"/>
          <w:lang w:val="en-US" w:eastAsia="en-US" w:bidi="ar-SA"/>
        </w:rPr>
        <w:t>, the Court found that the plaintiff's claim that an accident which occurred three years before trial has left her with continuous and unrelenting pain was exaggerated and was based entirely upon her unreliable self-reporting. Based on a finding that the plaintiff had suffered a moderate whiplash injury to her neck and shoulder, and an exacerbation of a pre-existing injury to her mid-and lower back, the Court assessed non-pecuniary damages of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Hatch</w:t>
      </w:r>
      <w:r>
        <w:rPr>
          <w:rFonts w:ascii="arial" w:eastAsia="arial" w:hAnsi="arial" w:cs="arial"/>
          <w:color w:val="000000"/>
          <w:sz w:val="20"/>
          <w:lang w:val="en-US" w:eastAsia="en-US" w:bidi="ar-SA"/>
        </w:rPr>
        <w:t xml:space="preserve">, the 49-year-old plaintiff was initially diagnosed with a neck and mid back strain following her accident. She received physiotherapy and message therapy, participated in a graduated return to work program, and returned to her full-time employment seven months after the accident. More than a year after the accident she continued to complain of pain in her back. She received injections that alleviated but did not resolve her persistent pain. The Court found that by the time of trial, three years after the accident, the plaintiff's condition had plateaued. The Court accepted the plaintiff's evidence of her continuing symptoms, and the advice of her experts that full recovery was uncertain, and that after the passage of three years it was less likely that she would make a full recovery. In assessing general damages of $50,000, the Court took into account the plaintiff's former very physically active lifestyle. As the defendants submit, that is a distinguishing feature. However, the plaintiff in </w:t>
      </w:r>
      <w:r>
        <w:rPr>
          <w:rFonts w:ascii="arial" w:eastAsia="arial" w:hAnsi="arial" w:cs="arial"/>
          <w:i/>
          <w:color w:val="000000"/>
          <w:sz w:val="20"/>
          <w:lang w:val="en-US" w:eastAsia="en-US" w:bidi="ar-SA"/>
        </w:rPr>
        <w:t>Hatch</w:t>
      </w:r>
      <w:r>
        <w:rPr>
          <w:rFonts w:ascii="arial" w:eastAsia="arial" w:hAnsi="arial" w:cs="arial"/>
          <w:color w:val="000000"/>
          <w:sz w:val="20"/>
          <w:lang w:val="en-US" w:eastAsia="en-US" w:bidi="ar-SA"/>
        </w:rPr>
        <w:t xml:space="preserve"> does not appear to have suffered the anxiety and emotional distress I have found Ms. Chong experienced as a result of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must make an award of non-pecuniary damages tailored to Ms. Chong's particular injuries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Here, I have found significant inconsistencies between the plaintiff's testimony at trial and her evidence on discovery, and discrepancies between her evidence at trial and the progress she reported to her care providers. I also bear in mind that Ms. Chong's subjective complaints of pain have persisted well beyond her expected recovery time. I have also found that over the course of the litigation the plaintiff has become increasingly focused on her injuries and that this has led her to exaggerate her limitations and to underestimate her capacity to cope with her residual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Approaching her evidence with caution, and taking into consideration all of these factors, I have also found that the plaintiff did develop persistent or chronic neck, back and shoulder pain (although not as severe or limiting as she alleges), and that her ongoing sleep disruption is 50% attributable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addition, I have found that the plaintiff experienced significant pain and limitations on her activities for at least four to six months following the accident. She continued to experience some pain thereafter and had made a substantial recovery by June 2011, some three and a half years after the accident. While the plaintiff made further progress to the time of trial, I have accepted the evidence of Dr. Jenkins that Ms. Chong has experienced flares of her pain, and that she will likely continue to do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has suffered anxiety and some emotional distress attributable to the accident. Her persistent pain and discomfort has diminished her social life, has affected her relations with her daughters and has diminished her intimate relations with her husband. I also find the plaintiff has suffered some loss of enjoyment of the pleasure she took in her home and garden, particularly during the six months following the accident during which her injuries restricted her ability to perform domestic activities. I have found that by mid-June 2011 at the latest, the plaintiff was capable of performing almost all housekeeping activities, and that any limitations thereafter were self-imposed, rather than warranted by any physical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Taking all the evidence into account, I find that an award of non-pecuniary damages to Ms. Chong in the amount of $70,000 is fair and reasonable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On a claim for past loss of earning capacity, the plaintiff must first establish on a balance of probabilities that the injuries she sustained caused an impairment of her earning capacity. Then, in determining what might have happened in the past to enable the plaintiff to earn income, but for the accident, the court must decide if the event was a real and substantial possibility, and then determine the likelihood of it occurring: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28, 29,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On the balance of probabilities, the plaintiff has not established that her injuries impaired her earning capacity to the time of trial. In cross examination, Ms. Chong acknowledged that she did not plan to return to the workforce until after Valerie left home for university in 2011. Mr. Chong testified that in light of Valerie's busy schedule it would have been unrealistic for his wife to have returned to work before Valerie completed high school. I find that the plaintiff had no intention of returning to work before Valerie left home, and no definite plan about the career opportunities she would pursue, or whether she would work full-time or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plaintiff's evidence that when she tested the waters in 2007 she received an offer of employment from Winners that she did not accept because the annual salary was less than $29,000 is inadmissible hearsay and is not supported by any documentary evidence, or any evidence from her prospective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Chong recognized that in light of her lengthy absence from the workforce, she would likely require some retraining before she secured employment. The plaintiff testified that she enrolled in one course at Langara College in each of 2011 and 2012, but in both instances had to withdraw due to her difficulties with pain and endurance. Based on the plaintiff's self-report, Dr. Jenkins thought that if Ms. Chong chose to take further courses to improve her workforce skills she would likely have similar difficulties with pain and would need to take breaks, change positions and might require more time than a typical student to complete the course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Based on objective findings on his examination of the plaintiff, Dr. Hirsch, an expert in rehabilitation medicine, concluded that the plaintiff was physically capable of working full-time in occupations for which she was qualified by her education, work experience and transferable skills. Dr. Hirsch thought that the plaintiff was capable of meeting the sedentary, light, and light to moderate physical demands of a retail manager's position, or similar occupation. Taking into account the plaintiff's tendency to overstate her limitations, Dr. Hirsch's specialty, and his objective findings, I prefer his evidence on the plaintiff's capacity to return to the workforce, and to engage in retraining. Further, by June 2011, the plaintiff's injuries had substantially resolved. The plaintiff was capable of prolonged sitting for between one and two hours, and was cleaning her home. By the time Valerie left home in the fall of 2011, the plaintiff was exercising at home and with a personal trainer, was walking for an hour and a half or more, and doing yoga. She was engaged in a broader range of physical activities that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has not adduced expert evidence of a work capacity evaluation to demonstrate that her injuries restricted her capacity to earn income at or after the time she says she would have returned 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plaintiff's claim for damages for past loss of earning capacity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standard of proof for the evaluation of hypothetical events that may affect an award of damages for future loss of earning capacity is simple probability, rather than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the Court of Appeal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paras. 10 and 11, the Court of Appeal described the task of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(Q.L.) at para. 121, aff'd </w:t>
      </w:r>
      <w:hyperlink r:id="rId757"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(Q.L.).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whether the plaintiff has been rendered less capable overall from earning income from all types of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whether the plaintiff is less marketable or attractive as an employee to potential employers;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whether the plaintiff has lost the ability to take advantage of all job opportunities which might otherwise have been open to him, had he not been injured;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after reviewing the authorities, identified the basic principles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As Garson J.A. emphasized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plaintiff must always prove there is a real and substantial possibility of a future event leading to an income loss. If the plaintiff meets that burden, then the plaintiff may prove the quantification of the loss of earning capacity on either an earnings approach or a capital asset approach. Where the loss is not readily measurable, the capital asset approach will be more useful than the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Where the assessment is based on the capital asset approach, the court must consider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make findings of fact concerning the nature and extent of the plaintiff's loss of capacity and how that loss may impact the plaintiff's ability to earn income: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 must first determine whether the plaintiff has established a real and substantial possibility of a future event leading to an income loss. If so, I must assess, rather than calculate damages according to the likelihood of the event occurring. The award must be adjusted for both positive and negative contingencies, and the court must consider the overall fairness and reasonableness of the award: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evidence falls short of establishing a real and substantial possibility of a future event leading to income loss. The plaintiff's past work history and wages are factors I must take into account in assessing loss of earning capacity: </w:t>
      </w:r>
      <w:r>
        <w:rPr>
          <w:rFonts w:ascii="arial" w:eastAsia="arial" w:hAnsi="arial" w:cs="arial"/>
          <w:i/>
          <w:color w:val="000000"/>
          <w:sz w:val="20"/>
          <w:lang w:val="en-US" w:eastAsia="en-US" w:bidi="ar-SA"/>
        </w:rPr>
        <w:t>Vaillancourt v. Molnar Estate</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2002 BCCA 685</w:t>
        </w:r>
      </w:hyperlink>
      <w:r>
        <w:rPr>
          <w:rFonts w:ascii="arial" w:eastAsia="arial" w:hAnsi="arial" w:cs="arial"/>
          <w:color w:val="000000"/>
          <w:sz w:val="20"/>
          <w:lang w:val="en-US" w:eastAsia="en-US" w:bidi="ar-SA"/>
        </w:rPr>
        <w:t xml:space="preserve"> at para. 72. The plaintiff's past employment was in the field of retail sales and sales management. Aside from Ms. Chong's evidence that she earned $29,000 in her last position with Fabricana, there is no evidence of the plaintiff's prior employment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By the time of trial, Ms. Chong was physically capable of returning to work in a retail position. In making that finding, I have accepted Dr. Hirsch's opinion that the plaintiff is capable of returning to work in the kinds of positions she formerly occupied. I also accept that the plaintiff's ongoing symptoms may cause her discomfort, and that she will require breaks and the ability to stretch or change position. Her pain will likely occasionally flare, and she will need to self-pace. However there is no evidence that prospective employers are unlikely to accommodate her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evidence is insufficient to establish a substantial possibility that the plaintiff will suffer a loss of earning capacity due to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has not shown that her injuries have rendered her less capable overall of earning income from all types of employment or have made her less marketable as an employee to prospective employers. Nor has she established that she is no longer able to take advantage of job opportunities that might have been open to her but for the accident. While the plaintiff may perceive herself as less valuable to prospective employers, as she puts into practice the counselling she has received in managing pain and coping with discomfort, she will likely demonstrate to herself that the residual effects of her injuries have rendered her no less valuable as a person capable of earning income now than she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award no damages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Past and Future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the Court recognized that spousal services for the performance of household tasks can have an economic value for which damages may be awarded. However, the Court, at para. 30, emphasized a cautious approach to awarding such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the Court held that an award of damages for loss of homemaking capacity is distinct from possible future cost of care claims. As the Court explained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that the trial judge miscategorised the homemaking award under the head of future cost of care damages.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59 --68, this Court clarified that homemaking costs, properly considered, are awarded for loss of capacity and are distinct from possible future cost of care claims. An award ordered for homemaking is for the value of the work that would have been done by the plaintiff but which he or she is incapable of performing because of the injuries at issue. The plaintiff has lost an asset: his or her ability to perform household tasks that would have been of value to him or herself as well as others in the family unit but for the accident. This is different from future care costs where what is being compensated is the value of services that are reasonably expected to be rendered </w:t>
      </w:r>
      <w:r>
        <w:rPr>
          <w:rFonts w:ascii="arial" w:eastAsia="arial" w:hAnsi="arial" w:cs="arial"/>
          <w:color w:val="000000"/>
          <w:sz w:val="20"/>
          <w:u w:val="single"/>
          <w:lang w:val="en-US" w:eastAsia="en-US" w:bidi="ar-SA"/>
        </w:rPr>
        <w:t>to</w:t>
      </w:r>
      <w:r>
        <w:rPr>
          <w:rFonts w:ascii="arial" w:eastAsia="arial" w:hAnsi="arial" w:cs="arial"/>
          <w:color w:val="000000"/>
          <w:sz w:val="20"/>
          <w:lang w:val="en-US" w:eastAsia="en-US" w:bidi="ar-SA"/>
        </w:rPr>
        <w:t xml:space="preserve"> the plaintiff rather than </w:t>
      </w:r>
      <w:r>
        <w:rPr>
          <w:rFonts w:ascii="arial" w:eastAsia="arial" w:hAnsi="arial" w:cs="arial"/>
          <w:color w:val="000000"/>
          <w:sz w:val="20"/>
          <w:u w:val="single"/>
          <w:lang w:val="en-US" w:eastAsia="en-US" w:bidi="ar-SA"/>
        </w:rPr>
        <w:t>by</w:t>
      </w:r>
      <w:r>
        <w:rPr>
          <w:rFonts w:ascii="arial" w:eastAsia="arial" w:hAnsi="arial" w:cs="arial"/>
          <w:color w:val="000000"/>
          <w:sz w:val="20"/>
          <w:lang w:val="en-US" w:eastAsia="en-US" w:bidi="ar-SA"/>
        </w:rPr>
        <w:t xml:space="preserve">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As counsel for Ms. Chong submitted in his closing argument, damages for the difficulty the plaintiff has or will have in performing her usual household tasks with less efficiency and comfort than she did before the accident, or where the tasks have never been and will never be done, or for the loss of the amenity of an orderly home may be assessed as non-pecuniary damages for loss of amenity: </w:t>
      </w:r>
      <w:r>
        <w:rPr>
          <w:rFonts w:ascii="arial" w:eastAsia="arial" w:hAnsi="arial" w:cs="arial"/>
          <w:i/>
          <w:color w:val="000000"/>
          <w:sz w:val="20"/>
          <w:lang w:val="en-US" w:eastAsia="en-US" w:bidi="ar-SA"/>
        </w:rPr>
        <w:t>Frobel v. Dean</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[1991] S.J. No. 374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(2000), 74 B.C.L.R. (3d) 281</w:t>
        </w:r>
      </w:hyperlink>
      <w:r>
        <w:rPr>
          <w:rFonts w:ascii="arial" w:eastAsia="arial" w:hAnsi="arial" w:cs="arial"/>
          <w:color w:val="000000"/>
          <w:sz w:val="20"/>
          <w:lang w:val="en-US" w:eastAsia="en-US" w:bidi="ar-SA"/>
        </w:rPr>
        <w:t xml:space="preserve"> (C.A.), </w:t>
      </w:r>
      <w:hyperlink r:id="rId767"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 69. And see also </w:t>
      </w:r>
      <w:r>
        <w:rPr>
          <w:rFonts w:ascii="arial" w:eastAsia="arial" w:hAnsi="arial" w:cs="arial"/>
          <w:i/>
          <w:color w:val="000000"/>
          <w:sz w:val="20"/>
          <w:lang w:val="en-US" w:eastAsia="en-US" w:bidi="ar-SA"/>
        </w:rPr>
        <w:t>Eaton v. Regan</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have already taken into account the plaintiff's discomfort and the restrictions she experienced in performing household tasks, particularly during the first six months following the accident, as well as the plaintiff's loss of amenity of an orderly house in the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have found that by June 2011 at the latest, Ms. Chong was capable of performing almost all of her pre-accident homemaking activities. Before the accident, Mr. Chong provided the plaintiff with some assistance with heavier tasks, including vacuuming. I find that to the extent that Mr. Chong has assisted the plaintiff with housekeeping activities since the accident, or may do in the future, his assistance falls within the normal give and take of this family's shared housekeeping responsibilities. The plaintiff has not established a claim for past or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[2000] B.C.J. No. 408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[2002] B.C.J. No 1718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The test for determining the appropriate award for cost of future care is an objective one based on medical evidence. The claims founding an award for cost of future care must be both medically justified and reasonable. The award of damages must be moderate and fair to both parties: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at p.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Future care costs must be justified both because they are medically necessary and they are likely to be incurred by the plaintiff. The award of damages is thus a matter of prediction as to what will happen in future.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Negative contingencies may be offset by positive contingencies.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At trial, the plaintiff claimed costs of future care totalling $47,838.55. Those costs consist of the following items and amounts: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gardening services in the amount of $497.69 yearly to age 70 at a present value of $6,191.76;</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gym membership of $672 yearly to age 65 at a present value of $6,470.69;</w:t>
      </w:r>
    </w:p>
    <w:p>
      <w:pPr>
        <w:numPr>
          <w:numId w:val="1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yoga twice weekly to age 70 at a present value of $13,685.10;</w:t>
      </w:r>
    </w:p>
    <w:p>
      <w:pPr>
        <w:numPr>
          <w:numId w:val="15"/>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24 additional sessions of psychological treatment by Dr. Mark Lau at a cost of $4,200;</w:t>
      </w:r>
    </w:p>
    <w:p>
      <w:pPr>
        <w:numPr>
          <w:numId w:val="1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 in the amount of $1,000 per year to age 70 at a present value of $12,441;</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six months additional treatments at ChangePain at a cost of $3,000;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 sessions of physiotherapy at Copeman Health at a cost of $185 per session, for a total $1,850.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will deal first with the claim for further physiotherapy. Drs. Jenkins and Hirsch were both opposed to the prolonged use of physiotherapy or massage therapy to treat chronic pain. They thought it offered no clinical benefit and would prolong the plaintiff's dependency on her therapists rather than encourage her to take control of her own care. Dr. Jenkins did acknowledge that the plaintiff might wish to use either massage or physiotherapy intermittently, when her back pain was exacerbated.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her report of December 4, 2013, Dr. Jenkins referred to the ChangePain clinic recommending that the plaintiff reactivate her exercise program with specialized assistance from a private trainer with Copeman Health. By that time, both Drs. Jenkins and Hirsch thought that Ms. Chong had received all the personal training she required from physiotherapists or personal trainers. I share that view. The plaintiff has not shown that the cost, at $185 per session, of the proposed physiotherapy is reasonable or medically justified. However, I do accept that the plaintiff might intermittently use and benefit from physiotherapy or massage therapy when her chronic pain flares. In 2013, the plaintiff paid $80 per hour for the services of West 4th Avenue Physiotherapy clinic. She received most of her massage therapy at a cost of $90 to $100 per hour. I find that a reasonable allowance for the future cost of physiotherapy or massage therapy is 10 sessions at $90 per session for a total of $900.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With respect to the proposed costs of future care by ChangePain, they include two Lidocaine infusions at a cost of approximately $600 each, and 18 acupuncture treatments over six months at a cost of $100 per treatment. Ms. Chong reported significant improvements from the first Lidocaine infusion she received in the fall of 2013. Dr. Jenkins described the treatment as "novel" but deferred to the chronic pain experts on its utility. Dr. Squire, supports this therapy. Dr. Hirsch does not endorse it. Bearing in mind the degree of relief the plaintiff reported from this treatment, I accept that Ms. Chong will use this therapy and find that she will likely benefit from it. However, I am not satisfied that Ms. Chong requires the proposed 18 sessions of acupuncture. She may benefit from some further acupuncture therapy during flares of her back and neck pain. Taking all of these factors into account, I find that $1,500 is a reasonable allowance for the cost of future care through ChangePain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All of the medical experts thought the plaintiff would benefit from psychological counselling to assist her in managing her pain and coping with her day to day activities. Dr. Lau advised that after 25 sessions the plaintiff's mood was no better, and perhaps worse, then when he commenced the therapy. However, the plaintiff testified that she had derived some benefit from the CBT therapy. Although Dr. Hirsch believed that by the time of trial the plaintiff should have acquired adequate knowledge to implement cognitive behavioural pain management strategies, he was not adverse to Ms. Chong having a few additional treatment sessions to reinforce these strategies. I am satisfied that some further psychological counselling is medically justified and find that a reasonable allowance for this item is $1,750, for 10 sessions with Dr.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With respect to gardening, none of the plaintiff's physicians have recommended this service. I have found that by mid June 2011, the plaintiff was physically capable of performing almost all of her domestic activities. I also find that by the time of trial the plaintiff was capable of performing her pre-accident gardening activities. Before the accident, Mr. Chong looked after some of the heavier tasks, such as mowing the lawn and digging. I find this item is neither reasonable nor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Drs. Jenkins and Hirsch agree that the plaintiff should continue to engage in a self-directed exercise program several times a week. The doctors agree that exercise will provide a long term benefit for the management of chronic pain. The plaintiff has followed the medical experts' recommendations, and has made use of the YMCA membership she acquired after the accident. I find that the cost of $6,470.69 for the YMCA membership to age 65 is reasonable and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 has claimed for yoga to age 70. Yoga is one of the activities that Dr. Jenkins recommended for the plaintiff's exercise regime. Taking into account the possibility that the plaintiff may not continue yoga to age 70 or attend classes at a frequency that would justify the cost of annual membership at a yoga facility, I would allow $7,000 for this item, or roughly half the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With respect to medication, at the time of Dr. Jenkins' report, the plaintiff had discontinued the use of anti-depressant medication. However, Dr. Jenkins thought that the plaintiff's pain would flare from time to time and that it was possible that a prolonged exacerbation of her pain could aggravate the plaintiff's depressive symptoms. There is also a real possibility that the plaintiff's condition will continue to improve, and that her need for medication will decrease. Further, Ms. Chong's costs of medication include the cost of medicine for her sleep disruption, which is only attributable in part to the injuries caused by the defendants. Taking all of these factors into account, I conclude that some provision for future cost of medication is medically justified, and award $3,000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An injured person is entitled to recover reasonable out-of-pocket expenses incurred as a result of an accident, in order to restore the claimant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at p.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claims special damages of $48,666.76. The defendants do not dispute that Ms. Chong incurred the expenses she claims, but submit the plaintiff had recovered from the effects of the accident by late 2010, and is entitled to no special damages beyond 2010. The defendants also contend that the plaintiff is only entitled to a portion of her special damages to 2010, because she failed to heed medical advice to reduce her therapies. According to the defendants, a reasonable allowance for special damages would be $11,500.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plaintiff has claimed $9,700 for physiotherapy sessions at West 4th Physiotherapy clinic from December 6, 2007 to May 15, 2013. Those sessions extended well beyond the time that Dr. Jenkins and Dr. Hirsch thought ongoing physiotherapy was medically justified, and well beyond June 2011, by which time the plaintiff had substantially recovered from her injuries. In my view, half the amount claimed, or $4,850, is a reasonable allowance for the West 4th Physiotherapy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Similarly, Ms. Chong has claimed $5,910 for 63 massage therapy sessions with Mr. Peters between September 16, 2009 and September 22, 2012. Again, taking into account the recommendations of Drs. Jenkins and Weiss that the plaintiff taper this therapy, I find that a reasonable allowance for massage therapy is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Chong has claimed an additional $1,885 for massage therapy provided by Mr. Mark Finch in 2013, well beyond the date of the plaintiff's substantial recovery, and after Drs. Jenkins and Hirsch had both concluded that ongoing massage and physiotherapy was no longer beneficial. The plaintiff has not shown this expense was reasonably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For the same reason, I would disallow the claim for seven sessions of physiotherapy for specialized exercise guidance at Copeland Healthcare Center in 2013 at a cost of $1,295.00.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 has claimed a total of $8,250.30 for YMCA membership and personal training to the date of trial. Dr. Hirsch thought the plaintiff would benefit from further personal training for three to six months beyond November 9, 2010, the date of his report, to ensure that Ms. Chong was exercising with the proper technique. Allowing the amounts claimed for the YMCA membership of approximately $670 each year, and extending the cut-off point for personal training to June 2011, I would reduce the amount claimed by $3,600 to eliminate personal training that is not medically justified. By June 2011, the plaintiff had the benefit of almost two and a half years of personal training sessions at the YMCA. She ought to have been capable of managing her own self-directed exercise program by mid-2011. Expenses subsequently incurred for a personal trainer were unreasonable and ought not to be borne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amounts claimed for therapies provided by ChangePain for lidocaine injections and acupuncture were incurred for therapies that provided some benefit to Ms. Chong. They were administered by Dr. Brenda Lau, a physician to whom the plaintiff was referred by Dr. Jenkins. I find the amount claimed for these therapies was reasonably incurred in the course of the plaintiff's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Ms. Chong has incurred expenses totalling $4,375 for 32 psychology sessions provided by Dr. Mark Lau at a cost of $175 per session. The plaintiff was referred to Dr. Lau by Dr. Jenkins. Twenty five of the sessions were for cognitive behavioural therapy. All of the medical experts agree that cognitive behavioural therapy will assist the plaintiff in coping with pain and discomfort. Although at the time of trial the plaintiff had only derived a limited benefit from her psychological treatments, Dr. Jenkins supported this therapy, as did Dr.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Dr. Lau acknowledged in cross-examination that some of his time was devoted to the plaintiff's complaint that Dr. Jenkins was not supporting her, and to her focus on the litigation, which increased as the trial date approached. The defendants say they should not have to pay for psychological services unrelated to the accident. In re-examination, Dr. Lau explained that it was important to listen to the plaintiff's concerns in order to develop a therapeutic relationship. Dr. Lau counselled the plaintiff for both chronic pain and her depressive symptoms, which had multiple sources, some unrelated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the circumstances, I find that it is fair and reasonable to make some deduction from the amount claimed for psychological services. Without detailed information concerning the allocation of Dr. Lau's time, my assessment is, of necessity, somewhat arbitrary. I would reduce the amount claimed for psychological services by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plaintiff has claimed $6,757.62 for medications. The medications consist of prescription pain, anti-depressant and sleep medicines recommended by the plaintiff's physicians, as well as some over the counter pain and sleep medications. I have found that the plaintiff's sleep disorder is only 50% attributable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have also found that there are numerous factors in addition to the accident, which have contributed to the plaintiff's anxiety and mood disorders. Accordingly, I assess the plaintiff's reasonable expenses for medications incurred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$3,400, or roughly half the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Ms. Chong has claimed $499.54 for gardening in September 2008, $615 for gardening in June 2009, $1,150 for gardening services between December 14, 2010 and August 31, 2011, $74 for gardening services on July 23, 2012 and $747.60 for landscaping services in December 2013. The plaintiff acknowledged that Mr. Chong did the mowing, digging, and heavier work in the garden before the accident and that she and her husband had only engaged gardening services occasionally, when Mr. Chong was too busy to do the gardening. I agree with the submission of the defendants that they are not responsible for the cost of services Mr. Chong provided before the accident. The plaintiff's claim for the cost of gardening services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plaintiff's claims for the cost of yoga, an activity recommended by Dr. Jenkins,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light of the recommendations of Drs. Jenkins, Weiss and Hirsch that the plaintiff pursue self-directed exercise, I find that it was not unreasonable for her to acquire the home exercise equipment and supplies she has claimed in her schedule of special damages. Those expenses and the amounts claimed for devices such as the travel pillow, car seat cushions and heating pad are reasonable and justified to assist the plaintiff in coping with discomfort caused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Finally, I would reduce the amount claimed for parking at the YMCA by half, or $132, to reflect the fact that some of the parking expense was incurred for personal training costs which I have found to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have reduced the amounts claimed for special damages by a total of $22,615.22. Accordingly, I assess the plaintiff's special damages in the amount of $26,051.54.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summary, damages are awarded as follows:</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$70,000.00</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$0</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$0</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$20,620.69</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homemaking capacity $0</w:t>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$26,051.54</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$116,672.23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Unless there are matters that counsel wish to bring to the attention of the Court, the plaintiff will have her costs at Scale B, and her reasonable disbursements. If submissions on costs are necessary, counsel are at liberty to schedule a hearing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9" style="position:absolute;z-index:2518077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Derksen v. Nicholson, [2015] B.C.J. No. 1567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29-30, July 2 and 6-9,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M125464, M136954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1567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1268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Derksen, Plaintiff, and Stacey Leanne Nicholson, Defendant, and Insurance Corporation of British Columbia, Third Party And between David Derksen, Plaintiff, and Zakir A. Kassam and Al Karim Kassam,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jc w:val="both"/>
        <w:rPr>
          <w:rFonts w:ascii="arial" w:eastAsia="arial" w:hAnsi="arial" w:cs="arial"/>
          <w:sz w:val="20"/>
          <w:lang w:val="en-US" w:eastAsia="en-US" w:bidi="ar-SA"/>
        </w:rPr>
      </w:pPr>
      <w:bookmarkStart w:id="367" w:name="Counsel_46"/>
      <w:bookmarkEnd w:id="3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Jeff M. Naylor.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Kassam and the Third Party: Jennie Milligan.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the Defendant Nicholson: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8" w:name="Judgment_46"/>
      <w:bookmarkEnd w:id="368"/>
      <w:r>
        <w:pict>
          <v:line id="_x0000_s1241" style="position:absolute;z-index:2517575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9" w:name="J.C. GRAUER J."/>
            <w:bookmarkEnd w:id="369"/>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claim for damages arises out of two motor vehicle accidents. The first occurred on October 11, 2010, while the second happened on May 28, 2013. In both of these accidents, the plaintiff was a driver whose vehicle was struck from behind: the first time with light to moderate force; the second time with very little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involved in a third accident on July 9, 2013, this time at an intersection where he had advanced from a stop sign under the mistaken impression that it was a four-way stop intersection. It was not, and he collided with a vehicle coming from his right that had the right-of-way. The impact of this collision, although not from behind, was of greater force than the other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Liability for the first accident, while not admitted (the driver being in breach of her insurance conditions), is not seriously contested. Liability for the second is admitted, subject to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real question is damages. The principal issues are the degree to which, if any, the other two accidents contributed to any injury caused by the first accident, and whether the plaintiff suffered a past loss of income earning capacity. No future loss of earning capacity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is straightforward. In both the first and second accidents, the plaintiff was struck from behind. There is no evidence that he did anything at all to contribute to either collision, and it is clear that he was wearing his seatbelt and had his headrest adjusted on both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find the defendant Nicholson wholly at fault for the first accident. On the evidence, she was following too close for safety in the circumstances. I find the defendant Kassam wholly at fault for the second accident. He was in a stopped line of traffic behind the plaintiff. The plaintiff started forward and so did Mr. Kassam. The plaintiff stopped and Mr. Kassam did not. He was paying insufficient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not disputed that the plaintiff was wholly at fault for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Mr. Derksen, is now 42 years old. He is employed as an account executive in the field of information technology services, specializing in data centre infrastructure solutions. His job is sales. He is good at it and earns a substantial income. The work is stressful and requires long hours, averaging in the range of 60 hours per week. He is married, and has two young daughters: Isabel, born June 29, 2011, and Kadence, born April 8, 2014. His wife, Sophia Derksen, is employed by Great West Life as a rehabilitation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Derksen began his career at age 15 as a stock boy for London Drugs. He gradually moved into the IT division of London Drugs, becoming an assistant manager. He then joined Doppler Computer Superstores, working in Vancouver and Calgary, where he became vice president of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working, Mr. Derksen enrolled in a Business Administration program at Kwantlen University. After two years in the program, during which he worked full time, he left school and carried on with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Derksen joined DTM Systems Corporation in Vancouver in 1999, a company that promoted higher end solutions in the information security area. There, Mr. Derksen became a client executive (corporate sales), and remained until June 2009, when he joined Scalar Decisions ("Scalar") in Vancouver as an account executive (the same sort of position he had occupied at DTM, but in a different context). He was employed at Scalar throughout the time material to this action. He was dismissed from Scalar "without cause" in October 2014, and had no difficulty finding a new position. He is presently productively employed at Mainland Information Systems as an account executive.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Derksen married on April 13, 2010. He and Sophia began living together about six months before this, sharing her apartment downtown. Mr. Derksen moved there from North Vancouver where he had been living with a friend. He and Sophia continued to live downtown until April 2011, when they moved to a house they had acquired in New Westminster that they share with Mr. Derksen's father, who lives in the basement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Injury, Treatment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That the plaintiff suffered a whiplash-type soft tissue injury in the first accident is beyond doubt. To deal with this injury, Mr. Derksen saw his family doctor, Dr. Meenaz Rasool, whose report was entered into evidence without the necessity of Dr. Rasool being produced for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Derksen saw Dr. Rasool once in 2010 before the accident, and 22 times between October 19, 2010, and December 3, 2014, in relation to his whiplash injury. He testified to that, due to poor appointment/waiting room management, each of these appointments would occupy about four hours of his time, including waiting, treatment, travel and parking.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Dr. Rasool: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injury suffered by Mr. Derksen on October 11, 2010 was a flexion-extension type of injury to the cervical-dorsal axis from a rear-ender. Mr. Derksen was showing improvement in his status when he was involved in two more accidents on May 28, 2013, another rear-ender and a side hit on July 9, 2013. The injury of October 11, 2010 would make him more susceptible to further injury even with lesser trauma. While Mr. Derksen felt that there was no aggravation of his former injury, the recurrence of his symptoms bear it out that there was a temporary aggravation of his injury and symptoms. Mr. Derksen has done well in his recovery and when seen on September 29, 2014 he had made significant progress and was in fact planning to winding down his treatments.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Mr. Derksen has made a good recovery from his injuries and that he should continue to improve barring any further injury. He still continues to have minor residual symptoms but those should continue to improve with exercise, massage and time. I do not foresee any long-term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request of the defence, Mr. Derksen was assessed by an orthopedic surgeon, Dr. Thomas Greidanus of Cira Medical Services. Dr. Greidanus saw Mr. Derksen on March 24, 2015. His report was admitted without requiring Dr. Greidanus to attend for cross examination. I found it unhelpful given Dr. Greidanus's very limited "snapshot" involvement, late in the day. In Dr. Greidanus's view, Mr. Derksen had suffered cervical sprain and suspected lumbar sprain, both resolved, with "no objective findings of an orthopedic problem that would relate to the MVA". He stated that a normal or average time period for recovery from such injuries was in the range of 3 to 6 months, and described Mr. Derksen's prognosis as "very good". He recommended that Mr. Derksen continue with a regular exercise program, and opined that physiotherapy, chiropractic and massage "are not medically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time since the first accident, Mr. Derksen attended on a number of therapists who specialize in treating whiplash-type injuries. As these treatments are relevant both to his claim for special damages and to his claim for past loss of income earning capacity, as well as his claim for non-pecuniary damages, I will review them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the one exception, Mr. Derksen's involvement with all of the therapists came as a result of his own research, and the recommendations of his wife and other friends involved in rehabilitation consulting. The treatments were not initiated as a result of medical referral. Dr. Rasool was, however, kept informed, and advised Mr. Derksen "to continue with his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first therapist he saw was Ms. Lesli Smith, a Registered Massage Therapist. He has seen her regularly, although with declining frequency, from October 22, 2010 to the present. The total cost of her 187 treatments through May 14, 2015, is $20,861.05. These sessions, according to Mr. Derksen, were an hour in length, typically scheduled for Thursday mornings from 9:00 AM to 10:00 AM, and would occupy two hours of his time once travel time and parking were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Smith testified. She explained that Mr. Derksen first became a client in October 2010, after the accident, and that her treatment dealt primarily with spine alignment, soft tissue problems in the neck, shoulders and upper back, his complaints concerning the top of his head, and restrictions in motion. Secondarily, she treated his hips and pelvis. She carried out postural analysis and designed a sequence of exercise programs for him to do at home. The last program she designed was in January 2012, following which his direction and exercise was taken over by the physiotherapist and kinesiologist. Throughout this time, he appeared to be getting stronger and his alignment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the time of the second accident, Mr. Derksen was stronger and his posture had improved. She expected him to continue treatment and to keep improving. After the second accident, there may have been a bit more tension, but there were no significant changes from the previous five months. She saw no changes following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 to Mr. Derksen, he kept going with Ms. Smith's massage therapy because he continued to need the relief it supplied, which would last from a few hours to a whole day. This would allow him to carry out his exercises and make progress in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December 2010, Mr. Derksen began seeing two additional therapists, Janey Cole-Morgan, a semi-retired but highly recommended whiplash physiotherapist, and John Davis, a Doctor of Chiropractic, to whom he was referred by Ms. Smith. Ms. Cole-Morgan's five treatments came to a total of $520 (December 13, 2010-February 8, 2011) while Dr. Davis's 49 treatments totalled $2,737.03 (December 21, 2010-November 18,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Derksen testified that appointments with Ms. Cole-Morgan occupied two hours of his time including treatment time, travel and parking, while, on average, appointments with Dr. Davis occupied three hours due to less than ideal waiting room management, treatment time, parking and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Cole-Morgan prescribed particular exercises, including eye movements, to help align his neck and relieve tension. Dr. Davis's chiropractic treatment was frequently painful, but provided significant relief, particularly when adjustments were carried out. The relief would last a week or so, and then for longer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Added to the stable, in June 2011, was Matthew Bern Powell, also a physiotherapist, and in November 2011, Carmen Graham, a kinesiologist. Mr. Powell's treatments cost $2,342.67 (June 21, 2011-September 16, 2013). Mr. Derksen saw Ms. Graham on the recommendation of Dr. Rasool, and attended 16 sessions beginning November 30, 2011, and ending June 21, 2012. As far as I can see, the schedule of special damages (Exhibit 3, Tab 4) does not include any fees charged by Ms. Graham. I understand that they were covered by no-fault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Derksen testified that he would generally take Mr. Powell's first appointment, at 8:30 AM, and would travel from home. The treatments would take 40 minutes, with an additional half hour for parking and travelling to work after the treatment. Appointments with Ms. Graham were at a Fitness World close to his office, and consisted of one-hour sessions beginning at 8:00 AM. An additional 40 minutes would be occupied with cleaning up and getting to work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Powell also did adjustments and physical manipulation. He applied therapies such as transcutaneous electrical nerve stimulation (TENS), and intramuscular stimulation (IMS), and prescribed yoga exercises. Yoga was also prescribed by Dr. Rasool, and Mr. Derksen signed up for a class of five sessions of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Graham acted in the role of a personal trainer, taking Mr. Derksen through an exercise of program designed to strengthen and stretch his muscles and ligaments, increasing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defence does not dispute the fact that Mr. Derksen was injured in the first accident, but submits that, on the evidence, he had experienced significant improvement within 18 months (coinciding, in essence, with the conclusion of his treatment with Carmen Graham in mid-2012). Thereafter, the defence asserts, his complaints were minimal. Somewhat inconsistently, the defence further asserts that the third accident was more aggravating than Mr. Derksen lets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Defence counsel refers me to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(CA), which cautions the court to be "exceedingly careful where there is little or no objective evidence of continuing injury and when complaints of pain persist for long periods extending beyond the normal or usual recovery". I accept the correctness of the proposition, but do not consider it applicable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there is a good deal of evidence to support Mr. Derksen's complaints, and nothing meaningful to refute them. I found Mr. Derksen's testimony to be generally credible. Alleged inconsistencies between his evidence on discovery and his evidence at trial proved, on inspection, to be illusory. I do not consider the offhand comment of Dr. Greidanus that the average time for recovery from "such injuries" was 3 to 6 months, given that he saw the plaintiff precisely once, after he was mostly recovered, to be meaningful, and I am unable to give any weight to it for the apparently intended purpose of generating suspicion as to Mr. Derksen's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defence argues that a note in Dr. Rasool's chart from Mr. Derksen's one pre-accident visit in 2010 is evidence that not all of his symptoms following the first accident are attributable to it, and that he suffered from a similar problem before the accident. That note, dated September 29, 2010, indicates that Mr. Derksen complained of tightness in the neck and shoulder, and requested a prescription for massage. There is no previous record of such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Derksen explained that he had been hiking with a heavy pack in Washington State just prior to this and assumes (because he cannot recall) that the tightness was one of the after-effects of that hike. He never went for the massage prior to the motor vehicle accident. On the basis of Mr. Derksen's evidence, which I accept, together with photographic and other evidence that shows he was physically unrestricted the weekend before the accident, I conclude that this visit had nothing to do with the symptoms he suffered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basis of all of the evidence, I find that Mr. Derksen suffered a moderate whiplash injury in the first accident that has improved slowly over the ensuing years. By late 2012, he was recovered to the point that he was able to function at a level that was close to his pre-accident state, but had not yet fully recovered. Then, in May and July 2013, he suffered a minor aggravation of that state as a result of the second and third accidents. By the time of trial, he was essentially back to normal with a few lingering symptoms, which I have every reason to expect will eventually disappear.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question arises as to what impact, if any, the plaintiff's responsibility for the third accident should have on the defendants' liability for the consequences of his injuries. This is a deceivingly complicated question that did not receive the attention it deserved in argument, although, to be fair to counsel, its impact on the outcome was, in the circumstances of this case, destined to be relatively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I indicated above, the evidence establishes that the primary cause of Mr. Derksen's injury was the first accident of October 11, 2010. He was approaching his pre-accident state by the time of the second accident on May 28, 2013, and the third accident followed shortly thereafter on July 9, 2013. On the evidence, the second and third accident each caused but minor aggravation of his symptoms. By the time of the third accident, which was his fault, Mr. Derksen's status had returned to the state he had been in before the second accident. On the basis of the evidence of Mr. Derksen, Ms. Smith and Ms. Idema, I find that the degree of aggravation caused by the third accident was minor and very limited in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defence expert evidence would suggest that Mr. Derksen had fully recovered by the time of these accidents any event, but I accept the evidence of Dr. Rasool that both of them caused some minor aggravation, and that the first accident had rendered Mr. Derksen susceptible to that aggravation.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submits that his injury is indivisible among the three accidents, and therefore, following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liability is joint and several against the defendants in the first two accidents. The contribution of the third accident, he maintains, is immaterial to this analysis as Mr. Derksen cannot be a tortfeasor to himself, and the third accident is therefore like any other non-tortious contributing cause as discussed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On this analysis, the defendants in the two accidents that are the subject of this lawsuit remain jointly and severally liable for the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note that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did not deal with the situation where the plaintiff was at fault for one of the accidents that contributed to the indivisible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Notwithstanding its position that Mr. Derksen was entirely recovered before the second accident, on this issue, the defence agrees that the injury is an indivisible one, but maintains that his damages should be apportioned between the two accidents for which he was not at fault, and the one accident for which he was at fault. The defence points to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where at para 24 the Court articulates as a fundamental principle in the law of causation the proposition that "[a]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defence further relies on </w:t>
      </w:r>
      <w:r>
        <w:rPr>
          <w:rFonts w:ascii="arial" w:eastAsia="arial" w:hAnsi="arial" w:cs="arial"/>
          <w:i/>
          <w:color w:val="000000"/>
          <w:sz w:val="20"/>
          <w:lang w:val="en-US" w:eastAsia="en-US" w:bidi="ar-SA"/>
        </w:rPr>
        <w:t>Andrews v Mainster</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2014 BCSC 541</w:t>
        </w:r>
      </w:hyperlink>
      <w:r>
        <w:rPr>
          <w:rFonts w:ascii="arial" w:eastAsia="arial" w:hAnsi="arial" w:cs="arial"/>
          <w:color w:val="000000"/>
          <w:sz w:val="20"/>
          <w:lang w:val="en-US" w:eastAsia="en-US" w:bidi="ar-SA"/>
        </w:rPr>
        <w:t xml:space="preserve">, in which the plaintiff suffered from pre-existing mood and anxiety disorders that were aggravated by a car accident, and further complicated by subsequent traumatic events unrelated to the car accident. Mr. Justice Pearlman, who did not refer to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found that 50% of the plaintiff's symptoms were attributable to the accident, 40% to her previous health problems, and 10% to the subsequent events. The plaintiff's non-pecuniary damages for psychological injury were accordingly reduced by 50%. As I read that case, Pearlman J. found, in effect, that the injuries were 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this case, the defence submits that the plaintiff's non-pecuniary damages should similarly be reduced in the range of 10%-20% to account for both his prior complaints (which I have found to amount to nothing) and the aggravation of injuries arising from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proposition that the plaintiff's injury must be considered to be an indivisible one, at least from a non-pecuniary perspective, has considerable force. As the court noted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37, "it is difficult to see how the worsening of a single injury could be divided up". I say "from a non-pecuniary perspective" because I am satisfied on the evidence that the aggravation arising from the second and third accidents had no causative relationship, on a "but for" analysis, to the plaintiff's claim for 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Neither side suggests that a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should be applied in accordance with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That approach was followed in </w:t>
      </w:r>
      <w:r>
        <w:rPr>
          <w:rFonts w:ascii="arial" w:eastAsia="arial" w:hAnsi="arial" w:cs="arial"/>
          <w:i/>
          <w:color w:val="000000"/>
          <w:sz w:val="20"/>
          <w:lang w:val="en-US" w:eastAsia="en-US" w:bidi="ar-SA"/>
        </w:rPr>
        <w:t>Bilanik v Ferman</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2014 BCSC 732</w:t>
        </w:r>
      </w:hyperlink>
      <w:r>
        <w:rPr>
          <w:rFonts w:ascii="arial" w:eastAsia="arial" w:hAnsi="arial" w:cs="arial"/>
          <w:color w:val="000000"/>
          <w:sz w:val="20"/>
          <w:lang w:val="en-US" w:eastAsia="en-US" w:bidi="ar-SA"/>
        </w:rPr>
        <w:t>, where the court considered a claim arising out of two accidents where the injury was indivisible. Mr. Justice Harvey found that while the defendant in the first accident was 100% at fault, the plaintiff was 20% at fault for the second accident based on relative blameworthiness. The second accident was, however, the major contributor to the plaintiff's principal residual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circumstances, Harvey J. apportioned liability 15% to the first defendant, 70% to the second defendant, and 15% to the plaintiff, commenting that the first defendant's lapse was relatively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But applying a strict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analysis in the circumstances before me would require a substantial apportionment against the plaintiff in this case, given the relatively equal degrees of fault in the three accidents, notwithstanding the minimal relationship between the Mr. Derksen's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his injuries. It would have the effect, contrary to section 1(3)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of making Mr. Derksen liable for loss to which his fault had not contributed. This is because fault on his part did not contribute in any way to the considerable damage and loss he suffered prior to the date of the third accident, and only minimally to loss and damage suffered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 different approach was taken in </w:t>
      </w:r>
      <w:r>
        <w:rPr>
          <w:rFonts w:ascii="arial" w:eastAsia="arial" w:hAnsi="arial" w:cs="arial"/>
          <w:i/>
          <w:color w:val="000000"/>
          <w:sz w:val="20"/>
          <w:lang w:val="en-US" w:eastAsia="en-US" w:bidi="ar-SA"/>
        </w:rPr>
        <w:t>Demidas v Poinen</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2012 BCSC 416</w:t>
        </w:r>
      </w:hyperlink>
      <w:r>
        <w:rPr>
          <w:rFonts w:ascii="arial" w:eastAsia="arial" w:hAnsi="arial" w:cs="arial"/>
          <w:color w:val="000000"/>
          <w:sz w:val="20"/>
          <w:lang w:val="en-US" w:eastAsia="en-US" w:bidi="ar-SA"/>
        </w:rPr>
        <w:t>, where the plaintiff claimed as damages for injuries suffered in four accidents in which liability was admitted. He had also been in a fifth accident for which he was at fault. Like our case, that fifth accident was not a subject of the trial, and had caused aggravation of the plaintiff's injuries. In considering the contribution problem, Madam Justice Humphries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Counsel for the plaintiff approached the fifth "at-fault" accident as a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would reduce the non-pecuniary award to some extent. When questioned about this by the court, he could provide no cases to support such an approach. Counsel for the defendant said this was not a matter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did not have an alternative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effect of the at-fault accident on the overall damage award is not a matter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the effect on the overall result may be similar. It is a matter of ensuring that the defendants are responsible only for the loss and damage they caused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None of the cases cited to me by the plaintiff deal with sequential accidents, and none have at-fault accidents in the midst of accidents for which the plaintiff can claim damages. In [</w:t>
      </w:r>
      <w:r>
        <w:rPr>
          <w:rFonts w:ascii="arial" w:eastAsia="arial" w:hAnsi="arial" w:cs="arial"/>
          <w:i/>
          <w:color w:val="000000"/>
          <w:sz w:val="20"/>
          <w:lang w:val="en-US" w:eastAsia="en-US" w:bidi="ar-SA"/>
        </w:rPr>
        <w:t>MacGillivary v. Amar Trucking et al</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2002 BCPC 437</w:t>
        </w:r>
      </w:hyperlink>
      <w:r>
        <w:rPr>
          <w:rFonts w:ascii="arial" w:eastAsia="arial" w:hAnsi="arial" w:cs="arial"/>
          <w:color w:val="000000"/>
          <w:sz w:val="20"/>
          <w:lang w:val="en-US" w:eastAsia="en-US" w:bidi="ar-SA"/>
        </w:rPr>
        <w:t xml:space="preserve">], the provincial court judge applied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(1968) 65 W.W.R. 577 and assessed damages separately for each of three accidents. Where the effects of the injuries are not divisible, as here, that approach is not appropriate as between tortfeasors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On the other hand, the defendants are not responsible for the injuries Mr. Demidas caused to himself, so the effects of that accident have to be accounted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effect of the accidents is cumulative, each one exacerbating the symptoms that remained from the previous one to a collective whole. Therefore it is not appropriate to simply take one figure and multiply it by four as the defendant suggests.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While this is not a situation where damage is divisible and capable of individual apportionment, nevertheless the loss and damage caused by the accident for which Mr. Demidas is at fault must be considered and removed from the overall award so that the defendants are not held responsible for that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This is an imperfect exercise, dealing with intangibles and hypotheticals. Although each accident was fairly minor, the recurrence of accidents contributed to Mr. Demidas' ongoing symptoms. However, those symptoms are not as severe as those in the cases cited to me by the plaintiff. Considering the authorities presented to me, the injuries sustained in the four accidents, and adjusting the amount for the effects of the at-fault accident, I set non-pecuniary damages at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It must be remembered that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when the Supreme Court declined to apportion any part of the causation of the plaintiff's injuries to the exercise that resulted in his disc herniation, it noted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"Fitness World incident" was not a cause; it was the effect. It </w:t>
      </w:r>
      <w:r>
        <w:rPr>
          <w:rFonts w:ascii="arial" w:eastAsia="arial" w:hAnsi="arial" w:cs="arial"/>
          <w:color w:val="000000"/>
          <w:sz w:val="20"/>
          <w:u w:val="single"/>
          <w:lang w:val="en-US" w:eastAsia="en-US" w:bidi="ar-SA"/>
        </w:rPr>
        <w:t>was</w:t>
      </w:r>
      <w:r>
        <w:rPr>
          <w:rFonts w:ascii="arial" w:eastAsia="arial" w:hAnsi="arial" w:cs="arial"/>
          <w:color w:val="000000"/>
          <w:sz w:val="20"/>
          <w:lang w:val="en-US" w:eastAsia="en-US" w:bidi="ar-SA"/>
        </w:rPr>
        <w:t xml:space="preserve"> the injury. Mere stretching alone was not sufficient to cause disc herniation in the absence of some latent disposition or previous injuries. There was no suggestion that it was negligent of the appellant to attempt to exercise or that he exercised in a negligent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both this case and </w:t>
      </w:r>
      <w:r>
        <w:rPr>
          <w:rFonts w:ascii="arial" w:eastAsia="arial" w:hAnsi="arial" w:cs="arial"/>
          <w:i/>
          <w:color w:val="000000"/>
          <w:sz w:val="20"/>
          <w:lang w:val="en-US" w:eastAsia="en-US" w:bidi="ar-SA"/>
        </w:rPr>
        <w:t>Demidas</w:t>
      </w:r>
      <w:r>
        <w:rPr>
          <w:rFonts w:ascii="arial" w:eastAsia="arial" w:hAnsi="arial" w:cs="arial"/>
          <w:color w:val="000000"/>
          <w:sz w:val="20"/>
          <w:lang w:val="en-US" w:eastAsia="en-US" w:bidi="ar-SA"/>
        </w:rPr>
        <w:t xml:space="preserve">, then, what Mr. Derksen would describe as a 'later non-tortious cause' as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his at-fault accident, was in fact tortious. Moreover, the contribution of Mr. Derksen's at-fault accident was a minor aggravation of a defined pre-existing injury.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injury arose from the later non-tortious event due to the combined effect of the two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principal distinguishing feature between </w:t>
      </w:r>
      <w:r>
        <w:rPr>
          <w:rFonts w:ascii="arial" w:eastAsia="arial" w:hAnsi="arial" w:cs="arial"/>
          <w:i/>
          <w:color w:val="000000"/>
          <w:sz w:val="20"/>
          <w:lang w:val="en-US" w:eastAsia="en-US" w:bidi="ar-SA"/>
        </w:rPr>
        <w:t>Demidas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Bilanik</w:t>
      </w:r>
      <w:r>
        <w:rPr>
          <w:rFonts w:ascii="arial" w:eastAsia="arial" w:hAnsi="arial" w:cs="arial"/>
          <w:color w:val="000000"/>
          <w:sz w:val="20"/>
          <w:lang w:val="en-US" w:eastAsia="en-US" w:bidi="ar-SA"/>
        </w:rPr>
        <w:t xml:space="preserve"> is that in </w:t>
      </w:r>
      <w:r>
        <w:rPr>
          <w:rFonts w:ascii="arial" w:eastAsia="arial" w:hAnsi="arial" w:cs="arial"/>
          <w:i/>
          <w:color w:val="000000"/>
          <w:sz w:val="20"/>
          <w:lang w:val="en-US" w:eastAsia="en-US" w:bidi="ar-SA"/>
        </w:rPr>
        <w:t>Bilanik</w:t>
      </w:r>
      <w:r>
        <w:rPr>
          <w:rFonts w:ascii="arial" w:eastAsia="arial" w:hAnsi="arial" w:cs="arial"/>
          <w:color w:val="000000"/>
          <w:sz w:val="20"/>
          <w:lang w:val="en-US" w:eastAsia="en-US" w:bidi="ar-SA"/>
        </w:rPr>
        <w:t xml:space="preserve">, the plaintiff claimed against two sets of defendants involved in two accidents, for one of which the plaintiff was partly at fault, whereas in </w:t>
      </w:r>
      <w:r>
        <w:rPr>
          <w:rFonts w:ascii="arial" w:eastAsia="arial" w:hAnsi="arial" w:cs="arial"/>
          <w:i/>
          <w:color w:val="000000"/>
          <w:sz w:val="20"/>
          <w:lang w:val="en-US" w:eastAsia="en-US" w:bidi="ar-SA"/>
        </w:rPr>
        <w:t>Demidas</w:t>
      </w:r>
      <w:r>
        <w:rPr>
          <w:rFonts w:ascii="arial" w:eastAsia="arial" w:hAnsi="arial" w:cs="arial"/>
          <w:color w:val="000000"/>
          <w:sz w:val="20"/>
          <w:lang w:val="en-US" w:eastAsia="en-US" w:bidi="ar-SA"/>
        </w:rPr>
        <w:t xml:space="preserve">, like this case, the accident for which the plaintiff was at fault was not part of the litigation, as the plaintiff cannot claim against himself. In this latter situation, counsel agree,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has no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Analytically, it is difficult to justify a difference in result between a situation where one of several contributing accidents was only partly the plaintiff's fault, and forms part of the litigation, and a situation where one of the contributing accidents was entirely the plaintiff's fault, and therefore forms no part of the litigation. But whether that necessarily follows (given the reasoning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is a question I do not need to resolve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What is different about this case is that notwithstanding that the third accident aggravated a pre-existing injury, and notwithstanding the position of counsel, I find I am able to divide up the injuries. This is not a case like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Demidas</w:t>
      </w:r>
      <w:r>
        <w:rPr>
          <w:rFonts w:ascii="arial" w:eastAsia="arial" w:hAnsi="arial" w:cs="arial"/>
          <w:color w:val="000000"/>
          <w:sz w:val="20"/>
          <w:lang w:val="en-US" w:eastAsia="en-US" w:bidi="ar-SA"/>
        </w:rPr>
        <w:t xml:space="preserve"> where the injury was the result of consecutive cumulative incidents leading to a collective whole. Rather, there were two blips of exacerbation, each of which dissipated, leaving the plaintiff in a state referable entirely to the first accident. Accordingly, I conclude that the effects are 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evidence, I find that the second accident caused a minor aggravation in the form of increased pain and stiffness, for a period of approximately one month. Mr. Derksen testified, and I accept, that it increased his (by then considerably improved) symptoms by 10%, and that this aggravation had resolved completely before the third accident. I find that it had no effect on Mr. Derksen's income earning capacity, housekeeping capacity, future care needs or residual symptoms. I find that it caused Mr. Derksen to incur the expense of two massage therapy treatments and one chiropractic treatment, which he would not have required but for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that the third accident caused a very minor aggravation in the form of increased emotional stress and associated stiffness, for a period of approximately two weeks. I am unable to relate it to any expenses, and I am satisfied that, like the second accident, it had no effect on Mr. Derksen's income earning capacity, housekeeping capacity, future care needs or residual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already discussed the nature of the plaintiffs' injuries, and will now review their impact on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Before the first accident, Mr. Derksen was physically very active. He exercised five days a week, divided between swimming and the gym, and on weekends he liked to spend as much time outdoors as possible, principally hiking and biking. He did many of these activities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the accident, he did very little exercise other than that prescribed by his treatment providers, and took no part in recreational activities for many months. The treatments and exercises he did undertake assisted in his recovery, but necessitated rest to cope with their effect on his symptoms. He required his father's assistance in maintaining the garden at the new house in New Westminster, and when he and his wife moved to that house, he was unable to assist notwithstanding that his wife was advanced in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During that time, and following the birth of his first daughter, the burden of home and childcare fell entirely on his wife's shoulders. This was stressful to their relationship. He was unable to paint his child's bedroom in anticipation of her arrival, and was a limited in his ability to hold her after she was born. By the time of the birth of his second daughter in April 2014, things were different. He was able to paint the bedroom, and participate fully in caring for the new baby (to the point, Sophia Derksen observed, that she has become a true "Daddy's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Derksen's injuries also affected his working life, which I will review in more detail in connection with his claim for past loss of income earning capacity. For now, it is sufficient to note that he was significantly affected in his mood, stamina and concentration, ultimately parting ways with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defence submits that non-pecuniary damages should be assessed on the basis of a mild to moderate whiplash injury, lasting 12-18 months, and proffers a number of cases assessing damages for an injury of that nature in the range of $25,000-$30,000: </w:t>
      </w:r>
      <w:r>
        <w:rPr>
          <w:rFonts w:ascii="arial" w:eastAsia="arial" w:hAnsi="arial" w:cs="arial"/>
          <w:i/>
          <w:color w:val="000000"/>
          <w:sz w:val="20"/>
          <w:lang w:val="en-US" w:eastAsia="en-US" w:bidi="ar-SA"/>
        </w:rPr>
        <w:t>Loik v Hannah</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2009 BCSC 1196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Lopez v VW Credit Canada Inc</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2008 BCSC 320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Boutin v MacPherson</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2012 BCSC 1814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Tong v Sidhu</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2009 BCSC 305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Ludwig v Frighetto</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2012 BCSC 1721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refers to </w:t>
      </w:r>
      <w:r>
        <w:rPr>
          <w:rFonts w:ascii="arial" w:eastAsia="arial" w:hAnsi="arial" w:cs="arial"/>
          <w:i/>
          <w:color w:val="000000"/>
          <w:sz w:val="20"/>
          <w:lang w:val="en-US" w:eastAsia="en-US" w:bidi="ar-SA"/>
        </w:rPr>
        <w:t>Unger v Singh</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2000 BCCA 94</w:t>
        </w:r>
      </w:hyperlink>
      <w:r>
        <w:rPr>
          <w:rFonts w:ascii="arial" w:eastAsia="arial" w:hAnsi="arial" w:cs="arial"/>
          <w:color w:val="000000"/>
          <w:sz w:val="20"/>
          <w:lang w:val="en-US" w:eastAsia="en-US" w:bidi="ar-SA"/>
        </w:rPr>
        <w:t>, which reduced a jury award, as authority for the proposition that in cases involving primarily soft tissue injuries with some emotional affect, the awards range from $35,000 to $125,000, which, adjusted for inflation, would amount today to a range of approximately $46,000 to $167,000.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submits that, bearing in mind the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an "appropriate and conservative non-pecuniary award would be in the $75,000 to $85,000 range, which is under the mean average of the </w:t>
      </w:r>
      <w:r>
        <w:rPr>
          <w:rFonts w:ascii="arial" w:eastAsia="arial" w:hAnsi="arial" w:cs="arial"/>
          <w:i/>
          <w:color w:val="000000"/>
          <w:sz w:val="20"/>
          <w:lang w:val="en-US" w:eastAsia="en-US" w:bidi="ar-SA"/>
        </w:rPr>
        <w:t>Unger v Singh</w:t>
      </w:r>
      <w:r>
        <w:rPr>
          <w:rFonts w:ascii="arial" w:eastAsia="arial" w:hAnsi="arial" w:cs="arial"/>
          <w:color w:val="000000"/>
          <w:sz w:val="20"/>
          <w:lang w:val="en-US" w:eastAsia="en-US" w:bidi="ar-SA"/>
        </w:rPr>
        <w:t xml:space="preserve"> range". The plaintiff refers to the wide-ranging effects of his symptoms and the fact that he continues to suffer mild residual symptoms nearly five years later. He supports the suggested range by reference to the following cases: </w:t>
      </w:r>
      <w:r>
        <w:rPr>
          <w:rFonts w:ascii="arial" w:eastAsia="arial" w:hAnsi="arial" w:cs="arial"/>
          <w:i/>
          <w:color w:val="000000"/>
          <w:sz w:val="20"/>
          <w:lang w:val="en-US" w:eastAsia="en-US" w:bidi="ar-SA"/>
        </w:rPr>
        <w:t>Blackman v Dha</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2015 BCSC 698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Beagle v Cornelson Estate</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2013 BCSC 933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Moshrefzadeh</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2012 BCSC 1458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Griffith v Larsen</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2014 BCSC 1687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find the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xml:space="preserve"> case of little assistance in assessing the claim of a particular plaintiff, as it was addressing a different kind of issue - not the assessment of individual damages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but whether an award was inordinately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Turning to the cases relied upon by counsel, and a bearing in mind that while every claim is different, like cases should be decided alike, I consider that the authorities submitted by the defence are all fairly easily distinguishable on the basis of the lesser degree of injury and shorter duration of symptoms. On the other hand, some of the cases offered by the plaintiff are more serious. </w:t>
      </w:r>
      <w:r>
        <w:rPr>
          <w:rFonts w:ascii="arial" w:eastAsia="arial" w:hAnsi="arial" w:cs="arial"/>
          <w:i/>
          <w:color w:val="000000"/>
          <w:sz w:val="20"/>
          <w:lang w:val="en-US" w:eastAsia="en-US" w:bidi="ar-SA"/>
        </w:rPr>
        <w:t>Beagle</w:t>
      </w:r>
      <w:r>
        <w:rPr>
          <w:rFonts w:ascii="arial" w:eastAsia="arial" w:hAnsi="arial" w:cs="arial"/>
          <w:color w:val="000000"/>
          <w:sz w:val="20"/>
          <w:lang w:val="en-US" w:eastAsia="en-US" w:bidi="ar-SA"/>
        </w:rPr>
        <w:t>, for instance, where the award was $85,000, was a case of chronic pain with a very poor prognosis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On the other hand, </w:t>
      </w:r>
      <w:r>
        <w:rPr>
          <w:rFonts w:ascii="arial" w:eastAsia="arial" w:hAnsi="arial" w:cs="arial"/>
          <w:i/>
          <w:color w:val="000000"/>
          <w:sz w:val="20"/>
          <w:lang w:val="en-US" w:eastAsia="en-US" w:bidi="ar-SA"/>
        </w:rPr>
        <w:t>Griffith</w:t>
      </w:r>
      <w:r>
        <w:rPr>
          <w:rFonts w:ascii="arial" w:eastAsia="arial" w:hAnsi="arial" w:cs="arial"/>
          <w:color w:val="000000"/>
          <w:sz w:val="20"/>
          <w:lang w:val="en-US" w:eastAsia="en-US" w:bidi="ar-SA"/>
        </w:rPr>
        <w:t xml:space="preserve">, where the award was $75,000, is a case that has several similarities, albeit complicated by issues concerning whether the plaintiff suffered a thoracic outlet syndrome and other injuries, in addition to those that were undisputed. </w:t>
      </w:r>
      <w:r>
        <w:rPr>
          <w:rFonts w:ascii="arial" w:eastAsia="arial" w:hAnsi="arial" w:cs="arial"/>
          <w:i/>
          <w:color w:val="000000"/>
          <w:sz w:val="20"/>
          <w:lang w:val="en-US" w:eastAsia="en-US" w:bidi="ar-SA"/>
        </w:rPr>
        <w:t>Blackman</w:t>
      </w:r>
      <w:r>
        <w:rPr>
          <w:rFonts w:ascii="arial" w:eastAsia="arial" w:hAnsi="arial" w:cs="arial"/>
          <w:color w:val="000000"/>
          <w:sz w:val="20"/>
          <w:lang w:val="en-US" w:eastAsia="en-US" w:bidi="ar-SA"/>
        </w:rPr>
        <w:t>, where the award was $80,000, also has some similarities, although the overall level of recovery appears to have been less than that enjoyed by Mr. Derksen.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Weighing all the factors as best I can, I assess non-pecuniary damages in this case in the amount of $70,000. Of this amount, I apportion $4,000 to the second accident and $2,000 to the third accident. The remainder, attributable to the first accident, includes Mr. Derksen's claim for loss of housekeeping capacity, which I consider to be modest and not susceptible of precise pecuniary assessment. The net award for non-pecuniary damages in this action, then, is $68,000.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did not take time off work as a result of the accident, other than to attend treatments. He continued to earn a healthy income, and indeed his income increased over the years 2010, 2011 and 2012, dipping slightly in 2013. He submits, however, that his capacity to earn income was reduced by the injury he suffered in the first accident. This is because, he asserts, he was unable to devote the time, attention to detail and positive energy to his work that were essential to maximizing success in sales. He points out that he was obliged to devote many hours to treatments during the workweek, when meetings with clients were normally scheduled, and generally was able to work for only 40 or so hours a week, instead of the customary 60, until late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Because of the sales cycle, Mr. Derksen contends, his injuries had an impact on his income beginning in approximately mid-2011 and lasting through to early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Derksen points to a number of deals he was unable to close, and to clients whose departure he was unable to prevent, during the time in question. There was evidence of personality clashes and inappropriate behaviour towards other employees which, on the evidence, was uncharacteristic. As his remuneration was commission-based, these missed opportunities had a lasting impact. If successfully completed, they would have led to income not only in the year in which the deal would have been closed, but also in subsequent years over which the contract would have continued to produce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Evidence of this value may take many forms. As was said by Kenneth D. Cooper-Stephenson in </w:t>
      </w:r>
      <w:r>
        <w:rPr>
          <w:rFonts w:ascii="arial" w:eastAsia="arial" w:hAnsi="arial" w:cs="arial"/>
          <w:b/>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205-06,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essence of the task under this head of damages is to award compensation for any pecuniary loss which will result from an inability to work. "Loss of the value of work" is the substance of the claim -- loss of the value of any work the plaintiff would have done but for the accident but now will be unable to do. </w:t>
      </w:r>
      <w:r>
        <w:rPr>
          <w:rFonts w:ascii="arial" w:eastAsia="arial" w:hAnsi="arial" w:cs="arial"/>
          <w:color w:val="000000"/>
          <w:sz w:val="20"/>
          <w:u w:val="single"/>
          <w:lang w:val="en-US" w:eastAsia="en-US" w:bidi="ar-SA"/>
        </w:rPr>
        <w:t>The loss framed in this way may be measured in different ways</w:t>
      </w:r>
      <w:r>
        <w:rPr>
          <w:rFonts w:ascii="arial" w:eastAsia="arial" w:hAnsi="arial" w:cs="arial"/>
          <w:color w:val="000000"/>
          <w:sz w:val="20"/>
          <w:lang w:val="en-US" w:eastAsia="en-US" w:bidi="ar-SA"/>
        </w:rPr>
        <w:t xml:space="preserve">. Sometimes it will be measured by reference to the </w:t>
      </w:r>
      <w:r>
        <w:rPr>
          <w:rFonts w:ascii="arial" w:eastAsia="arial" w:hAnsi="arial" w:cs="arial"/>
          <w:i/>
          <w:color w:val="000000"/>
          <w:sz w:val="20"/>
          <w:lang w:val="en-US" w:eastAsia="en-US" w:bidi="ar-SA"/>
        </w:rPr>
        <w:t>actual earnings</w:t>
      </w:r>
      <w:r>
        <w:rPr>
          <w:rFonts w:ascii="arial" w:eastAsia="arial" w:hAnsi="arial" w:cs="arial"/>
          <w:color w:val="000000"/>
          <w:sz w:val="20"/>
          <w:lang w:val="en-US" w:eastAsia="en-US" w:bidi="ar-SA"/>
        </w:rPr>
        <w:t xml:space="preserve"> the plaintiff would have received; sometimes by a </w:t>
      </w:r>
      <w:r>
        <w:rPr>
          <w:rFonts w:ascii="arial" w:eastAsia="arial" w:hAnsi="arial" w:cs="arial"/>
          <w:i/>
          <w:color w:val="000000"/>
          <w:sz w:val="20"/>
          <w:lang w:val="en-US" w:eastAsia="en-US" w:bidi="ar-SA"/>
        </w:rPr>
        <w:t>replacement cost evaluation of tasks</w:t>
      </w:r>
      <w:r>
        <w:rPr>
          <w:rFonts w:ascii="arial" w:eastAsia="arial" w:hAnsi="arial" w:cs="arial"/>
          <w:color w:val="000000"/>
          <w:sz w:val="20"/>
          <w:lang w:val="en-US" w:eastAsia="en-US" w:bidi="ar-SA"/>
        </w:rPr>
        <w:t xml:space="preserve"> which the plaintiff will now be unable to perform; sometimes by an assessment of reduced </w:t>
      </w:r>
      <w:r>
        <w:rPr>
          <w:rFonts w:ascii="arial" w:eastAsia="arial" w:hAnsi="arial" w:cs="arial"/>
          <w:i/>
          <w:color w:val="000000"/>
          <w:sz w:val="20"/>
          <w:lang w:val="en-US" w:eastAsia="en-US" w:bidi="ar-SA"/>
        </w:rPr>
        <w:t>company profits</w:t>
      </w:r>
      <w:r>
        <w:rPr>
          <w:rFonts w:ascii="arial" w:eastAsia="arial" w:hAnsi="arial" w:cs="arial"/>
          <w:color w:val="000000"/>
          <w:sz w:val="20"/>
          <w:lang w:val="en-US" w:eastAsia="en-US" w:bidi="ar-SA"/>
        </w:rPr>
        <w:t xml:space="preserve">; and sometimes by the amount of secondary income lost, such as </w:t>
      </w:r>
      <w:r>
        <w:rPr>
          <w:rFonts w:ascii="arial" w:eastAsia="arial" w:hAnsi="arial" w:cs="arial"/>
          <w:i/>
          <w:color w:val="000000"/>
          <w:sz w:val="20"/>
          <w:lang w:val="en-US" w:eastAsia="en-US" w:bidi="ar-SA"/>
        </w:rPr>
        <w:t>shared family income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underscoring; other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plaintiff is required to establish, on a balance of probabilities, that his injuries in fact impaired his capacity to earn income. Once that causal connection has been demonstrated, the court may, in assessing that loss, take into account real and substantial possibilities in the form of past hypothetical events: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Reynolds v M. Sanghera &amp; Sons Trucking Ltd</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2015 BCCA 232</w:t>
        </w:r>
      </w:hyperlink>
      <w:r>
        <w:rPr>
          <w:rFonts w:ascii="arial" w:eastAsia="arial" w:hAnsi="arial" w:cs="arial"/>
          <w:color w:val="000000"/>
          <w:sz w:val="20"/>
          <w:lang w:val="en-US" w:eastAsia="en-US" w:bidi="ar-SA"/>
        </w:rPr>
        <w:t xml:space="preserve">. In the end, the method of valuing a claim for past loss of income earning capacity will depend upon the circumstances of the case: </w:t>
      </w:r>
      <w:r>
        <w:rPr>
          <w:rFonts w:ascii="arial" w:eastAsia="arial" w:hAnsi="arial" w:cs="arial"/>
          <w:i/>
          <w:color w:val="000000"/>
          <w:sz w:val="20"/>
          <w:lang w:val="en-US" w:eastAsia="en-US" w:bidi="ar-SA"/>
        </w:rPr>
        <w:t>Beagle v Cornelson</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2012 BCSC 1934</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evidence, including the testimony of the plaintiff and others who worked at Scalar, I am satisfied that Mr. Derksen's ability to maximize his income as an account executive was impaired by his injuries. He was unable to devote as much time as he customarily did, he was distracted and unable to provide the level of focus to which he was accustomed, his mood was affected, making him more irritable and less engaging, and his level of energy was reduced. I am satisfied that these are all factors that impact the ability of a salesperson to maximize 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question is how to assess this impact. The defence argues that it was minimal, because Mr. Derksen's income kept going up. But this must be viewed in the context of a company that was growing exponentially, with greatly expanding opportunities for its sales force. I am satisfied that, but for the accident, Mr. Derksen would have been able to earn a greater amount than he did over the time in question by bringing in contracts providing greater profit to Scalar, and higher commissions to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the same time, I am not greatly impressed by the approach of attempting to establish an hourly rate based on historic earnings, and multiplying that by the hours spent in treatment and by the reduced hours of work. Nor did I find enlightening the comparison to the performance of another sales executive at Scalar, given the enormous variables at play. While it is useful to look at the opportunities Mr. Derksen believes he was unable to exploit because of his injuries, I cannot find that the accident can be blamed for all of these misses. Moreover, given the evidence of witnesses such as Ms. Idema, Mr. Sharpe and Mr. Gardner, all of whom worked at Scalar at the same time, I am unable to accept that Mr. Derksen's potential in this regard was as positive as he sincerely believes.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Taking into account the projects to which Mr. Derksen referred, and the contingencies that arise both positive and negative, together with his average commission rate of 25%, I find it reasonable to assess his past loss of income earning capacity at the equivalent of $30,000 per year in gross income over the years 2011, 2012 and 2013, for a total of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F. </w:t>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accept that Mr. Derksen's housekeeping capacity was impaired from the time of the first accident through to the end of 2012. Given his devotion to work, however, it was not a capacity that was greatly exercised pre-accident, and I find this claim to be modest in its scope. The plaintiff did not suggest otherwise, valuing it in the range of $3,500-$7,000. In my view, it is the lower end of that range that is appropriate. In the circumstances, I have included it in my assessment of his claim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 </w:t>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reviewed above the treatments undertaken by Mr. Derksen, and their cost. The amount expended is not contested, but the defence argues that most of these treatments were neither prescribed nor recommended by Mr. Derksen's physician, and that the massage treatments, in particular, were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Explicit medical recommendation is not a prerequisite to establishing a claim for special damages: </w:t>
      </w:r>
      <w:r>
        <w:rPr>
          <w:rFonts w:ascii="arial" w:eastAsia="arial" w:hAnsi="arial" w:cs="arial"/>
          <w:i/>
          <w:color w:val="000000"/>
          <w:sz w:val="20"/>
          <w:lang w:val="en-US" w:eastAsia="en-US" w:bidi="ar-SA"/>
        </w:rPr>
        <w:t>Gosselin v Neal</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2010 BCSC 456</w:t>
        </w:r>
      </w:hyperlink>
      <w:r>
        <w:rPr>
          <w:rFonts w:ascii="arial" w:eastAsia="arial" w:hAnsi="arial" w:cs="arial"/>
          <w:color w:val="000000"/>
          <w:sz w:val="20"/>
          <w:lang w:val="en-US" w:eastAsia="en-US" w:bidi="ar-SA"/>
        </w:rPr>
        <w:t xml:space="preserve"> at paras 83 and 101. As I said in </w:t>
      </w:r>
      <w:r>
        <w:rPr>
          <w:rFonts w:ascii="arial" w:eastAsia="arial" w:hAnsi="arial" w:cs="arial"/>
          <w:i/>
          <w:color w:val="000000"/>
          <w:sz w:val="20"/>
          <w:lang w:val="en-US" w:eastAsia="en-US" w:bidi="ar-SA"/>
        </w:rPr>
        <w:t>Zhang v Ghebreanenya</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2015 BCSC 938</w:t>
        </w:r>
      </w:hyperlink>
      <w:r>
        <w:rPr>
          <w:rFonts w:ascii="arial" w:eastAsia="arial" w:hAnsi="arial" w:cs="arial"/>
          <w:color w:val="000000"/>
          <w:sz w:val="20"/>
          <w:lang w:val="en-US" w:eastAsia="en-US" w:bidi="ar-SA"/>
        </w:rPr>
        <w:t xml:space="preserve"> at para 38, once causation is established, the test for allowing special damage claims is whether the expenses were reasonable. See also </w:t>
      </w:r>
      <w:r>
        <w:rPr>
          <w:rFonts w:ascii="arial" w:eastAsia="arial" w:hAnsi="arial" w:cs="arial"/>
          <w:i/>
          <w:color w:val="000000"/>
          <w:sz w:val="20"/>
          <w:lang w:val="en-US" w:eastAsia="en-US" w:bidi="ar-SA"/>
        </w:rPr>
        <w:t>Lee v McGuire</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2005 BCSC 241</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conclude that the costs for all of the treatments Mr. Derksen undertook would not have been incurred but for the first accident, with the exception of those three that I attribute to the second accident as discussed above. I further find that these expenses were reasonably incurred, based on the following factors that the evidence established:</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treatments all involved practitioners with appropriate expertise in the area of injury that the accident caused;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massage therapy treatments in particular, Ms. Smith described the nature of her treatments and Mr. Derksen's progress, all in relation to the injuries sustained in the accident;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Rasool was kept aware of these treatments. He recommended that Mr. Derksen continue with them, and specifically referred Mr. Derksen to physiotherapy, kinesiology and yoga. He also supported attendance on a chiropractor;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treatments, in combination, were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further observe there was no evidence to the contrary. Dr. Greidanus's statement that physiotherapy, chiropractic and massage "are not medically essential" does not reflect the relevant legal test, let alone the relevant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defence relies upon cases where large claims for special damages were significantly reduced, such as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Costello v Rafique</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2010 BCSC 441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xml:space="preserve">, however, the court found that there was no medical evidence that the therapies improved the plaintiff's physical condition, while in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the treatments were found to be excessive and unnecessary. Neither of those findings is available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Accordingly, it follows that Mr. Derksen is entitled to an award of special damages in the amount claimed of $27,029.20, subject, of course, to the subrogated claims of his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 </w:t>
      </w:r>
      <w:r>
        <w:rPr>
          <w:rFonts w:ascii="arial" w:eastAsia="arial" w:hAnsi="arial" w:cs="arial"/>
          <w:b/>
          <w:color w:val="000000"/>
          <w:sz w:val="20"/>
          <w:u w:val="single"/>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claims the future cost of ongoing massage therapy every two weeks for the next two years, the present value of which is $5,597.02. While the law does not require such treatment to be "medically essential" to use Dr. Greidanus's phrase, it does require the treatment to be both "medically justified" and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 judgment that has withstood the test of time":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this case, the only relevant medical evidence is that of Dr. Rasool, who wrote that Mr. Derksen's "minor residual symptoms" should continue to improve with "exercise, massage and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Viewing this opinion in the context of the evidence as a whole, I find that the plaintiff has demonstrated that ongoing massage therapy, every two weeks, is medically justified and reasonable for a further period of one year. Beyond that, it becomes a matter of solace.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these circumstances, the plaintiff is entitled to damages for the costs of future care in the amount of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is entitled to damages flowing from the two accidents at issue in this litigation in the following amounts: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42" type="#_x0000_t75" style="width:333pt;height:114.75pt">
            <v:imagedata r:id="rId80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will leave it to counsel to calculate the appropriate net figure for the damages for 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is entitled to his costs at Scale B, subject to any applicable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3" style="position:absolute;z-index:2518087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Duckett (c.o.b. D &amp; D Mobile Mechanical Service) v. McKinnon, [2012] B.C.J. No. 2979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29,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09-1652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2979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2147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Duckett, doing business as D &amp; D Mobile Mechanical Service and Robert Duckett, Plaintiffs, and Elizabeth McKinnon,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jc w:val="both"/>
        <w:rPr>
          <w:rFonts w:ascii="arial" w:eastAsia="arial" w:hAnsi="arial" w:cs="arial"/>
          <w:sz w:val="20"/>
          <w:lang w:val="en-US" w:eastAsia="en-US" w:bidi="ar-SA"/>
        </w:rPr>
      </w:pPr>
      <w:bookmarkStart w:id="370" w:name="Counsel_47"/>
      <w:bookmarkEnd w:id="3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4"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 Velletta.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her own behalf via teleconference: E. McKinnon.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1" w:name="Judgment_47"/>
      <w:bookmarkEnd w:id="371"/>
      <w:r>
        <w:pict>
          <v:line id="_x0000_s1245" style="position:absolute;z-index:2517585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Chambers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2" w:name="G.R.J. GAUL J. (orally)"/>
            <w:bookmarkEnd w:id="372"/>
            <w:r>
              <w:rPr>
                <w:rFonts w:ascii="arial" w:eastAsia="arial" w:hAnsi="arial" w:cs="arial"/>
                <w:b/>
                <w:color w:val="000000"/>
                <w:sz w:val="30"/>
                <w:lang w:val="en-US" w:eastAsia="en-US" w:bidi="ar-SA"/>
              </w:rPr>
              <w:t>G.R.J. GAUL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oral reasons are subject to editorial revisions before their reproduction in final form. Such revisions may include grammatical or stylistic alterations or the inclusion of additional references to the evidence, authorities or submissions. In no manner will the results of my decision be affected or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Mr. Duckett, owned and operated D &amp; D Mobile Mechanical Service as an unincorporated sole proprietorship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Ms. McKinnon, is a barrister and solicitor and member of the Law Society of British Columbia practising law in Duncan,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2006, Mr. Duckett decided to sell the Business to Peter and Caroline Hall (the "Halls") for $104,900. The Halls were unable to pay the full purchase price, so Mr. Duckett agreed to provide them with a loan of $50,000 secured by a promissory note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December of 2006, Mr. Duckett and the Halls signed an offer to purchase incorporating the terms of the proposed purchase and sale of the Business (the "Offer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Never having sold a business before, Mr. Duckett retained Ms. McKinnon to complete the sale of the Business and to secure the Loan against the business assets being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sale of the Business was concluded in early 2007. To complete that transaction, Ms. McKinnon prepared a formal purchase and sale agreement (the "Agreement"), a promissory note securing the Loan (the "Promissory Note"), and a financing statement (the "Financing Statement"). Mr. Duckett and the Halls executed the Agreement on 31 January 2007 and the Halls signed the Promissory Note that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or around the same time, Mr. Duckett's insurance policy for the Business was either transferred to the Halls or a new identical policy was taken out by them. In any event, Mr. Duckett was not listed on the Halls' insurance policy as a named payee in the event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some point in February 2007, Ms. McKinnon filed the Financing Statement with the provincial Personal Property Registry (the "Registry"), pursuant to the </w:t>
      </w:r>
      <w:r>
        <w:rPr>
          <w:rFonts w:ascii="arial" w:eastAsia="arial" w:hAnsi="arial" w:cs="arial"/>
          <w:i/>
          <w:color w:val="000000"/>
          <w:sz w:val="20"/>
          <w:lang w:val="en-US" w:eastAsia="en-US" w:bidi="ar-SA"/>
        </w:rPr>
        <w:t>Personal Property Security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April of 2007 there was a fire at the Business' premises. Much of the Business' material assets were damaged or destroyed in the fire. The Halls made a claim under their insurance policy for the value of the assets that had been lost in the fire. Mr. Duckett also advanced a claim under the Halls' insurance policy, based upon his belief that he had a secured interest in the same assets. Shortly after making his claim, a dispute arose over the effectiveness of Mr. Duckett's security interest in those assets. On Ms. McKinnon's advice, Mr. Duckett retained alternate counsel to pursue his insurance claim, as she believed she would be a witness in any legal proceeding to determine the matter. In Ms. McKinnon's view, Mr. Duckett had a legitimate security interest in the assets in question, and therefore his claim to a portion of the insurance proceeds was a valid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Duckett's new legal counsel advised him that the security interest he thought he had in the Business' assets was defective. Believing he had no reasonable alternative, Mr. Duckett abandoned his insurance claim and in the result the Halls received all of the insurance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Halls failed to make their November 2007 monthly payment on the Promissory Note and have been in default ever since. Mr. Duckett has received nothing from the Halls since October 2007 and consequently there is a balance owing of $45,244.48, plus contractual interest, under the Agreement and the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Duckett was able to salvage some of the assets of the Business that the Halls had abandoned, and in doing so he recouped a net sum of $3,835.50. He is, however, still out of pocket a significant amount of money as a result of his sale of the Business to the Halls.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Duckett says he retained Ms. McKinnon to assist with the completion of the sale of the Business and to ensure he retained a security interest in the Business' assets. Mr. Duckett argues that Ms. McKinnon was both negligent and in breach of his retainer with her, in that she failed to create the security interest he required, and consequently he is entitled to an award of damages from her for the losses he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advancing his claim, Mr. Duckett points to the fact that he had never sold a business before and was not aware of all the legal details and procedures that were entailed in such a transaction. He also explains that on account of this lack of knowledge and experience, he sought Ms. McKinnon's professional services and advice to complete the sale of the Business. In particular, Mr. Duckett says he instructed and relied upon Ms. McKinnon to prepare all the legal documents necessary to protect his interests and to ensure that the vendor financing he was providing to the Halls in the form of the Loan was secured against the Business'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Duckett complaint against Ms. McKinnon is twofold. First, he claims the documents she prepared and filed on his behalf failed to create a proper security interest in the Business' assets; and second he asserts she failed to advise him that he should ensure he was named as a first loss payee on the Halls' insurance policy on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Duckett's claim against Ms. McKinnon is based both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breach of contract claim is made in the alternative to the principal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either event,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Mr. Duckett claims the same amount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her defence, Ms. McKinnon maintains that she had a "limited retainer" with Mr. Duckett and was only responsible to prepare the documentation for the sale of the Business. Those documents consisted of the Agreement, the Promissory Note and the Financing Statement, the latter of which was to be filed with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McKinnon explains that Mr. Duckett never attended her office to discuss the nature of her retainer, and that any documents or paperwork from him were always dropped-off at her office. Moreover, she says he was always short and abrupt with her on the phone when giving her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McKinnon asserts that when she asked Mr. Duckett about such matters as business insurance, he insisted they had been all taken care of and that he required nothing from her 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McKinnon argues that the security documents that she prepared, particularly the Financial Statement that she filed with the Registry were sufficient to protect Mr. Duckett's interests, and therefore she fulfilled her professional and contractual obligations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are three issues that need to be determined:</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matter appropriate for a summary trial?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then was Ms. McKinnon negligent in the performance of her professional services to Mr. Duckett?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was there a contract between Mr. Duckett and Ms. McKinnon and if so, did she breach that contract and cause damages to Mr. Duckett?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#1: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Ms. McKinnon's written application response, she maintained that Mr. Duckett's claims were not suitable for a summary trial and that it would be unjust to decide the issues in dispute in such a summary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McKinnon did not address this facet of her response during the course of her oral submissions, nor did she address it in her affidavit evidence. I suspect that on account of Ms. McKinnon's silence on this question, counsel for Mr. Duckett did not address it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taken this lack of submissions or argument to be a form of tacit acceptance on the part of both parties that the issues in question in this litigation can be determined in a summary trial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If I am incorrect and Ms. McKinnon maintains her opposition to having this litigation resolved by way of summary trial, notwithstanding her failure to make submissions on the issue, then I would still find, having reviewed all the evidence, that it would not be unjust to proceed to resolve the dispute summarily. In reaching this conclusion, I have kept in mind the nature of the claim, the amount in dispute, and the potential costs associated with taking this claim to a conventional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Issue #2: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order to sustain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Mr. Duckett must satisfy the court that the four constitute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been proven. Those elements are: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McKinnon owed Mr. Duckett a duty of care;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McKinnon's actions fell below the standard of care expected of her;</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Duckett sustained damages;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damages are causally linked to Ms. McKinnon's failure to meet the standard of care expected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address each of these elements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McKinnon acknowledges that she was retained by Mr. Duckett to provide legal services and consequently she agrees she owed him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Therefore, the first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Failure to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determining whether Ms. McKinnon failed to meet the standard of care expected of her, that standard must be defined. The starting point of this analysis is the Law Society of British Columbia's Professional Conduct Handbook (the "Handbook").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Chapter 1 of the Handbook is entitled "Canons of Legal Ethics" and s. 3(1)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lawyer should obtain sufficient knowledge of the relevant facts and give adequate consideration to the applicable law before advising a client, and give an open and undisguised opinion of the merits and probable results of the client's cause. The lawyer should be wary of bold and confident assurances to the client, especially where the lawyer's employment may depend on such assurances. The lawyer should bear in mind that seldom are all the law and facts on the client's side, and that </w:t>
      </w:r>
      <w:r>
        <w:rPr>
          <w:rFonts w:ascii="arial" w:eastAsia="arial" w:hAnsi="arial" w:cs="arial"/>
          <w:i/>
          <w:color w:val="000000"/>
          <w:sz w:val="20"/>
          <w:lang w:val="en-US" w:eastAsia="en-US" w:bidi="ar-SA"/>
        </w:rPr>
        <w:t>audi alteram partem</w:t>
      </w:r>
      <w:r>
        <w:rPr>
          <w:rFonts w:ascii="arial" w:eastAsia="arial" w:hAnsi="arial" w:cs="arial"/>
          <w:color w:val="000000"/>
          <w:sz w:val="20"/>
          <w:lang w:val="en-US" w:eastAsia="en-US" w:bidi="ar-SA"/>
        </w:rPr>
        <w:t xml:space="preserve"> is a safe rule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Chapter 3 of the Handbook is entitled "Competence, Quality of Service and Relationship to Clients" and s. 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each area of law in which a lawyer practises, he or she must acquire and maintain adequate: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of the substantive law,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knowledge of the practice and procedures by which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substantive law can be effectively applied, and</w:t>
      </w:r>
      <w:r>
        <w:rPr>
          <w:rFonts w:ascii="arial" w:eastAsia="arial" w:hAnsi="arial" w:cs="arial"/>
          <w:sz w:val="20"/>
          <w:lang w:val="en-US" w:eastAsia="en-US" w:bidi="ar-SA"/>
        </w:rPr>
        <w:cr/>
      </w:r>
    </w:p>
    <w:p>
      <w:pPr>
        <w:numPr>
          <w:numId w:val="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skills to represent the client's interests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standard of care expected of a solicitor is, however, not limited to what is contained in the Handbook. That fact is recognized in the preamble to Chapter 1 of the Handbook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Canons of Legal Ethics are a general guide, and not a denial of the existence of other duties equally imperative and of other rights, though not specifically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Beyond the provisions of the Handbook, the standard of care expected of a solicitor has been further defined and articulated in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[1986] S.C.J. No. 52</w:t>
        </w:r>
      </w:hyperlink>
      <w:r>
        <w:rPr>
          <w:rFonts w:ascii="arial" w:eastAsia="arial" w:hAnsi="arial" w:cs="arial"/>
          <w:color w:val="000000"/>
          <w:sz w:val="20"/>
          <w:lang w:val="en-US" w:eastAsia="en-US" w:bidi="ar-SA"/>
        </w:rPr>
        <w:t xml:space="preserve"> (Q.L), Le Dain J. described the general duty of care of a solicitor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A solicitor is required to bring reasonable care, skill and knowledge to the performance of the professional service which he had undertaken...The requisite standard of care has been variously referred to as that of the reasonably competent solicitor, the ordinary competent solicitor and the ordinary prudent solicitor.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...A solicitor is not required to know all the law applicable to the performance of a particular legal service in the sense that he must carry it around with him as part of his "working knowledge", without the need of further research, but he must have a sufficient knowledge of the fundamental issues or principles of law applicable to the particular work he has undertaken to enable him to perceive the need to ascertain the law on relevant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Tiffin Holdings Ltd. v. Millican</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[1964] A.J. No. 103</w:t>
        </w:r>
      </w:hyperlink>
      <w:r>
        <w:rPr>
          <w:rFonts w:ascii="arial" w:eastAsia="arial" w:hAnsi="arial" w:cs="arial"/>
          <w:color w:val="000000"/>
          <w:sz w:val="20"/>
          <w:lang w:val="en-US" w:eastAsia="en-US" w:bidi="ar-SA"/>
        </w:rPr>
        <w:t xml:space="preserve"> (Alta. S.C.) (Q.L.), Riley J. expressed his view of the requisite standard of care expected of counsel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standard of care and skill which can be demanded from a lawyer is that of a reasonably competent and diligent solicitor.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It is not enough to prove that the lawyer has made an error of judgment or shown ignorance of some particular part of the law; it must be shown that the error or ignorance was such that an ordinarily competent lawyer would not have made or shown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this case I have not had the advantage of evidence tending to show what an ordinarily competent lawyer would have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obligations of a lawyer are, I think, the following: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skilful and careful.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interests of his client.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 on all questions of doubt which do not fall within the express or implied discretion left to him.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his client informed to such an extent as may be reasonably necessary, according to the same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trial judge's reasoning was upheld on appeal to the Supreme Court of Canada: </w:t>
      </w:r>
      <w:r>
        <w:rPr>
          <w:rFonts w:ascii="arial" w:eastAsia="arial" w:hAnsi="arial" w:cs="arial"/>
          <w:i/>
          <w:color w:val="000000"/>
          <w:sz w:val="20"/>
          <w:lang w:val="en-US" w:eastAsia="en-US" w:bidi="ar-SA"/>
        </w:rPr>
        <w:t>Millican v. Tiffin Holdings Ltd.</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[1967] S.C.R. 183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Loubardeaus v. W.</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[1984] S.J. No. 348</w:t>
        </w:r>
      </w:hyperlink>
      <w:r>
        <w:rPr>
          <w:rFonts w:ascii="arial" w:eastAsia="arial" w:hAnsi="arial" w:cs="arial"/>
          <w:color w:val="000000"/>
          <w:sz w:val="20"/>
          <w:lang w:val="en-US" w:eastAsia="en-US" w:bidi="ar-SA"/>
        </w:rPr>
        <w:t xml:space="preserve"> (Q.B.) (Q.L.), is a case that has a number of similarities to the one presently before me. It involved a vendor-financed sale of a business; the vendor retaining a lawyer to assist with the proposed sale; and the preparation by the vendor's lawyer of documents designed to protect the vendor's continuing financial interest in the assets being sold. The purchasers defaulted on their monthly payments to the plaintiffs and when the plaintiffs attempted to act on what they believed was their secured interest in the business' assets, they discovered their security interest was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plaintiffs, Mr. Loubardeaus and two companies he owned and operated, sued their legal counsel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basis of the action was that defendant lawyer had failed to provide the plaintiffs with adequate legal advice and specifically that the documents the lawyer prepared did not provide the security the plaintiff's required. In finding for the plaintiffs,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The question is whether or not the defendant failed in his duty to provide the plaintiffs Corynthian and its successor Venice with effective security to recover the purchase price of the Venice House sale on default by B.H.W. Holdings? In my opinion, on reviewing all the evidence and the submissions of counsel, I am unable to reach any other conclusion than that the defendant's documentation and advice to the plaintiffs did not meet the standard of care and skill that a reasonably competent and diligent solicitor should provide to a client who sells a business in this day and 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Specifically the security provisions designed to protect the vendor Corynthian should the purchaser default in paying the purchase price did not measure up to the standard of care the plaintiffs were entitled to expect.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Unlike the trial judge in </w:t>
      </w:r>
      <w:r>
        <w:rPr>
          <w:rFonts w:ascii="arial" w:eastAsia="arial" w:hAnsi="arial" w:cs="arial"/>
          <w:i/>
          <w:color w:val="000000"/>
          <w:sz w:val="20"/>
          <w:lang w:val="en-US" w:eastAsia="en-US" w:bidi="ar-SA"/>
        </w:rPr>
        <w:t>Tiffin</w:t>
      </w:r>
      <w:r>
        <w:rPr>
          <w:rFonts w:ascii="arial" w:eastAsia="arial" w:hAnsi="arial" w:cs="arial"/>
          <w:color w:val="000000"/>
          <w:sz w:val="20"/>
          <w:lang w:val="en-US" w:eastAsia="en-US" w:bidi="ar-SA"/>
        </w:rPr>
        <w:t>, I have evidence of what an ordinarily competent lawyer would have done in the present circumstances. At the request of counsel for Mr. Duckett, Professor Richard H. McLaren prepared an expert opinion report that has been filed in this summary trial. Professor McLaren is tenured full- time professor of law and the interim Dean at the Faculty of Law at the University of Western Ontario in London, Ontario. Professor McLaren is a well-known and respected academic and author with expertise in the area of secured commercial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Professor McLaren's report addresses two specific questions. The first question relates to the standard of care expected of a solicitor in a situation similar to the case at bar. The second question addresses whether the documents prepared by Ms. McKinnon created an enforceable security interest for Mr. Duckett. I will note at this point that Ms. McKinnon did not provide any expert evidence in response to Professor McLaren's report, and consequently the opinions contained in that report is the only evidence I have on these two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report, Professor McLaren reviews the jurisprudence relating to the standard of care expected of a solicitor, including those case authorities I have already mentioned. On the question of the standard of care to be expected of a solicitor in Ms. McKinnon's position, Professor McLaren opines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Under the British Columbia </w:t>
      </w:r>
      <w:r>
        <w:rPr>
          <w:rFonts w:ascii="arial" w:eastAsia="arial" w:hAnsi="arial" w:cs="arial"/>
          <w:i/>
          <w:color w:val="000000"/>
          <w:sz w:val="20"/>
          <w:lang w:val="en-US" w:eastAsia="en-US" w:bidi="ar-SA"/>
        </w:rPr>
        <w:t>Personal Property Security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359</w:t>
      </w:r>
      <w:r>
        <w:rPr>
          <w:rFonts w:ascii="arial" w:eastAsia="arial" w:hAnsi="arial" w:cs="arial"/>
          <w:color w:val="000000"/>
          <w:sz w:val="20"/>
          <w:lang w:val="en-US" w:eastAsia="en-US" w:bidi="ar-SA"/>
        </w:rPr>
        <w:t xml:space="preserve">, (the "PPSA"), a conditional sales agreement is now known as a purchase money security interest ("PMSI") and a chattel mortgage would be part of a general security agreement ("GSA"). Under s. 1(1) of the BC Act [PPSA], a purchase money security interest includes: </w:t>
      </w:r>
      <w:r>
        <w:rPr>
          <w:rFonts w:ascii="arial" w:eastAsia="arial" w:hAnsi="arial" w:cs="arial"/>
          <w:i/>
          <w:color w:val="000000"/>
          <w:sz w:val="20"/>
          <w:lang w:val="en-US" w:eastAsia="en-US" w:bidi="ar-SA"/>
        </w:rPr>
        <w:t>"(a) a security interest taken in collateral, other than investment property, to the extent that it secures all or part of its purchase price." "For the purpose of this definition, 'purchase price' includes credit charges and interest payable for the purchase."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A "PMSI", when registered in a timely way, is entitled to a super priority. It is therefore the best method to protect the secured creditor's interest. In my book, The 2010 Annotated British Columbia Personal Property Security Act (Toronto: Carswell, 2009), I discuss Vendor PMSIs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Vendor Purchase Money Security Interest arises where a seller, in a secured sales transaction, takes a Security Interest in Collateral sold (other than in Investment Property). The definition is sufficiently flexible to allow a seller to retain a Purchase Money Security Interest in Collateral it has sold to a Debtor and is securing payment of all or part of its purchase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prudent solicitor in a business asset sale transaction where part of the purchase price remains outstanding should use a Vendor PMSI to take security in the assets. Furthermore, the prudent solicitor should also take a separate security interest in the insurance policy itself by way of a non-PMSI security interest more in the nature of a GSA, as well as advise that the Vendor be named as a payee on the policy. These are prudent steps necessary to take in order to prevent the Vendor from having to rely on a proceeds claim in the event that the collateral is destroyed or damaged or the buyer becomes unable to pay on the covenant to repay...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When approached by a client to facilitate a sale of assets transaction, the reasonably prudent solicitor should follow certain steps. First, the solicitor should receive instructions from the client, ask questions regarding the instructions to clarity the client's wishes, and document those instructions in writing. Next, the solicitor should contemplate which documents are the most appropriate for the task at hand considering the client's specific instructions, following which the solicitor should advices the client as to the documents required, the language and form of which ought to be finalized by the solicitor.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A PMSI in equipment being sold can give rise to proceeds in the event that the collateral is destroyed as occurred here. The BC PPSA defines 'proceeds' as "identifiable or traceable personal property...derived directly or indirectly from any dealing with collateral..." and as "a right to insurance payment or any other payment as indemnity or compensation for loss of, or damage to, the collateral..." However, an interest in proceeds is extinguished when personal property is no longer identifiable or traceable...Therefore, a prudent solicitor would ensure that the security agreement grants a specific security interest in the insurance policy, and take steps to list the client as payee.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reasonably prudent solicitor would take a specific security interest in the insurance policy by appropriate language in the Agreement, and the additional step of contacting the insurance company to make sure her client was named as a payee upon the event of damage or destruction of collateral by the insured perils.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In summation, the standard of care of a reasonably prudent solicitor in an asset sale transaction where part of the purchase price is secured by the assets being sold, requires that the solicitor takes a PMSI [Purchase Money Security Interest] in the assets being sold as well as a security interest in the insurance policy. Furthermore, the solicitor should advise the Vendor be named as a payee on the policy so as to continue to protect the Vendor after the date of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Mr. Duckett retained the legal services of Ms. McKinnon, he had already agreed to sell his business to the Halls. In that regard, as I mentioned earlier, he and the Halls had, in December 2006, executed the Offer to Purchase. The Offer to Purchase included a vendor financing provision whereby $50,000 of the purchase price would be paid to Mr. Duckett pursuant to a secured promissory note in that amount, repayable in monthly instalments of $1,151.46 or more, including five percent interest compounded annually for 48 months, beginning 1 July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the Offer to Purchase in hand, Ms. McKinnon prepared the Agreement, the Promissory Note and the Financing Statement. Ms. McKinnon acknowledges that in drafting and preparing these documents, she was attempting to secure Mr. Duckett's interests in the Business' assets he was selling to the Halls.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McKinnon had few if any in-person meetings with Mr. Duckett. He delivered the Offer to Purchase to Ms. McKinnon's office, but did not speak with her at that time and most if not all of their communication was over the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no formal retainer agreement or letter of any sort from Ms. McKinnon to Mr. Duckett describing what she understood he wanted and needed her to do, nor is there any documentation explaining in any detail what she would be doing on his behalf. In my view, these omissions constitute deficiencies on the part of Ms. McKinnon as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McKinnon has argued and has attempted to explain that all Mr. Duckett wanted was a short agreement and that he appeared to her to have most aspects of the sale of the Business under control, including all matters relating to the Business' insurance. Furthermore, she attempted to explain that she went to the library and obtained a precedent agreement for the materials that she was preparing for Mr. Duckett. Given that Ms. McKinnon is acting on her own behalf in this matter, I should note that it has been challenging at times distinguishing between the evidence she has provided in the only affidavit she filed on this application and new information she has attempted to introduce during 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Duckett has asserted in his affidavit evidence that he retained the legal services of Ms. McKinnon to complete the sale of the Business and to secure the vendor-financing he was providing to the Halls. Mr. Duckett further claims he relied upon Ms. McKinnon to provide him with the services and advice of a competent legal counsel; services and advice that he required to protect his remaining interest in the business assets that he was selling to the Halls.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Duckett explained that Ms. McKinnon never discussed with him the need to have him named as a first loss payee on the Halls' business insurance policy, and maintained that if he had been so advised by her, he would have taken the appropriate steps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I have mentioned, Ms. McKinnon prepared various documents for Mr. Duckett with relation to this sale of the Business. She filed the Financing Statement with the appropriate Registry in mid-February 2007. She claims those steps were sufficient to secure Mr. Duckett's interests. She further argues that the Agreement and Promissory Note constituted the security agreement between Mr. Duckett and the Halls that allowed for the Financing Statement to be registered. Ms. McKinnon asserts that her work properly secured Mr. Duckett's interests and that he should never have abandoned his claim to a portion of the Halls' insurance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On the question of whether the documents prepared and filed by Ms. McKinnon were sufficient to create a secured interest in the assets Mr. Duckett sold to the Halls, Ms. McKinnon argues the provisions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should be interpreted broadly and liberally to ensure the full spirit of the legislation is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While the case authorities confirm that a security agreement can take a number of forms, they are equally clear that precision in identifying the items being secured is a necessity. The only evidence I have regarding the efficacy of the documents prepared by Ms. McKinnon is that of Professor McLaren. After reviewing the relevant provisions of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the professor opined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The documents prepared by the solicitor in this case did not create a security interest that is enforceable against a third party. The Agreement provides, in paragraph 4(a), for a '</w:t>
      </w:r>
      <w:r>
        <w:rPr>
          <w:rFonts w:ascii="arial" w:eastAsia="arial" w:hAnsi="arial" w:cs="arial"/>
          <w:i/>
          <w:color w:val="000000"/>
          <w:sz w:val="20"/>
          <w:lang w:val="en-US" w:eastAsia="en-US" w:bidi="ar-SA"/>
        </w:rPr>
        <w:t>right to enter the premises and to take control of the assets and the operation of the business</w:t>
      </w:r>
      <w:r>
        <w:rPr>
          <w:rFonts w:ascii="arial" w:eastAsia="arial" w:hAnsi="arial" w:cs="arial"/>
          <w:color w:val="000000"/>
          <w:sz w:val="20"/>
          <w:lang w:val="en-US" w:eastAsia="en-US" w:bidi="ar-SA"/>
        </w:rPr>
        <w:t xml:space="preserve">' upon a default of the monthly payment obligation. In effect the Agreement gives Mr. Duckett a contractual right to </w:t>
      </w:r>
      <w:r>
        <w:rPr>
          <w:rFonts w:ascii="arial" w:eastAsia="arial" w:hAnsi="arial" w:cs="arial"/>
          <w:b/>
          <w:color w:val="000000"/>
          <w:sz w:val="20"/>
          <w:lang w:val="en-US" w:eastAsia="en-US" w:bidi="ar-SA"/>
        </w:rPr>
        <w:t>enter</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control</w:t>
      </w:r>
      <w:r>
        <w:rPr>
          <w:rFonts w:ascii="arial" w:eastAsia="arial" w:hAnsi="arial" w:cs="arial"/>
          <w:color w:val="000000"/>
          <w:sz w:val="20"/>
          <w:lang w:val="en-US" w:eastAsia="en-US" w:bidi="ar-SA"/>
        </w:rPr>
        <w:t xml:space="preserve"> and </w:t>
      </w:r>
      <w:r>
        <w:rPr>
          <w:rFonts w:ascii="arial" w:eastAsia="arial" w:hAnsi="arial" w:cs="arial"/>
          <w:b/>
          <w:color w:val="000000"/>
          <w:sz w:val="20"/>
          <w:lang w:val="en-US" w:eastAsia="en-US" w:bidi="ar-SA"/>
        </w:rPr>
        <w:t>operate</w:t>
      </w:r>
      <w:r>
        <w:rPr>
          <w:rFonts w:ascii="arial" w:eastAsia="arial" w:hAnsi="arial" w:cs="arial"/>
          <w:color w:val="000000"/>
          <w:sz w:val="20"/>
          <w:lang w:val="en-US" w:eastAsia="en-US" w:bidi="ar-SA"/>
        </w:rPr>
        <w:t xml:space="preserve"> the business. Such language is not that of a security interest in the assets sold but a right to return to being the business operator. There is also no language to create a PMSI such as providing that Mr. Duckett is to retain title in the assets until the purchase price is fully paid. Paragraph 4 (b) provides that upon default all payments made by the Purchaser to the Vendor pursuant to the Promissory Note are forfeited if Mr. Duckett takes back control of the business and the assets contemplated by paragraph 4(a). This clause is in effect a forfeiture clause. The Promissory Note allows for an acceleration of the entire unpaid outstanding amount of the purchase price to be paid immediately upon default by the Purchaser. Aside from these provisions there is no other possible language that could be considered as creating a security interest by retaining title in assets sold or indicating a security interest is taken in the described collateral. Therefore, as there is no security interest in the language in the document, the Agreement does not constitute a security agreement containing a security interest as those terms are defined under the PPSA of British Columbia. [emphasis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...As a result, it is my opinion that the documents prepared by Ms. McKinnon do not provide Mr. Duckett with a security interest enforceable against a third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In conclusion, the solicitor in drafting the Agreement, did not satisfy the standard of care of a reasonably prudent solicitor in preparing a document to obtain a security interest in the collateral being sold to secure that part of the sale price reflected by the promise to pay.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The solicitor in failing to ensure that the assets sold were covered by insurance failed to adhere to the duty of a reasonably prudent solicitor to ascertain that insurance was transferred and that the Vendor was a named payee. There was a further error in not describing and taking a security interest in the insurance policy which meant that the claim, if successful at all, would only be to proceeds of secured collateral, proceeds being a limited interest in the insurance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During the course of her submissions, Ms. McKinnon criticized much of Professor McLaren's report. Her principal assertion in this regard was that the opinions expressed in the report were argument in the guise of evidence. I have examined the report and find myself in disagreement with Ms. McKinnon's position. In my view the opinions in the report are considered and objective and I find no ground to conclude that Professor McLaren improperly departed from the role of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the uncontradicted evidence of Professor McLaren on the standard of care expected of a solicitor in Ms. McKinnon's position as well as his opinion that Ms. McKinnon's work on behalf of Mr. Duckett failed to create an enforceable security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Before leaving this issue, I should address Ms. McKinnon's submission that there must have been an undisclosed "deal" or agreement relating to the insurance proceeds between the Halls and their then counsel, the Halls' insurance company, and Mr. Duckett's new counsel, that explains why Mr. Duckett's claim to a share of the proceeds was abandoned and why the Financial Statement that had been filed with the Registry was voluntarily withdrawn. Ms. McKinnon intimated during her submissions that there was a sort of conspiracy amongst those parties to "flaunt the law" and blatantly disregard the security instrument that she prepared and filed on behalf of Mr. Duckett. The gist of Ms. McKinnon's submission is that she is now being made the scapegoat for Mr. Duckett's losses. I have no evidence that supports Ms. McKinnon's submission on this point and in particular the existence of any undisclosed deal. I therefore reject the submission as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am satisfied the second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Halls have defaulted on the Promissory Note. Their last payment to Mr. Duckett was on 1 October 2007 and he has received nothing from them since that time. It would appear the Halls have disappeared and their whereabouts are unknown to Mr. Duckett.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Duckett has clearly suffered damages on account of the failed sale of the Business. The unpaid portion of the Promissory Note is $45,244.48. However, he was able to salvage some of the Business' assets to the tune of $3,835.50. Consequently, the amount owing on the Promissory Note, exclusive of interest at the contractual rate of five percent, is $41,408.98.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Duckett was also compelled to retain and pay for a second legal counsel to address the claim that he erroneously thought he had on the insurance proceeds under the Halls' insurance policy. That advice cost him $5,385. In my opinion, the damages Mr. Duckett has suffered include both the amount outstanding on the Promissory Note, including the contractual interest rate, plus the amount he paid to his second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my view, the third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met.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Were the damages caused by Ms. McKinnon's breach of her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Duckett had little to no experience in selling businesses. The sale of his business to the Halls was the first time he had embarked upon such a venture. As such, he relied upon the expertise of Ms. McKinnon to assist him in completing the sale and in securing his continued financial interest in the assets he was selling. In my opinion, Ms. McKinnon's failure to prepare a document that created a security interest in those assets and her failure to ensure Mr. Duckett had a justifiable and enforceable claim under the Halls' business insurance policy, make her responsible for the losses and damages that he has suffered. In other words, I find Mr. Duckett's damages were caused by or the result of Ms. McKinnon's negligent performance. Had she performed the duties expected of her as a reasonably prudent solicitor, she would have prepared and filed security instruments that protected Mr. Duckett in the event of the Halls' default of payment or destruction of the assets in question. Moreover she would have ensured that Mr. Duckett was a named payee on the Halls' insurance policy and held a secured interest in any insurance proceeds resulting from any claim under that policy. Ms. McKinnon failed to do any of these. In reaching my conclusion that Ms. McKinnon's work was ineffective in securing Mr. Duckett's interests, I have accepted and relied upon the evidence of Professor McLaren, the only evidence I have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my opinion, Mr. Duckett has met the fourth and final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Issue #3: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there is no formal retainer letter between the parties, I find there was a retainer between Mr. Duckett and Ms. McKinnon and as a result of that there was a contractual relationship between them. Regretfully, there is a complete lack of any documentation regarding the nature of the retainer and the fault for that must rest with the solicitor, Ms. McKinnon.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affidavit sworn 20 March 2012, Mr. Duckett asserts: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In late 2006, I retained the Defendant to deal with the Vendor Financing and to assist in finalizing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McKinnon's only evidence with respect to Mr. Duckett's assertion is found in her affidavit sworn 3 April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That I deny the statement in paragraph 4. The purchase had been arranged before Mr. Duckett contacted 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no point in her evidence does Ms. McKinnon clearly explain her understanding of her retainer with Mr. Duckett. During the course of her submission Ms. McKinnon suggested she had a "limited retainer"; however there is no evidence before me supporting that assertion. More importantly, there is no evidence explaining what is meant by the term "limited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reject Ms. McKinnon's argument that her solicitor - client relationship with Mr. Duckett was a "limited" one in any way. In my opinion the relationship was, as one would expect involving a client who is selling his business for the first time, a comprehensive one. I accept that Mr. Duckett needed and wanted Ms. McKinnon's legal services and relied upon her ability to provide him with competent legal advice about the proposed sale of his business. Moreover, Mr. Duckett justifiably expected that Ms. McKinnon would prepare and file documents that would secure his interest in the Business' assets until such time as the vendor financing that was being proposed was repaid by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agree with the argument of counsel for Mr. Duckett that Ms. McKinnon breached the retainer she had with Mr. Duckett by not preparing the usual and necessary documents to secure the Loan against the Business' assets, and by failing to advise him of the need to be named as a payee on the Halls' insurance policy. These breaches of the retainer relationship caused, in my view, the same damages as I have already addressed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respectful opinion, having considered all of the admissible evidence presented on this summary trial, the case authorities that have been provided to me, and the submissions and arguments that have been made by both sides of this dispute, I am satisfied Mr. Duckett has made out his case against Ms. McKinnon.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opinion, Ms. McKinnon failed to meet the standard expected from her in that:</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document in any meaningful way, the nature and extent of the retainer she had with Mr. Duckett.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prepare the appropriate security instruments that would create an enforceable security interest for Mr. Duckett, and in particular she failed to register a PMSI to take a security interest in the Business' assets being sold and a GSA in the Halls' business insurance policy.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failed to properly advise Mr. Duckett that he should be named as a payee on the Halls' business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the result, I find Ms. McKinnon was negligent in the performance of her duties towards Mr. Duckett. I also find she breached her contract relationship with Mr. Duckett. In this regards, I agree with following observation of Noble J. at paragraph 22 in </w:t>
      </w:r>
      <w:r>
        <w:rPr>
          <w:rFonts w:ascii="arial" w:eastAsia="arial" w:hAnsi="arial" w:cs="arial"/>
          <w:i/>
          <w:color w:val="000000"/>
          <w:sz w:val="20"/>
          <w:lang w:val="en-US" w:eastAsia="en-US" w:bidi="ar-SA"/>
        </w:rPr>
        <w:t>Loubardeaus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law that governs the professional standard of care that a lawyer owes to a client who retains him is well settled. While there has been an ongoing debate on whether an action brought by a client alleging breach of the standard of care by a lawyer is founded in contract or tort, everyone seems to agree that the standard of care is the same. Thus it makes little practical difference whether the lawyer was negligent in serving his client thus occasioning a breach of contract or that he was negligent in the tortious sense - the result will be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view, Ms. McKinnon was both negligent and in breach of her contract with Mr. Duckett, in that her work on his behalf did not meet the standard of care expected of her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further find that Mr. Duckett has suffered damages and that the damages have been caused by Ms. McKinnon.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order resulting from these reasons will include the following:</w:t>
      </w:r>
      <w:r>
        <w:rPr>
          <w:rFonts w:ascii="arial" w:eastAsia="arial" w:hAnsi="arial" w:cs="arial"/>
          <w:sz w:val="20"/>
          <w:lang w:val="en-US" w:eastAsia="en-US" w:bidi="ar-SA"/>
        </w:rPr>
        <w:cr/>
      </w:r>
    </w:p>
    <w:p>
      <w:pPr>
        <w:numPr>
          <w:numId w:val="1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McKinnon is to pay Mr. Duckett an award of damages in the amount of $46,794.92;</w:t>
      </w:r>
    </w:p>
    <w:p>
      <w:pPr>
        <w:numPr>
          <w:numId w:val="15"/>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from 1 October 2007 to today's date shall be a rate of</w:t>
      </w:r>
    </w:p>
    <w:p>
      <w:pPr>
        <w:numPr>
          <w:numId w:val="1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five (5%) percent on the outstanding amount owing on the Promissory Note of $41,408.98; and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today's date, interest shall be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Mr. Duckett has been successful on this summary trial application, he is entitled to his ordinary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097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Huang v. Stogryn, [2007] B.C.J. No. 2987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S052989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2987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1986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301 D.L.R. (4th) 506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172 A.C.W.S. (3d) 898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Wei Zhi Huang, Plaintiff, and Dr. Russell David Stogryn, Fraser Valley Health Authority, operating a public hospital under the name Peace Arch Hospital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jc w:val="both"/>
        <w:rPr>
          <w:rFonts w:ascii="arial" w:eastAsia="arial" w:hAnsi="arial" w:cs="arial"/>
          <w:sz w:val="20"/>
          <w:lang w:val="en-US" w:eastAsia="en-US" w:bidi="ar-SA"/>
        </w:rPr>
      </w:pPr>
      <w:bookmarkStart w:id="373" w:name="Counsel_48"/>
      <w:bookmarkEnd w:id="3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7"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Renaud and I.R.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Stogryn: G.P. Brown and M.G.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4" w:name="Judgment_48"/>
      <w:bookmarkEnd w:id="374"/>
      <w:r>
        <w:pict>
          <v:line id="_x0000_s1248" style="position:absolute;z-index:2517596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on Questions for Jury</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5" w:name="N.H. SMITH J. (orally)"/>
            <w:bookmarkEnd w:id="375"/>
            <w:r>
              <w:rPr>
                <w:rFonts w:ascii="arial" w:eastAsia="arial" w:hAnsi="arial" w:cs="arial"/>
                <w:b/>
                <w:color w:val="000000"/>
                <w:sz w:val="30"/>
                <w:lang w:val="en-US" w:eastAsia="en-US" w:bidi="ar-SA"/>
              </w:rPr>
              <w:t>N.H. SMITH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 have been asked to rule on the appropriate questions to be asked of a jury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Specifically the issue is whether the jury should be asked to state a basis for any conclusion that the defendant failed to meet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January 7, 2004, the plaintiff was diagnosed as having a condition called testicular torsion. That is a twist or twists in the spermatic cord that results in a loss of blood flow to the testicle. In this case, the torsion had been present for long enough that the testicular tissue had died from lack of blood and oxygen and the testicle had to be amputated.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urologist is alleged to have been negligent in failing to diagnose testicular torsion when he saw the plaintiff at Peace Arch Hospital on January 5, 2004 - about 36 hours before the torsion was diagnosed. The plaintiff was complaining at that time of severe scrotal pain. The defendant diagnosed an infection, ordered painkillers, and prescribed antibiotics. He says he considered the possibility of torsion but ruled it out based on his clinical findings including his physical examination of the plaintiff's scrotum.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common ground that torsion is a major urological emergency. If it is positively diagnosed, or if there is doubt about whether it is present or not, immediate surgery is required. Counsel have prepared a series of proposed questions which are as follows.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Dr. Stogryn, breach the standard of care expected of a reasonably competent urologist in his treatment of the plaintiff, Mr. Huang, on January 5, 2004.</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have answered yes to Question 1, in what way(s) did Dr. Stogryn's treatment of Mr. Huang breach the standard of care required of a reasonably competent urologist?</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have answered yes to Question 1, did Dr. Stogryn's breach of the standard of care cause injury to Mr. Huang?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Question 4 is a relatively standard question relating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disagreement is on Question 2 in which the jury would be asked, in effect, to state the basis on which it finds a breach of the standard of care. In arguing that such a question should be put to the jury, defence counsel relies on a statement of Sopinka J. in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at paragraph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avoid the problem encountered in this case due to the inscrutability of the jury's response to the question relating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 a precaution to test the jury's understanding of the instruction, the question to the jury with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require that the jury specify in what respects the defendant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Similar comments were made by McEachern, C.J.B.C. and Southin J.A. in </w:t>
      </w:r>
      <w:r>
        <w:rPr>
          <w:rFonts w:ascii="arial" w:eastAsia="arial" w:hAnsi="arial" w:cs="arial"/>
          <w:b/>
          <w:i/>
          <w:color w:val="000000"/>
          <w:sz w:val="20"/>
          <w:lang w:val="en-US" w:eastAsia="en-US" w:bidi="ar-SA"/>
        </w:rPr>
        <w:t>Dhaliwal v. Robertson</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1999 BCCA 309</w:t>
        </w:r>
      </w:hyperlink>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68 B.C.L.R. (3d) 33</w:t>
        </w:r>
      </w:hyperlink>
      <w:r>
        <w:rPr>
          <w:rFonts w:ascii="arial" w:eastAsia="arial" w:hAnsi="arial" w:cs="arial"/>
          <w:color w:val="000000"/>
          <w:sz w:val="20"/>
          <w:lang w:val="en-US" w:eastAsia="en-US" w:bidi="ar-SA"/>
        </w:rPr>
        <w:t xml:space="preserve">. McEachern, C.J.B.C. noted that there is a traditional question along the lines of: "Of what did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Southin J.A. repeated her views in </w:t>
      </w:r>
      <w:r>
        <w:rPr>
          <w:rFonts w:ascii="arial" w:eastAsia="arial" w:hAnsi="arial" w:cs="arial"/>
          <w:b/>
          <w:i/>
          <w:color w:val="000000"/>
          <w:sz w:val="20"/>
          <w:lang w:val="en-US" w:eastAsia="en-US" w:bidi="ar-SA"/>
        </w:rPr>
        <w:t>Melgarejo-Gomez v. Sidhu</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2002 BCCA 19</w:t>
        </w:r>
      </w:hyperlink>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97 B.C.L.R. (3d) 154</w:t>
        </w:r>
      </w:hyperlink>
      <w:r>
        <w:rPr>
          <w:rFonts w:ascii="arial" w:eastAsia="arial" w:hAnsi="arial" w:cs="arial"/>
          <w:color w:val="000000"/>
          <w:sz w:val="20"/>
          <w:lang w:val="en-US" w:eastAsia="en-US" w:bidi="ar-SA"/>
        </w:rPr>
        <w:t>. She said in concurring reasons for judgment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is a case in which had the jury been asked to give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as the jury was in </w:t>
      </w:r>
      <w:r>
        <w:rPr>
          <w:rFonts w:ascii="arial" w:eastAsia="arial" w:hAnsi="arial" w:cs="arial"/>
          <w:b/>
          <w:i/>
          <w:color w:val="000000"/>
          <w:sz w:val="20"/>
          <w:lang w:val="en-US" w:eastAsia="en-US" w:bidi="ar-SA"/>
        </w:rPr>
        <w:t>McCannell v. McLean</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[1937] S.C.R. 341</w:t>
        </w:r>
      </w:hyperlink>
      <w:r>
        <w:rPr>
          <w:rFonts w:ascii="arial" w:eastAsia="arial" w:hAnsi="arial" w:cs="arial"/>
          <w:color w:val="000000"/>
          <w:sz w:val="20"/>
          <w:lang w:val="en-US" w:eastAsia="en-US" w:bidi="ar-SA"/>
        </w:rPr>
        <w:t>, cited by Mr. Justice Braidwood, we ought to know who had the right of way.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never understood why trial judges do not insist on putting such questions, no matter what counsel want. The jury here plainly had a great deal of difficulty in arriving at a verdict for, in the end, it was 6-2. Questions would have concentrated their minds.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Those statements are of obviously high authority, but they are nevertheless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and must be considered in light of their possible application and impact in this case. </w:t>
      </w:r>
      <w:r>
        <w:rPr>
          <w:rFonts w:ascii="arial" w:eastAsia="arial" w:hAnsi="arial" w:cs="arial"/>
          <w:b/>
          <w:i/>
          <w:color w:val="000000"/>
          <w:sz w:val="20"/>
          <w:lang w:val="en-US" w:eastAsia="en-US" w:bidi="ar-SA"/>
        </w:rPr>
        <w:t>ter Neuzen</w:t>
      </w:r>
      <w:r>
        <w:rPr>
          <w:rFonts w:ascii="arial" w:eastAsia="arial" w:hAnsi="arial" w:cs="arial"/>
          <w:color w:val="000000"/>
          <w:sz w:val="20"/>
          <w:lang w:val="en-US" w:eastAsia="en-US" w:bidi="ar-SA"/>
        </w:rPr>
        <w:t xml:space="preserve"> was a medical malpractice case concerning an HIV infection acquired through artificial insemination. There were two alleged aspects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first related to the actual practice of artificial insemination and the second related to the screening and follow-up of sperm donors. In other words, the defendant was alleged to have been negligent in two separate and distinct ways. The trial judge told the jury that they could find the defendant negligent on the basis that he failed to comply with the standard medical practice at the time or, alternatively, that they could find the approved practice was itself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the Supreme Court of Canada, Sopinka J. set out the basic principle that a doctor will normally not be found negligent when he or she acts according to the recognized and respectable practice of the profession. He went on to say that in most cases the practice must be established through expert evidence. In some rare cases, the issue may be such that no medical knowledge is needed to see that the standard of practice is clearly fraught with danger and obvious reasonable alternatives exist. In such a case, the court may find that the standard practice is itself negligent. Where the evidence shows that there is no standard practice, the court may in some cases fix a standard. Sopinka J. held that on the first alleged ground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the artificial insemination procedure, all the evidence on the standard practice at the relevant time supported the defendant, and there was no evidence on which the jury could have found the defendant in breach of the standard practice. He also held that the case was not one in which it would have been open to the jury to find that the standard practice was itself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other issue of screening and follow-up, he said it would, in fact, have been open to the jury to find there was no standard practice at the relevant time and to fix an appropriate standard. There were, therefore, three possible bases on which the jury could have concluded the defendant was negligent, of which only the third was really open to the jury. The first was not supported by the evidence and the second was not open as a matter of law. The form of the questions combined with what the court found to be an erroneous instruction from the trial judge left the appellate courts unable to determine whether or not the jury had reached its conclusion on a proper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Dhaliwal</w:t>
      </w:r>
      <w:r>
        <w:rPr>
          <w:rFonts w:ascii="arial" w:eastAsia="arial" w:hAnsi="arial" w:cs="arial"/>
          <w:color w:val="000000"/>
          <w:sz w:val="20"/>
          <w:lang w:val="en-US" w:eastAsia="en-US" w:bidi="ar-SA"/>
        </w:rPr>
        <w:t xml:space="preserve"> was a motor vehicle case in which the Court of Appeal concluded there was evidence to support the jury's finding. Southin J.A. made her comments on the usefulness of juries being asked to state their basis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dissent. McEachern, C.J.B.C. agreed with her comments on this point while agreeing with Finch J.A. in the result. The issue was whether the jury verdict could be supported on the evidence and the majority found that it could. The issue was similar in </w:t>
      </w:r>
      <w:r>
        <w:rPr>
          <w:rFonts w:ascii="arial" w:eastAsia="arial" w:hAnsi="arial" w:cs="arial"/>
          <w:b/>
          <w:i/>
          <w:color w:val="000000"/>
          <w:sz w:val="20"/>
          <w:lang w:val="en-US" w:eastAsia="en-US" w:bidi="ar-SA"/>
        </w:rPr>
        <w:t>Melgarejo-Gomez</w:t>
      </w:r>
      <w:r>
        <w:rPr>
          <w:rFonts w:ascii="arial" w:eastAsia="arial" w:hAnsi="arial" w:cs="arial"/>
          <w:color w:val="000000"/>
          <w:sz w:val="20"/>
          <w:lang w:val="en-US" w:eastAsia="en-US" w:bidi="ar-SA"/>
        </w:rPr>
        <w:t xml:space="preserve"> where the court found the trial judge's instructions to have been inadequate and found that the evidence did not support the jury's verdict. In both cases, statements by the jury as to their reasons for their conclusion might have made it more obvious if the jury had based its conclusion on an erroneous or improper basis. The need to consider the verdict in light of the need to state reasons may have prevented such an error. But in neither </w:t>
      </w:r>
      <w:r>
        <w:rPr>
          <w:rFonts w:ascii="arial" w:eastAsia="arial" w:hAnsi="arial" w:cs="arial"/>
          <w:b/>
          <w:i/>
          <w:color w:val="000000"/>
          <w:sz w:val="20"/>
          <w:lang w:val="en-US" w:eastAsia="en-US" w:bidi="ar-SA"/>
        </w:rPr>
        <w:t>Dhaliwal</w:t>
      </w:r>
      <w:r>
        <w:rPr>
          <w:rFonts w:ascii="arial" w:eastAsia="arial" w:hAnsi="arial" w:cs="arial"/>
          <w:color w:val="000000"/>
          <w:sz w:val="20"/>
          <w:lang w:val="en-US" w:eastAsia="en-US" w:bidi="ar-SA"/>
        </w:rPr>
        <w:t xml:space="preserve"> nor </w:t>
      </w:r>
      <w:r>
        <w:rPr>
          <w:rFonts w:ascii="arial" w:eastAsia="arial" w:hAnsi="arial" w:cs="arial"/>
          <w:b/>
          <w:i/>
          <w:color w:val="000000"/>
          <w:sz w:val="20"/>
          <w:lang w:val="en-US" w:eastAsia="en-US" w:bidi="ar-SA"/>
        </w:rPr>
        <w:t>Melgarejo-Gomez</w:t>
      </w:r>
      <w:r>
        <w:rPr>
          <w:rFonts w:ascii="arial" w:eastAsia="arial" w:hAnsi="arial" w:cs="arial"/>
          <w:color w:val="000000"/>
          <w:sz w:val="20"/>
          <w:lang w:val="en-US" w:eastAsia="en-US" w:bidi="ar-SA"/>
        </w:rPr>
        <w:t xml:space="preserve"> did the appellate court have any difficulty in concluding whether the verdict was or was not supported by the evidence and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case is quite different. Unlike </w:t>
      </w:r>
      <w:r>
        <w:rPr>
          <w:rFonts w:ascii="arial" w:eastAsia="arial" w:hAnsi="arial" w:cs="arial"/>
          <w:b/>
          <w:i/>
          <w:color w:val="000000"/>
          <w:sz w:val="20"/>
          <w:lang w:val="en-US" w:eastAsia="en-US" w:bidi="ar-SA"/>
        </w:rPr>
        <w:t>ter Neuzen</w:t>
      </w:r>
      <w:r>
        <w:rPr>
          <w:rFonts w:ascii="arial" w:eastAsia="arial" w:hAnsi="arial" w:cs="arial"/>
          <w:color w:val="000000"/>
          <w:sz w:val="20"/>
          <w:lang w:val="en-US" w:eastAsia="en-US" w:bidi="ar-SA"/>
        </w:rPr>
        <w:t xml:space="preserve">, there is only one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is evidence of standard medical practice. Because of the degree of medical knowledge required, this is not a case where it would be open to the jury to find that the standard of practice was itself negligent and I do not intend to invite any such finding or consideration in my charge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However, unlike the </w:t>
      </w:r>
      <w:r>
        <w:rPr>
          <w:rFonts w:ascii="arial" w:eastAsia="arial" w:hAnsi="arial" w:cs="arial"/>
          <w:b/>
          <w:i/>
          <w:color w:val="000000"/>
          <w:sz w:val="20"/>
          <w:lang w:val="en-US" w:eastAsia="en-US" w:bidi="ar-SA"/>
        </w:rPr>
        <w:t>ter Neuzen</w:t>
      </w:r>
      <w:r>
        <w:rPr>
          <w:rFonts w:ascii="arial" w:eastAsia="arial" w:hAnsi="arial" w:cs="arial"/>
          <w:color w:val="000000"/>
          <w:sz w:val="20"/>
          <w:lang w:val="en-US" w:eastAsia="en-US" w:bidi="ar-SA"/>
        </w:rPr>
        <w:t xml:space="preserve"> case, there is conflicting evidence about what the standard of care was. In </w:t>
      </w:r>
      <w:r>
        <w:rPr>
          <w:rFonts w:ascii="arial" w:eastAsia="arial" w:hAnsi="arial" w:cs="arial"/>
          <w:b/>
          <w:i/>
          <w:color w:val="000000"/>
          <w:sz w:val="20"/>
          <w:lang w:val="en-US" w:eastAsia="en-US" w:bidi="ar-SA"/>
        </w:rPr>
        <w:t>ter Neuzen</w:t>
      </w:r>
      <w:r>
        <w:rPr>
          <w:rFonts w:ascii="arial" w:eastAsia="arial" w:hAnsi="arial" w:cs="arial"/>
          <w:color w:val="000000"/>
          <w:sz w:val="20"/>
          <w:lang w:val="en-US" w:eastAsia="en-US" w:bidi="ar-SA"/>
        </w:rPr>
        <w:t>, Sopinka J. said at paragraph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of course, for the jury to determine on the evidence what the standard practice is. If the evidence is conflicting on this issue, the jury will have to resolve the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Later in the same paragraph, he goes on to say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unless the nature of the issue is of a kind to bring it within the exception to the general rule, the jury should be instructed that once they have determined on the evidence what the standard is, the only remaining issue is whether the defendant conformed to the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this case, there is conflicting evidence as to the standard and the plaintiff challenges the defendant's credibility as to what he says he actually did and found. The problem with asking the jury to give a basis for its finding is that on the facts of this case it is open to the jury to agree that the defendant breached the standard of care without necessarily agreeing on a basis for that finding. There are at least two possible ways in which, on the evidence in this case, the jury could find the defendant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jury could accept the evidence of the plaintiff's expert witness which essentially is that a reasonable urologist in the position of the defendant and confronted with a patient in the plaintiff's condition would have had to immediately perform surgery. If the jury accepts that to be the standard, they would clearly have to find that the defendant failed to meet that standard because no such surgery was performed. Alternatively, the jury may accept the evidence of the defendant's expert that the standard of care would allow a urologist to exclude the diagnosis of testicular torsion purely on the basis of clinical findings. However, the jury might accept that to be the standard, but find as a matter of credibility that the defendant did not meet that standard because they simply do not believe his evidence as to the thoroughness of his examination or the definitive nature of his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If I were hearing this case without a jury, I would have to give reasons for judgment specifying whether or not I found the defendant to have been in breach of the standard and under which of those bases and upon which evidence I reached that conclusion. However, to ask a jury to state the basis of their findings in this context is to ask that they be unanimous on the reasons for those findings. I know of no authority that would permit a jury to state that some number of them found a breach of standard on one basis and some others found a breach of standard on the other basis. To ask that would come perilously close to asking the jury to reveal what went on during their deliberations, which they are not permitted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would also be contrary to what I understand to be the basic principle of jury trials. In a criminal context, at least, it is well established that the jury does not have to be unanimous in the reasons for its unanimous conclusion on the question of whether the accused is guilty or not guilty. The leading decision on that point is the Supreme Court of Canada decision in </w:t>
      </w:r>
      <w:r>
        <w:rPr>
          <w:rFonts w:ascii="arial" w:eastAsia="arial" w:hAnsi="arial" w:cs="arial"/>
          <w:b/>
          <w:i/>
          <w:color w:val="000000"/>
          <w:sz w:val="20"/>
          <w:lang w:val="en-US" w:eastAsia="en-US" w:bidi="ar-SA"/>
        </w:rPr>
        <w:t>R. v. Thatcher</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[1987] 1 S.C.R. 652</w:t>
        </w:r>
      </w:hyperlink>
      <w:r>
        <w:rPr>
          <w:rFonts w:ascii="arial" w:eastAsia="arial" w:hAnsi="arial" w:cs="arial"/>
          <w:color w:val="000000"/>
          <w:sz w:val="20"/>
          <w:lang w:val="en-US" w:eastAsia="en-US" w:bidi="ar-SA"/>
        </w:rPr>
        <w:t xml:space="preserve">. Another Supreme Court authority decision on the point is </w:t>
      </w:r>
      <w:r>
        <w:rPr>
          <w:rFonts w:ascii="arial" w:eastAsia="arial" w:hAnsi="arial" w:cs="arial"/>
          <w:b/>
          <w:i/>
          <w:color w:val="000000"/>
          <w:sz w:val="20"/>
          <w:lang w:val="en-US" w:eastAsia="en-US" w:bidi="ar-SA"/>
        </w:rPr>
        <w:t>R. v. Morin</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[1988] 2 S.C.R. 345</w:t>
        </w:r>
      </w:hyperlink>
      <w:r>
        <w:rPr>
          <w:rFonts w:ascii="arial" w:eastAsia="arial" w:hAnsi="arial" w:cs="arial"/>
          <w:color w:val="000000"/>
          <w:sz w:val="20"/>
          <w:lang w:val="en-US" w:eastAsia="en-US" w:bidi="ar-SA"/>
        </w:rPr>
        <w:t>, where Sopinka J. said at paragraph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is clear that members of the jury can arrive at their verdict by different routes and need not rely on the same facts. Indeed, the jurors need not agree on any single fact except the ultimate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That passage was cited and followed by the Court of Appeal in </w:t>
      </w:r>
      <w:r>
        <w:rPr>
          <w:rFonts w:ascii="arial" w:eastAsia="arial" w:hAnsi="arial" w:cs="arial"/>
          <w:b/>
          <w:i/>
          <w:color w:val="000000"/>
          <w:sz w:val="20"/>
          <w:lang w:val="en-US" w:eastAsia="en-US" w:bidi="ar-SA"/>
        </w:rPr>
        <w:t>R. v. G.L.M.</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1999 BCCA 467</w:t>
        </w:r>
      </w:hyperlink>
      <w:r>
        <w:rPr>
          <w:rFonts w:ascii="arial" w:eastAsia="arial" w:hAnsi="arial" w:cs="arial"/>
          <w:color w:val="000000"/>
          <w:sz w:val="20"/>
          <w:lang w:val="en-US" w:eastAsia="en-US" w:bidi="ar-SA"/>
        </w:rPr>
        <w:t>, 208 W.A.C. 102 where Southin J.A., albeit somewhat reluctantly, agreed with Ryan J.A. who said at paragraph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jury's right to arrive at a unanimous verdict for different reasons and on separate evidential grounds has been acknowledged in cases dealing with the propriety of the trial judge making inquiries of the jury as to the basis of their verdict. While the trial judge can make his or her own determination on disputed questions of fact relevant to sentence, there is generally no justification for asking the jury to answer questions on the verdict they have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know of no authority that says the rule should be different in civil jury trials. Indeed, there is some authority from the Supreme Court of Canada to the effect that jurors in civil cases should not be asked what acts or omissions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case is </w:t>
      </w:r>
      <w:r>
        <w:rPr>
          <w:rFonts w:ascii="arial" w:eastAsia="arial" w:hAnsi="arial" w:cs="arial"/>
          <w:b/>
          <w:i/>
          <w:color w:val="000000"/>
          <w:sz w:val="20"/>
          <w:lang w:val="en-US" w:eastAsia="en-US" w:bidi="ar-SA"/>
        </w:rPr>
        <w:t>Beach v. Healey</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[1943] S.C.R. 272</w:t>
        </w:r>
      </w:hyperlink>
      <w:r>
        <w:rPr>
          <w:rFonts w:ascii="arial" w:eastAsia="arial" w:hAnsi="arial" w:cs="arial"/>
          <w:color w:val="000000"/>
          <w:sz w:val="20"/>
          <w:lang w:val="en-US" w:eastAsia="en-US" w:bidi="ar-SA"/>
        </w:rPr>
        <w:t xml:space="preserve">. Although that case is a very old one and not commonly referred to, I know of no authority in which the Supreme Court of Canada has explicitly reversed its position and the case was apparently not referred to in </w:t>
      </w:r>
      <w:r>
        <w:rPr>
          <w:rFonts w:ascii="arial" w:eastAsia="arial" w:hAnsi="arial" w:cs="arial"/>
          <w:b/>
          <w:i/>
          <w:color w:val="000000"/>
          <w:sz w:val="20"/>
          <w:lang w:val="en-US" w:eastAsia="en-US" w:bidi="ar-SA"/>
        </w:rPr>
        <w:t>ter Neuzen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therefore conclude that although there may well be cases where a question such as Question 2 is appropriate, this is not one of them and the proposed Question 2 will not be put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49" style="position:absolute;z-index:2518108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Vince Estate v. Christian Reformed Seniors Housing Society, [2002] B.C.J. No. 2244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Wadhams v. Andy Estate, [2003] B.C.J. No. 2722</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Webber v. Kelowna (City), [2001] B.C.J. No. 434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Xu v. Ching, [2005] B.C.J. No. 610</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Yankson v. Canada (Attorney General), [2013] B.C.J. No. 2786</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Zhou v. Li, [2019] B.C.J. No. 414</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Ahmed v. Carrere, [2008] B.C.J. No. 1065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Allen v. Dennis P.A. Nimchuk Inc., [2016] B.C.J. No. 1065</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Bergeron v. British Columbia (Workers' Compensation Board), [2000] B.C.J. No. 2160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Biggar v. Enns, [2017] B.C.J. No. 2545</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B.M.P. Global Distribution Inc. v. Bank of Nova Scotia (c.o.b. Scotiabank), [2002] B.C.J. No. 2450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Crisafio Estate (Re), [2018] B.C.J. No. 347</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Deschamps v. Wloka, [2006] B.C.J. No. 332</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Dragica Radic Trust (Trustee of) v. 1128 Enterprises Ltd., [2019] B.C.J. No. 132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Fazeli v. British Columbia, [2009] B.C.J. No. 902</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Forliti (Guardian ad litem of) v. Woolley, [2003] B.C.J. No. 710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Franks v. Ruddiman, [2004] B.C.J. No. 1009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Griffith v. British Columbia (Crown Counsel), [2000] B.C.J. No. 2783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Halabus v. Taekema, [2007] B.C.J. No. 141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Jenkins v. Bourcier, [2003] B.C.J. No. 564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Lapointe v. John Doe, [2015] B.C.J. No. 2071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LaRoche v. HARS Systems Inc., [2001] B.C.J. No. 217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Mather v. Westfair Foods Ltd. (c.o.b. Extra Foods), [2004] B.C.J. No. 627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Mazur v. The Citadel General Assurance Company, [2005] I.L.R. para. I-4454</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Darwel, [2005] B.C.J. No. 1175</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Moore v. Zapalski, [2003] B.C.J. No. 742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Parker v. Vancouver (City), [2001] B.C.J. No. 2701</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Patenaude v. Kamloops/Thompson School District No. 73, [2003] B.C.J. No. 3114</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Powell v. Insurance Corp. of British Columbia, [2000] B.C.J. No. 12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Prowal v. Buttar, [2005] B.C.J. No. 403</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R.B.L. v. British Columbia, [2005] B.C.J. No. 2978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Bank of Canada v. Shaw, [2016] B.C.J. No. 2626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Canadian Legion, Branch No. 15 v. Burkitt, [2005] B.C.J. No. 2739</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Schray v. Jim Pattison Industries Ltd. (c.o.b. Save-On-Foods), [2006] B.C.J. No. 1696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Schwartz v. Riverside Forest Products Ltd., [2004] B.C.J. No. 2441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Sharda v. Kitimat (District), [2012] B.C.J. No. 2911</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LMS2869 v. Redekop Properties (Londsdale) Inc., [2002] B.C.J. No. 2599</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Stroszyn v. Mitsui Sumitomo Insurance Co., [2013] B.C.J. No. 1961</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Sultani v. Blenz The Canadian Coffee Co., [2005] B.C.J. No. 846</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Walsh v. North Island College, [2004] B.C.J. No. 2780</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Aarts-Chinyanta v. Harmony Premium Motors Ltd. (c.o.b. Harmony Acura), [2020] B.C.J. No. 433</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Alton v. Lower Mainland Motocross Club, [2017] B.C.J. No. 2721</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Assuman v. Kent, [2009] B.C.J. No. 2945</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Bahinipaty v. Vancouver Coastal Health Authority (c.o.b. Vancouver General Hospital), [2019] B.C.J. No. 2361</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Bay v. Woollard, [2019] B.C.J. No. 1228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Bradley v. Groves, [2009] B.C.J. No. 2814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Chong v. Lee, [2014] B.C.J. No. 2970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Derksen v. Nicholson, [2015] B.C.J. No. 1567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Duckett (c.o.b. D &amp; D Mobile Mechanical Service) v. McKinnon, [2012] B.C.J. No. 2979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Huang v. Stogryn, [2007] B.C.J. No. 2987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4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4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4"/>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8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8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9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Roman"/>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9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0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8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9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Roman"/>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8"/>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0"/>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0"/>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1AD0C1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28E8AC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8BA8D5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A478AF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11765B44"/>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1B572F6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25A28255"/>
    <w:multiLevelType w:val="multilevel"/>
    <w:tmpl w:val="00000001"/>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25BB8A5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26591B5B"/>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26658074"/>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268B3AE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28270C2C"/>
    <w:multiLevelType w:val="multilevel"/>
    <w:tmpl w:val="00000001"/>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286E7595"/>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2B30037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2C01A196"/>
    <w:multiLevelType w:val="multilevel"/>
    <w:tmpl w:val="00000001"/>
    <w:lvl w:ilvl="0">
      <w:start w:val="1"/>
      <w:numFmt w:val="decimal"/>
      <w:lvlText w:val="3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3790DE57"/>
    <w:multiLevelType w:val="multilevel"/>
    <w:tmpl w:val="0000000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37DB98D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3DC594F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43B6CFA0"/>
    <w:multiLevelType w:val="multilevel"/>
    <w:tmpl w:val="00000001"/>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4A831B0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4B6C83C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4B9DAEF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5475CD97"/>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577E6615"/>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6139FDEA"/>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662D336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675E994D"/>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6CEB014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6F4A4A1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725E7AF2"/>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82"/>
  </w:num>
  <w:num w:numId="34">
    <w:abstractNumId w:val="80"/>
  </w:num>
  <w:num w:numId="35">
    <w:abstractNumId w:val="69"/>
  </w:num>
  <w:num w:numId="36">
    <w:abstractNumId w:val="67"/>
  </w:num>
  <w:num w:numId="37">
    <w:abstractNumId w:val="65"/>
  </w:num>
  <w:num w:numId="38">
    <w:abstractNumId w:val="90"/>
  </w:num>
  <w:num w:numId="39">
    <w:abstractNumId w:val="74"/>
  </w:num>
  <w:num w:numId="40">
    <w:abstractNumId w:val="81"/>
  </w:num>
  <w:num w:numId="41">
    <w:abstractNumId w:val="92"/>
  </w:num>
  <w:num w:numId="42">
    <w:abstractNumId w:val="75"/>
  </w:num>
  <w:num w:numId="43">
    <w:abstractNumId w:val="32"/>
  </w:num>
  <w:num w:numId="44">
    <w:abstractNumId w:val="33"/>
  </w:num>
  <w:num w:numId="45">
    <w:abstractNumId w:val="34"/>
  </w:num>
  <w:num w:numId="46">
    <w:abstractNumId w:val="72"/>
  </w:num>
  <w:num w:numId="47">
    <w:abstractNumId w:val="88"/>
  </w:num>
  <w:num w:numId="48">
    <w:abstractNumId w:val="77"/>
  </w:num>
  <w:num w:numId="49">
    <w:abstractNumId w:val="86"/>
  </w:num>
  <w:num w:numId="50">
    <w:abstractNumId w:val="63"/>
  </w:num>
  <w:num w:numId="51">
    <w:abstractNumId w:val="85"/>
  </w:num>
  <w:num w:numId="52">
    <w:abstractNumId w:val="73"/>
  </w:num>
  <w:num w:numId="53">
    <w:abstractNumId w:val="78"/>
  </w:num>
  <w:num w:numId="54">
    <w:abstractNumId w:val="79"/>
  </w:num>
  <w:num w:numId="55">
    <w:abstractNumId w:val="68"/>
  </w:num>
  <w:num w:numId="56">
    <w:abstractNumId w:val="71"/>
  </w:num>
  <w:num w:numId="57">
    <w:abstractNumId w:val="70"/>
  </w:num>
  <w:num w:numId="58">
    <w:abstractNumId w:val="83"/>
  </w:num>
  <w:num w:numId="59">
    <w:abstractNumId w:val="35"/>
  </w:num>
  <w:num w:numId="60">
    <w:abstractNumId w:val="36"/>
  </w:num>
  <w:num w:numId="61">
    <w:abstractNumId w:val="37"/>
  </w:num>
  <w:num w:numId="62">
    <w:abstractNumId w:val="38"/>
  </w:num>
  <w:num w:numId="63">
    <w:abstractNumId w:val="39"/>
  </w:num>
  <w:num w:numId="64">
    <w:abstractNumId w:val="40"/>
  </w:num>
  <w:num w:numId="65">
    <w:abstractNumId w:val="41"/>
  </w:num>
  <w:num w:numId="66">
    <w:abstractNumId w:val="42"/>
  </w:num>
  <w:num w:numId="67">
    <w:abstractNumId w:val="43"/>
  </w:num>
  <w:num w:numId="68">
    <w:abstractNumId w:val="44"/>
  </w:num>
  <w:num w:numId="69">
    <w:abstractNumId w:val="45"/>
  </w:num>
  <w:num w:numId="70">
    <w:abstractNumId w:val="46"/>
  </w:num>
  <w:num w:numId="71">
    <w:abstractNumId w:val="47"/>
  </w:num>
  <w:num w:numId="72">
    <w:abstractNumId w:val="48"/>
  </w:num>
  <w:num w:numId="73">
    <w:abstractNumId w:val="49"/>
  </w:num>
  <w:num w:numId="74">
    <w:abstractNumId w:val="50"/>
  </w:num>
  <w:num w:numId="75">
    <w:abstractNumId w:val="51"/>
  </w:num>
  <w:num w:numId="76">
    <w:abstractNumId w:val="52"/>
  </w:num>
  <w:num w:numId="77">
    <w:abstractNumId w:val="53"/>
  </w:num>
  <w:num w:numId="78">
    <w:abstractNumId w:val="54"/>
  </w:num>
  <w:num w:numId="79">
    <w:abstractNumId w:val="55"/>
  </w:num>
  <w:num w:numId="80">
    <w:abstractNumId w:val="56"/>
  </w:num>
  <w:num w:numId="81">
    <w:abstractNumId w:val="57"/>
  </w:num>
  <w:num w:numId="82">
    <w:abstractNumId w:val="58"/>
  </w:num>
  <w:num w:numId="83">
    <w:abstractNumId w:val="59"/>
  </w:num>
  <w:num w:numId="84">
    <w:abstractNumId w:val="60"/>
  </w:num>
  <w:num w:numId="85">
    <w:abstractNumId w:val="61"/>
  </w:num>
  <w:num w:numId="86">
    <w:abstractNumId w:val="62"/>
  </w:num>
  <w:num w:numId="87">
    <w:abstractNumId w:val="66"/>
  </w:num>
  <w:num w:numId="88">
    <w:abstractNumId w:val="89"/>
  </w:num>
  <w:num w:numId="89">
    <w:abstractNumId w:val="84"/>
  </w:num>
  <w:num w:numId="90">
    <w:abstractNumId w:val="76"/>
  </w:num>
  <w:num w:numId="91">
    <w:abstractNumId w:val="91"/>
  </w:num>
  <w:num w:numId="92">
    <w:abstractNumId w:val="87"/>
  </w:num>
  <w:num w:numId="93">
    <w:abstractNumId w:val="6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B1-JSRM-609C-00000-00&amp;context=" TargetMode="External" /><Relationship Id="rId100" Type="http://schemas.openxmlformats.org/officeDocument/2006/relationships/hyperlink" Target="https://advance.lexis.com/api/document?collection=cases-ca&amp;id=urn:contentItem:5F7T-S7K1-JX3N-B2MD-00000-00&amp;context=" TargetMode="External" /><Relationship Id="rId101" Type="http://schemas.openxmlformats.org/officeDocument/2006/relationships/hyperlink" Target="https://advance.lexis.com/api/document?collection=cases-ca&amp;id=urn:contentItem:5F7T-S751-JX3N-B12X-00000-00&amp;context=" TargetMode="External" /><Relationship Id="rId102" Type="http://schemas.openxmlformats.org/officeDocument/2006/relationships/hyperlink" Target="https://advance.lexis.com/api/document?collection=cases-ca&amp;id=urn:contentItem:5F7T-S771-JSJC-X0H7-00000-00&amp;context=" TargetMode="External" /><Relationship Id="rId103" Type="http://schemas.openxmlformats.org/officeDocument/2006/relationships/hyperlink" Target="https://advance.lexis.com/api/document?collection=cases-ca&amp;id=urn:contentItem:5F7T-S781-F7G6-63B8-00000-00&amp;context=" TargetMode="External" /><Relationship Id="rId104" Type="http://schemas.openxmlformats.org/officeDocument/2006/relationships/hyperlink" Target="https://advance.lexis.com/api/document?collection=cases-ca&amp;id=urn:contentItem:5F7T-S7H1-JFSV-G38X-00000-00&amp;context=" TargetMode="External" /><Relationship Id="rId105" Type="http://schemas.openxmlformats.org/officeDocument/2006/relationships/hyperlink" Target="https://advance.lexis.com/api/document?collection=cases-ca&amp;id=urn:contentItem:5F7T-S7F1-JFKM-6202-00000-00&amp;context=" TargetMode="External" /><Relationship Id="rId106" Type="http://schemas.openxmlformats.org/officeDocument/2006/relationships/hyperlink" Target="https://advance.lexis.com/api/document?collection=cases-ca&amp;id=urn:contentItem:5GCC-XVB1-JGHR-M4MR-00000-00&amp;context=" TargetMode="External" /><Relationship Id="rId107" Type="http://schemas.openxmlformats.org/officeDocument/2006/relationships/hyperlink" Target="https://advance.lexis.com/api/document?collection=cases-ca&amp;id=urn:contentItem:5XCM-0RF1-JB2B-S3WC-00000-00&amp;context=" TargetMode="External" /><Relationship Id="rId108" Type="http://schemas.openxmlformats.org/officeDocument/2006/relationships/hyperlink" Target="https://advance.lexis.com/api/document?collection=cases-ca&amp;id=urn:contentItem:5F8T-N3V1-JF75-M3VS-00000-00&amp;context=" TargetMode="External" /><Relationship Id="rId109" Type="http://schemas.openxmlformats.org/officeDocument/2006/relationships/hyperlink" Target="https://advance.lexis.com/api/document?collection=cases-ca&amp;id=urn:contentItem:5F7T-S7K1-JWXF-20TC-00000-00&amp;context=" TargetMode="External" /><Relationship Id="rId11" Type="http://schemas.openxmlformats.org/officeDocument/2006/relationships/hyperlink" Target="https://advance.lexis.com/api/document?collection=cases-ca&amp;id=urn:contentItem:5F7T-S6Y1-FJDY-X23K-00000-00&amp;context=" TargetMode="External" /><Relationship Id="rId110" Type="http://schemas.openxmlformats.org/officeDocument/2006/relationships/hyperlink" Target="https://advance.lexis.com/api/document?collection=cases-ca&amp;id=urn:contentItem:5F8T-N3T1-JGHR-M1Y0-00000-00&amp;context=" TargetMode="External" /><Relationship Id="rId111" Type="http://schemas.openxmlformats.org/officeDocument/2006/relationships/hyperlink" Target="https://advance.lexis.com/api/document?collection=cases-ca&amp;id=urn:contentItem:5F8T-N3V1-JFKM-60BP-00000-00&amp;context=" TargetMode="External" /><Relationship Id="rId112" Type="http://schemas.openxmlformats.org/officeDocument/2006/relationships/header" Target="header19.xml" /><Relationship Id="rId113" Type="http://schemas.openxmlformats.org/officeDocument/2006/relationships/header" Target="header20.xml" /><Relationship Id="rId114" Type="http://schemas.openxmlformats.org/officeDocument/2006/relationships/footer" Target="footer19.xml" /><Relationship Id="rId115" Type="http://schemas.openxmlformats.org/officeDocument/2006/relationships/footer" Target="footer20.xml" /><Relationship Id="rId116" Type="http://schemas.openxmlformats.org/officeDocument/2006/relationships/header" Target="header21.xml" /><Relationship Id="rId117" Type="http://schemas.openxmlformats.org/officeDocument/2006/relationships/footer" Target="footer21.xml" /><Relationship Id="rId118" Type="http://schemas.openxmlformats.org/officeDocument/2006/relationships/hyperlink" Target="https://advance.lexis.com/api/document?collection=cases-ca&amp;id=urn:contentItem:5F7T-S7H1-JFSV-G2ST-00000-00&amp;context=" TargetMode="External" /><Relationship Id="rId119" Type="http://schemas.openxmlformats.org/officeDocument/2006/relationships/hyperlink" Target="https://advance.lexis.com/api/document?collection=cases-ca&amp;id=urn:contentItem:5F7T-S7D1-JXG3-X143-00000-00&amp;context=" TargetMode="External" /><Relationship Id="rId12" Type="http://schemas.openxmlformats.org/officeDocument/2006/relationships/header" Target="header4.xml" /><Relationship Id="rId120" Type="http://schemas.openxmlformats.org/officeDocument/2006/relationships/header" Target="header22.xml" /><Relationship Id="rId121" Type="http://schemas.openxmlformats.org/officeDocument/2006/relationships/header" Target="header23.xml" /><Relationship Id="rId122" Type="http://schemas.openxmlformats.org/officeDocument/2006/relationships/footer" Target="footer22.xml" /><Relationship Id="rId123" Type="http://schemas.openxmlformats.org/officeDocument/2006/relationships/footer" Target="footer23.xml" /><Relationship Id="rId124" Type="http://schemas.openxmlformats.org/officeDocument/2006/relationships/header" Target="header24.xml" /><Relationship Id="rId125" Type="http://schemas.openxmlformats.org/officeDocument/2006/relationships/footer" Target="footer24.xml" /><Relationship Id="rId126" Type="http://schemas.openxmlformats.org/officeDocument/2006/relationships/hyperlink" Target="https://advance.lexis.com/api/document?collection=cases-ca&amp;id=urn:contentItem:5JY7-RCM1-DXHD-G2RY-00000-00&amp;context=" TargetMode="External" /><Relationship Id="rId127" Type="http://schemas.openxmlformats.org/officeDocument/2006/relationships/hyperlink" Target="https://advance.lexis.com/api/document?collection=legislation-ca&amp;id=urn:contentItem:5VBY-2V11-FCK4-G53H-00000-00&amp;context=" TargetMode="External" /><Relationship Id="rId128" Type="http://schemas.openxmlformats.org/officeDocument/2006/relationships/hyperlink" Target="https://advance.lexis.com/api/document?collection=cases-ca&amp;id=urn:contentItem:5H54-K961-F8D9-M189-00000-00&amp;context=" TargetMode="External" /><Relationship Id="rId129" Type="http://schemas.openxmlformats.org/officeDocument/2006/relationships/hyperlink" Target="https://advance.lexis.com/api/document?collection=cases-ca&amp;id=urn:contentItem:5F7T-S7D1-JXG3-X0TH-00000-00&amp;context=" TargetMode="External" /><Relationship Id="rId13" Type="http://schemas.openxmlformats.org/officeDocument/2006/relationships/header" Target="header5.xml" /><Relationship Id="rId130" Type="http://schemas.openxmlformats.org/officeDocument/2006/relationships/hyperlink" Target="https://advance.lexis.com/api/document?collection=cases-ca&amp;id=urn:contentItem:5F7T-S7F1-JFKM-621Y-00000-00&amp;context=" TargetMode="External" /><Relationship Id="rId131" Type="http://schemas.openxmlformats.org/officeDocument/2006/relationships/hyperlink" Target="https://advance.lexis.com/api/document?collection=cases-ca&amp;id=urn:contentItem:5F7T-S7F1-DXWW-249T-00000-00&amp;context=" TargetMode="External" /><Relationship Id="rId132" Type="http://schemas.openxmlformats.org/officeDocument/2006/relationships/hyperlink" Target="https://advance.lexis.com/api/document?collection=cases-ca&amp;id=urn:contentItem:5GF9-8HG1-FCYK-20XG-00000-00&amp;context=" TargetMode="External" /><Relationship Id="rId133" Type="http://schemas.openxmlformats.org/officeDocument/2006/relationships/hyperlink" Target="https://advance.lexis.com/api/document?collection=cases-ca&amp;id=urn:contentItem:5F7T-S7N1-JC5P-G29R-00000-00&amp;context=" TargetMode="External" /><Relationship Id="rId134" Type="http://schemas.openxmlformats.org/officeDocument/2006/relationships/hyperlink" Target="https://advance.lexis.com/api/document?collection=cases-ca&amp;id=urn:contentItem:5F7T-S7K1-DY33-B1PS-00000-00&amp;context=" TargetMode="External" /><Relationship Id="rId135" Type="http://schemas.openxmlformats.org/officeDocument/2006/relationships/hyperlink" Target="https://advance.lexis.com/api/document?collection=cases-ca&amp;id=urn:contentItem:5F7T-S7H1-F4GK-M39T-00000-00&amp;context=" TargetMode="External" /><Relationship Id="rId136" Type="http://schemas.openxmlformats.org/officeDocument/2006/relationships/hyperlink" Target="https://advance.lexis.com/api/document?collection=cases-ca&amp;id=urn:contentItem:5F7T-S7M1-JFSV-G3V0-00000-00&amp;context=" TargetMode="External" /><Relationship Id="rId137" Type="http://schemas.openxmlformats.org/officeDocument/2006/relationships/hyperlink" Target="https://advance.lexis.com/api/document?collection=cases-ca&amp;id=urn:contentItem:5F7T-S7P1-JSJC-X1W8-00000-00&amp;context=" TargetMode="External" /><Relationship Id="rId138" Type="http://schemas.openxmlformats.org/officeDocument/2006/relationships/hyperlink" Target="https://advance.lexis.com/api/document?collection=cases-ca&amp;id=urn:contentItem:5F7T-S7H1-JS5Y-B33H-00000-00&amp;context=" TargetMode="External" /><Relationship Id="rId139" Type="http://schemas.openxmlformats.org/officeDocument/2006/relationships/hyperlink" Target="https://advance.lexis.com/api/document?collection=legislation-ca&amp;id=urn:contentItem:5F41-1FM1-JG59-2222-00000-00&amp;context=" TargetMode="External" /><Relationship Id="rId14" Type="http://schemas.openxmlformats.org/officeDocument/2006/relationships/footer" Target="footer4.xml" /><Relationship Id="rId140" Type="http://schemas.openxmlformats.org/officeDocument/2006/relationships/hyperlink" Target="https://advance.lexis.com/api/document?collection=cases-ca&amp;id=urn:contentItem:5F7T-S7P1-JNJT-B2GC-00000-00&amp;context=" TargetMode="External" /><Relationship Id="rId141" Type="http://schemas.openxmlformats.org/officeDocument/2006/relationships/hyperlink" Target="https://advance.lexis.com/api/document?collection=cases-ca&amp;id=urn:contentItem:5F7T-S7C1-F4NT-X32C-00000-00&amp;context=" TargetMode="External" /><Relationship Id="rId142" Type="http://schemas.openxmlformats.org/officeDocument/2006/relationships/hyperlink" Target="https://advance.lexis.com/api/document?collection=cases-ca&amp;id=urn:contentItem:5F7T-S7C1-JS0R-22J8-00000-00&amp;context=" TargetMode="External" /><Relationship Id="rId143" Type="http://schemas.openxmlformats.org/officeDocument/2006/relationships/hyperlink" Target="https://advance.lexis.com/api/document?collection=cases-ca&amp;id=urn:contentItem:5F7T-S7B1-JCJ5-2033-00000-00&amp;context=" TargetMode="External" /><Relationship Id="rId144" Type="http://schemas.openxmlformats.org/officeDocument/2006/relationships/hyperlink" Target="https://advance.lexis.com/api/document?collection=cases-ca&amp;id=urn:contentItem:5F8P-SCJ1-F60C-X37D-00000-00&amp;context=" TargetMode="External" /><Relationship Id="rId145" Type="http://schemas.openxmlformats.org/officeDocument/2006/relationships/hyperlink" Target="https://advance.lexis.com/api/document?collection=cases-ca&amp;id=urn:contentItem:5F8P-SCM1-DY33-B49S-00000-00&amp;context=" TargetMode="External" /><Relationship Id="rId146" Type="http://schemas.openxmlformats.org/officeDocument/2006/relationships/header" Target="header25.xml" /><Relationship Id="rId147" Type="http://schemas.openxmlformats.org/officeDocument/2006/relationships/header" Target="header26.xml" /><Relationship Id="rId148" Type="http://schemas.openxmlformats.org/officeDocument/2006/relationships/footer" Target="footer25.xml" /><Relationship Id="rId149" Type="http://schemas.openxmlformats.org/officeDocument/2006/relationships/footer" Target="footer26.xml" /><Relationship Id="rId15" Type="http://schemas.openxmlformats.org/officeDocument/2006/relationships/footer" Target="footer5.xml" /><Relationship Id="rId150" Type="http://schemas.openxmlformats.org/officeDocument/2006/relationships/header" Target="header27.xml" /><Relationship Id="rId151" Type="http://schemas.openxmlformats.org/officeDocument/2006/relationships/footer" Target="footer27.xml" /><Relationship Id="rId152" Type="http://schemas.openxmlformats.org/officeDocument/2006/relationships/hyperlink" Target="https://advance.lexis.com/api/document?collection=cases-ca&amp;id=urn:contentItem:5F7T-S771-JTGH-B1HK-00000-00&amp;context=" TargetMode="External" /><Relationship Id="rId153" Type="http://schemas.openxmlformats.org/officeDocument/2006/relationships/hyperlink" Target="https://advance.lexis.com/api/document?collection=cases-ca&amp;id=urn:contentItem:5F7T-S6X1-K0BB-S057-00000-00&amp;context=" TargetMode="External" /><Relationship Id="rId154" Type="http://schemas.openxmlformats.org/officeDocument/2006/relationships/hyperlink" Target="https://advance.lexis.com/api/document?collection=cases-ca&amp;id=urn:contentItem:5F2P-NNN1-JCRC-B0CN-00000-00&amp;context=" TargetMode="External" /><Relationship Id="rId155" Type="http://schemas.openxmlformats.org/officeDocument/2006/relationships/hyperlink" Target="https://advance.lexis.com/api/document?collection=cases-ca&amp;id=urn:contentItem:5F8T-N3V1-JF75-M3M8-00000-00&amp;context=" TargetMode="External" /><Relationship Id="rId156" Type="http://schemas.openxmlformats.org/officeDocument/2006/relationships/header" Target="header28.xml" /><Relationship Id="rId157" Type="http://schemas.openxmlformats.org/officeDocument/2006/relationships/header" Target="header29.xml" /><Relationship Id="rId158" Type="http://schemas.openxmlformats.org/officeDocument/2006/relationships/footer" Target="footer28.xml" /><Relationship Id="rId159" Type="http://schemas.openxmlformats.org/officeDocument/2006/relationships/footer" Target="footer29.xml" /><Relationship Id="rId16" Type="http://schemas.openxmlformats.org/officeDocument/2006/relationships/header" Target="header6.xml" /><Relationship Id="rId160" Type="http://schemas.openxmlformats.org/officeDocument/2006/relationships/header" Target="header30.xml" /><Relationship Id="rId161" Type="http://schemas.openxmlformats.org/officeDocument/2006/relationships/footer" Target="footer30.xml" /><Relationship Id="rId162" Type="http://schemas.openxmlformats.org/officeDocument/2006/relationships/hyperlink" Target="https://advance.lexis.com/api/document?collection=cases-ca&amp;id=urn:contentItem:5R6N-V6G1-FGY5-M511-00000-00&amp;context=" TargetMode="External" /><Relationship Id="rId163" Type="http://schemas.openxmlformats.org/officeDocument/2006/relationships/hyperlink" Target="https://advance.lexis.com/api/document?collection=legislation-ca&amp;id=urn:contentItem:5F41-1FH1-F361-M0FY-00000-00&amp;context=" TargetMode="External" /><Relationship Id="rId164" Type="http://schemas.openxmlformats.org/officeDocument/2006/relationships/hyperlink" Target="https://advance.lexis.com/api/document?collection=cases-ca&amp;id=urn:contentItem:5NMS-1461-JN6B-S330-00000-00&amp;context=" TargetMode="External" /><Relationship Id="rId165" Type="http://schemas.openxmlformats.org/officeDocument/2006/relationships/hyperlink" Target="https://advance.lexis.com/api/document?collection=cases-ca&amp;id=urn:contentItem:5F7T-S7K1-JKHB-6307-00000-00&amp;context=" TargetMode="External" /><Relationship Id="rId166" Type="http://schemas.openxmlformats.org/officeDocument/2006/relationships/hyperlink" Target="https://advance.lexis.com/api/document?collection=cases-ca&amp;id=urn:contentItem:5F7T-S7C1-FGRY-B081-00000-00&amp;context=" TargetMode="External" /><Relationship Id="rId167" Type="http://schemas.openxmlformats.org/officeDocument/2006/relationships/hyperlink" Target="https://advance.lexis.com/api/document?collection=cases-ca&amp;id=urn:contentItem:5F7T-S781-FH4C-X2V6-00000-00&amp;context=" TargetMode="External" /><Relationship Id="rId168" Type="http://schemas.openxmlformats.org/officeDocument/2006/relationships/hyperlink" Target="https://advance.lexis.com/api/document?collection=cases-ca&amp;id=urn:contentItem:5F7T-S7B1-F7ND-G4YG-00000-00&amp;context=" TargetMode="External" /><Relationship Id="rId169" Type="http://schemas.openxmlformats.org/officeDocument/2006/relationships/hyperlink" Target="https://advance.lexis.com/api/document?collection=cases-ca&amp;id=urn:contentItem:5F7T-S7G1-JPP5-21NY-00000-00&amp;context=" TargetMode="External" /><Relationship Id="rId17" Type="http://schemas.openxmlformats.org/officeDocument/2006/relationships/footer" Target="footer6.xml" /><Relationship Id="rId170" Type="http://schemas.openxmlformats.org/officeDocument/2006/relationships/hyperlink" Target="https://advance.lexis.com/api/document?collection=cases-ca&amp;id=urn:contentItem:5F7T-S7K1-F528-G33V-00000-00&amp;context=" TargetMode="External" /><Relationship Id="rId171" Type="http://schemas.openxmlformats.org/officeDocument/2006/relationships/hyperlink" Target="https://advance.lexis.com/api/document?collection=cases-ca&amp;id=urn:contentItem:5F7T-S721-F5T5-M2C1-00000-00&amp;context=" TargetMode="External" /><Relationship Id="rId172" Type="http://schemas.openxmlformats.org/officeDocument/2006/relationships/hyperlink" Target="https://advance.lexis.com/api/document?collection=cases-ca&amp;id=urn:contentItem:5F7T-S731-DY33-B0W2-00000-00&amp;context=" TargetMode="External" /><Relationship Id="rId173" Type="http://schemas.openxmlformats.org/officeDocument/2006/relationships/hyperlink" Target="https://advance.lexis.com/api/document?collection=cases-ca&amp;id=urn:contentItem:5GCC-XVB1-FK0M-S51X-00000-00&amp;context=" TargetMode="External" /><Relationship Id="rId174" Type="http://schemas.openxmlformats.org/officeDocument/2006/relationships/hyperlink" Target="https://advance.lexis.com/api/document?collection=cases-ca&amp;id=urn:contentItem:5F7T-S7K1-JKHB-62YV-00000-00&amp;context=" TargetMode="External" /><Relationship Id="rId175" Type="http://schemas.openxmlformats.org/officeDocument/2006/relationships/hyperlink" Target="https://advance.lexis.com/api/document?collection=cases-ca&amp;id=urn:contentItem:5F7T-S741-F1H1-21CC-00000-00&amp;context=" TargetMode="External" /><Relationship Id="rId176" Type="http://schemas.openxmlformats.org/officeDocument/2006/relationships/hyperlink" Target="https://advance.lexis.com/api/document?collection=cases-ca&amp;id=urn:contentItem:5F7T-S7D1-FFFC-B1JM-00000-00&amp;context=" TargetMode="External" /><Relationship Id="rId177" Type="http://schemas.openxmlformats.org/officeDocument/2006/relationships/hyperlink" Target="https://advance.lexis.com/api/document?collection=cases-ca&amp;id=urn:contentItem:5F7T-S7K1-F1H1-220N-00000-00&amp;context=" TargetMode="External" /><Relationship Id="rId178" Type="http://schemas.openxmlformats.org/officeDocument/2006/relationships/header" Target="header31.xml" /><Relationship Id="rId179" Type="http://schemas.openxmlformats.org/officeDocument/2006/relationships/header" Target="header32.xml" /><Relationship Id="rId18" Type="http://schemas.openxmlformats.org/officeDocument/2006/relationships/hyperlink" Target="https://advance.lexis.com/api/document?collection=cases-ca&amp;id=urn:contentItem:5F7T-S7C1-JSRM-60ST-00000-00&amp;context=" TargetMode="External" /><Relationship Id="rId180" Type="http://schemas.openxmlformats.org/officeDocument/2006/relationships/footer" Target="footer31.xml" /><Relationship Id="rId181" Type="http://schemas.openxmlformats.org/officeDocument/2006/relationships/footer" Target="footer32.xml" /><Relationship Id="rId182" Type="http://schemas.openxmlformats.org/officeDocument/2006/relationships/header" Target="header33.xml" /><Relationship Id="rId183" Type="http://schemas.openxmlformats.org/officeDocument/2006/relationships/footer" Target="footer33.xml" /><Relationship Id="rId184" Type="http://schemas.openxmlformats.org/officeDocument/2006/relationships/hyperlink" Target="https://advance.lexis.com/api/document?collection=cases-ca&amp;id=urn:contentItem:5F7T-S7B1-JSRM-60JX-00000-00&amp;context=" TargetMode="External" /><Relationship Id="rId185" Type="http://schemas.openxmlformats.org/officeDocument/2006/relationships/hyperlink" Target="https://advance.lexis.com/api/document?collection=cases-ca&amp;id=urn:contentItem:5F7T-S781-JC5P-G1HX-00000-00&amp;context=" TargetMode="External" /><Relationship Id="rId186" Type="http://schemas.openxmlformats.org/officeDocument/2006/relationships/hyperlink" Target="https://advance.lexis.com/api/document?collection=cases-ca&amp;id=urn:contentItem:5F8P-T8W1-FC1F-M3BF-00000-00&amp;context=" TargetMode="External" /><Relationship Id="rId187" Type="http://schemas.openxmlformats.org/officeDocument/2006/relationships/hyperlink" Target="https://advance.lexis.com/api/document?collection=cases-ca&amp;id=urn:contentItem:5F7T-S711-JNY7-X378-00000-00&amp;context=" TargetMode="External" /><Relationship Id="rId188" Type="http://schemas.openxmlformats.org/officeDocument/2006/relationships/hyperlink" Target="https://advance.lexis.com/api/document?collection=cases-ca&amp;id=urn:contentItem:5F8P-SCJ1-F60C-X3DC-00000-00&amp;context=" TargetMode="External" /><Relationship Id="rId189" Type="http://schemas.openxmlformats.org/officeDocument/2006/relationships/header" Target="header34.xml" /><Relationship Id="rId19" Type="http://schemas.openxmlformats.org/officeDocument/2006/relationships/hyperlink" Target="https://advance.lexis.com/api/document?collection=legislation-ca&amp;id=urn:contentItem:5VYK-47V1-JJSF-24KK-00000-00&amp;context=" TargetMode="External" /><Relationship Id="rId190" Type="http://schemas.openxmlformats.org/officeDocument/2006/relationships/header" Target="header35.xml" /><Relationship Id="rId191" Type="http://schemas.openxmlformats.org/officeDocument/2006/relationships/footer" Target="footer34.xml" /><Relationship Id="rId192" Type="http://schemas.openxmlformats.org/officeDocument/2006/relationships/footer" Target="footer35.xml" /><Relationship Id="rId193" Type="http://schemas.openxmlformats.org/officeDocument/2006/relationships/header" Target="header36.xml" /><Relationship Id="rId194" Type="http://schemas.openxmlformats.org/officeDocument/2006/relationships/footer" Target="footer36.xml" /><Relationship Id="rId195" Type="http://schemas.openxmlformats.org/officeDocument/2006/relationships/hyperlink" Target="https://advance.lexis.com/api/document?collection=cases-ca&amp;id=urn:contentItem:5RTH-41C1-FG68-G0PV-00000-00&amp;context=" TargetMode="External" /><Relationship Id="rId196" Type="http://schemas.openxmlformats.org/officeDocument/2006/relationships/hyperlink" Target="https://advance.lexis.com/api/document?collection=legislation-ca&amp;id=urn:contentItem:5F41-1FK1-JSJC-X1CP-00000-00&amp;context=" TargetMode="External" /><Relationship Id="rId197" Type="http://schemas.openxmlformats.org/officeDocument/2006/relationships/hyperlink" Target="https://advance.lexis.com/api/document?collection=cases-ca&amp;id=urn:contentItem:5F7T-S731-JC0G-63HG-00000-00&amp;context=" TargetMode="External" /><Relationship Id="rId198" Type="http://schemas.openxmlformats.org/officeDocument/2006/relationships/hyperlink" Target="https://advance.lexis.com/api/document?collection=cases-ca&amp;id=urn:contentItem:5F7T-S7M1-F4W2-62JS-00000-00&amp;context=" TargetMode="External" /><Relationship Id="rId199" Type="http://schemas.openxmlformats.org/officeDocument/2006/relationships/hyperlink" Target="https://advance.lexis.com/api/document?collection=cases-ca&amp;id=urn:contentItem:5F7T-S7M1-JPP5-22RG-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legislation-ca&amp;id=urn:contentItem:5F41-1FG1-FC1F-M0TW-00000-00&amp;context=" TargetMode="External" /><Relationship Id="rId200" Type="http://schemas.openxmlformats.org/officeDocument/2006/relationships/hyperlink" Target="https://advance.lexis.com/api/document?collection=cases-ca&amp;id=urn:contentItem:5F7T-S711-F4W2-61F5-00000-00&amp;context=" TargetMode="External" /><Relationship Id="rId201" Type="http://schemas.openxmlformats.org/officeDocument/2006/relationships/hyperlink" Target="https://advance.lexis.com/api/document?collection=cases-ca&amp;id=urn:contentItem:5F7T-S791-FJTD-G2GJ-00000-00&amp;context=" TargetMode="External" /><Relationship Id="rId202" Type="http://schemas.openxmlformats.org/officeDocument/2006/relationships/hyperlink" Target="https://advance.lexis.com/api/document?collection=cases-ca&amp;id=urn:contentItem:5JB6-03F1-JN6B-S4X6-00000-00&amp;context=" TargetMode="External" /><Relationship Id="rId203" Type="http://schemas.openxmlformats.org/officeDocument/2006/relationships/header" Target="header37.xml" /><Relationship Id="rId204" Type="http://schemas.openxmlformats.org/officeDocument/2006/relationships/header" Target="header38.xml" /><Relationship Id="rId205" Type="http://schemas.openxmlformats.org/officeDocument/2006/relationships/footer" Target="footer37.xml" /><Relationship Id="rId206" Type="http://schemas.openxmlformats.org/officeDocument/2006/relationships/footer" Target="footer38.xml" /><Relationship Id="rId207" Type="http://schemas.openxmlformats.org/officeDocument/2006/relationships/header" Target="header39.xml" /><Relationship Id="rId208" Type="http://schemas.openxmlformats.org/officeDocument/2006/relationships/footer" Target="footer39.xml" /><Relationship Id="rId209" Type="http://schemas.openxmlformats.org/officeDocument/2006/relationships/hyperlink" Target="https://advance.lexis.com/api/document?collection=cases-ca&amp;id=urn:contentItem:5F7T-S7F1-DXWW-23FT-00000-00&amp;context=" TargetMode="External" /><Relationship Id="rId21" Type="http://schemas.openxmlformats.org/officeDocument/2006/relationships/hyperlink" Target="https://advance.lexis.com/api/document?collection=cases-ca&amp;id=urn:contentItem:5F7T-S6S1-F60C-X0S1-00000-00&amp;context=" TargetMode="External" /><Relationship Id="rId210" Type="http://schemas.openxmlformats.org/officeDocument/2006/relationships/hyperlink" Target="https://advance.lexis.com/api/document?collection=cases-ca&amp;id=urn:contentItem:5F7T-S6W1-JB7K-21FR-00000-00&amp;context=" TargetMode="External" /><Relationship Id="rId211" Type="http://schemas.openxmlformats.org/officeDocument/2006/relationships/hyperlink" Target="https://advance.lexis.com/api/document?collection=cases-ca&amp;id=urn:contentItem:5F7T-S7D1-F7ND-G0FM-00000-00&amp;context=" TargetMode="External" /><Relationship Id="rId212" Type="http://schemas.openxmlformats.org/officeDocument/2006/relationships/hyperlink" Target="https://advance.lexis.com/api/document?collection=cases-ca&amp;id=urn:contentItem:5F7T-S6X1-FBN1-20T9-00000-00&amp;context=" TargetMode="External" /><Relationship Id="rId213" Type="http://schemas.openxmlformats.org/officeDocument/2006/relationships/hyperlink" Target="https://advance.lexis.com/api/document?collection=cases-ca&amp;id=urn:contentItem:5F7T-S781-F7G6-63JN-00000-00&amp;context=" TargetMode="External" /><Relationship Id="rId214" Type="http://schemas.openxmlformats.org/officeDocument/2006/relationships/hyperlink" Target="https://advance.lexis.com/api/document?collection=cases-ca&amp;id=urn:contentItem:5F7T-S741-F528-G21K-00000-00&amp;context=" TargetMode="External" /><Relationship Id="rId215" Type="http://schemas.openxmlformats.org/officeDocument/2006/relationships/hyperlink" Target="https://advance.lexis.com/api/document?collection=cases-ca&amp;id=urn:contentItem:5F7T-S6V1-JFKM-6137-00000-00&amp;context=" TargetMode="External" /><Relationship Id="rId216" Type="http://schemas.openxmlformats.org/officeDocument/2006/relationships/hyperlink" Target="https://advance.lexis.com/api/document?collection=cases-ca&amp;id=urn:contentItem:5F7T-S721-JSC5-M3RT-00000-00&amp;context=" TargetMode="External" /><Relationship Id="rId217" Type="http://schemas.openxmlformats.org/officeDocument/2006/relationships/hyperlink" Target="https://advance.lexis.com/api/document?collection=cases-ca&amp;id=urn:contentItem:5F8T-N3T1-JJSF-233X-00000-00&amp;context=" TargetMode="External" /><Relationship Id="rId218" Type="http://schemas.openxmlformats.org/officeDocument/2006/relationships/hyperlink" Target="https://advance.lexis.com/api/document?collection=cases-ca&amp;id=urn:contentItem:5F7T-S721-F956-S1M7-00000-00&amp;context=" TargetMode="External" /><Relationship Id="rId219" Type="http://schemas.openxmlformats.org/officeDocument/2006/relationships/hyperlink" Target="https://advance.lexis.com/api/document?collection=cases-ca&amp;id=urn:contentItem:5F7T-S751-JCJ5-246C-00000-00&amp;context=" TargetMode="External" /><Relationship Id="rId22" Type="http://schemas.openxmlformats.org/officeDocument/2006/relationships/hyperlink" Target="https://advance.lexis.com/api/document?collection=cases-ca&amp;id=urn:contentItem:5F7T-S711-JNY7-X3CX-00000-00&amp;context=" TargetMode="External" /><Relationship Id="rId220" Type="http://schemas.openxmlformats.org/officeDocument/2006/relationships/hyperlink" Target="https://advance.lexis.com/api/document?collection=cases-ca&amp;id=urn:contentItem:5F7T-S711-F4W2-61WF-00000-00&amp;context=" TargetMode="External" /><Relationship Id="rId221" Type="http://schemas.openxmlformats.org/officeDocument/2006/relationships/header" Target="header40.xml" /><Relationship Id="rId222" Type="http://schemas.openxmlformats.org/officeDocument/2006/relationships/header" Target="header41.xml" /><Relationship Id="rId223" Type="http://schemas.openxmlformats.org/officeDocument/2006/relationships/footer" Target="footer40.xml" /><Relationship Id="rId224" Type="http://schemas.openxmlformats.org/officeDocument/2006/relationships/footer" Target="footer41.xml" /><Relationship Id="rId225" Type="http://schemas.openxmlformats.org/officeDocument/2006/relationships/header" Target="header42.xml" /><Relationship Id="rId226" Type="http://schemas.openxmlformats.org/officeDocument/2006/relationships/footer" Target="footer42.xml" /><Relationship Id="rId227" Type="http://schemas.openxmlformats.org/officeDocument/2006/relationships/hyperlink" Target="https://advance.lexis.com/api/document?collection=cases-ca&amp;id=urn:contentItem:5VC5-BS51-JTGH-B0SM-00000-00&amp;context=" TargetMode="External" /><Relationship Id="rId228" Type="http://schemas.openxmlformats.org/officeDocument/2006/relationships/hyperlink" Target="https://advance.lexis.com/api/document?collection=legislation-ca&amp;id=urn:contentItem:5SJD-S8M1-DXPM-S3CR-00000-00&amp;context=" TargetMode="External" /><Relationship Id="rId229" Type="http://schemas.openxmlformats.org/officeDocument/2006/relationships/hyperlink" Target="https://advance.lexis.com/api/document?collection=cases-ca&amp;id=urn:contentItem:5F7T-S7N1-JGHR-M38N-00000-00&amp;context=" TargetMode="External" /><Relationship Id="rId23" Type="http://schemas.openxmlformats.org/officeDocument/2006/relationships/hyperlink" Target="https://advance.lexis.com/api/document?collection=cases-ca&amp;id=urn:contentItem:5F7T-S751-JP4G-6127-00000-00&amp;context=" TargetMode="External" /><Relationship Id="rId230" Type="http://schemas.openxmlformats.org/officeDocument/2006/relationships/hyperlink" Target="https://advance.lexis.com/api/document?collection=cases-ca&amp;id=urn:contentItem:5F7T-S7D1-FFFC-B1DT-00000-00&amp;context=" TargetMode="External" /><Relationship Id="rId231" Type="http://schemas.openxmlformats.org/officeDocument/2006/relationships/hyperlink" Target="https://advance.lexis.com/api/document?collection=cases-ca&amp;id=urn:contentItem:5F7T-S7F1-FJTD-G3D8-00000-00&amp;context=" TargetMode="External" /><Relationship Id="rId232" Type="http://schemas.openxmlformats.org/officeDocument/2006/relationships/hyperlink" Target="https://advance.lexis.com/api/document?collection=cases-ca&amp;id=urn:contentItem:5F7T-S7H1-F4GK-M2W6-00000-00&amp;context=" TargetMode="External" /><Relationship Id="rId233" Type="http://schemas.openxmlformats.org/officeDocument/2006/relationships/hyperlink" Target="https://advance.lexis.com/api/document?collection=cases-ca&amp;id=urn:contentItem:5F7T-S721-F5T5-M29R-00000-00&amp;context=" TargetMode="External" /><Relationship Id="rId234" Type="http://schemas.openxmlformats.org/officeDocument/2006/relationships/hyperlink" Target="https://advance.lexis.com/api/document?collection=cases-ca&amp;id=urn:contentItem:5F7T-S7D1-FBFS-S1VC-00000-00&amp;context=" TargetMode="External" /><Relationship Id="rId235" Type="http://schemas.openxmlformats.org/officeDocument/2006/relationships/hyperlink" Target="https://advance.lexis.com/api/document?collection=cases-ca&amp;id=urn:contentItem:5F7T-S7C1-JS0R-226T-00000-00&amp;context=" TargetMode="External" /><Relationship Id="rId236" Type="http://schemas.openxmlformats.org/officeDocument/2006/relationships/hyperlink" Target="https://advance.lexis.com/api/document?collection=cases-ca&amp;id=urn:contentItem:5F81-VJT1-JK4W-M46X-00000-00&amp;context=" TargetMode="External" /><Relationship Id="rId237" Type="http://schemas.openxmlformats.org/officeDocument/2006/relationships/hyperlink" Target="https://advance.lexis.com/api/document?collection=cases-ca&amp;id=urn:contentItem:5F7T-S761-JGHR-M2GR-00000-00&amp;context=" TargetMode="External" /><Relationship Id="rId238" Type="http://schemas.openxmlformats.org/officeDocument/2006/relationships/hyperlink" Target="https://advance.lexis.com/api/document?collection=cases-ca&amp;id=urn:contentItem:5F7T-S741-F2F4-G22V-00000-00&amp;context=" TargetMode="External" /><Relationship Id="rId239" Type="http://schemas.openxmlformats.org/officeDocument/2006/relationships/hyperlink" Target="https://advance.lexis.com/api/document?collection=cases-ca&amp;id=urn:contentItem:5F7T-S721-JSC5-M398-00000-00&amp;context=" TargetMode="External" /><Relationship Id="rId24" Type="http://schemas.openxmlformats.org/officeDocument/2006/relationships/hyperlink" Target="https://advance.lexis.com/api/document?collection=cases-ca&amp;id=urn:contentItem:5F7F-5RH1-JTGH-B0GC-00000-00&amp;context=" TargetMode="External" /><Relationship Id="rId240" Type="http://schemas.openxmlformats.org/officeDocument/2006/relationships/hyperlink" Target="https://advance.lexis.com/api/document?collection=cases-ca&amp;id=urn:contentItem:5F7T-S7P1-F2TK-23MT-00000-00&amp;context=" TargetMode="External" /><Relationship Id="rId241" Type="http://schemas.openxmlformats.org/officeDocument/2006/relationships/hyperlink" Target="https://advance.lexis.com/api/document?collection=cases-ca&amp;id=urn:contentItem:5F8N-K711-JJ6S-61W9-00000-00&amp;context=" TargetMode="External" /><Relationship Id="rId242" Type="http://schemas.openxmlformats.org/officeDocument/2006/relationships/hyperlink" Target="https://advance.lexis.com/api/document?collection=cases-ca&amp;id=urn:contentItem:5F7T-S701-JBT7-X2FG-00000-00&amp;context=" TargetMode="External" /><Relationship Id="rId243" Type="http://schemas.openxmlformats.org/officeDocument/2006/relationships/header" Target="header43.xml" /><Relationship Id="rId244" Type="http://schemas.openxmlformats.org/officeDocument/2006/relationships/header" Target="header44.xml" /><Relationship Id="rId245" Type="http://schemas.openxmlformats.org/officeDocument/2006/relationships/footer" Target="footer43.xml" /><Relationship Id="rId246" Type="http://schemas.openxmlformats.org/officeDocument/2006/relationships/footer" Target="footer44.xml" /><Relationship Id="rId247" Type="http://schemas.openxmlformats.org/officeDocument/2006/relationships/header" Target="header45.xml" /><Relationship Id="rId248" Type="http://schemas.openxmlformats.org/officeDocument/2006/relationships/footer" Target="footer45.xml" /><Relationship Id="rId249" Type="http://schemas.openxmlformats.org/officeDocument/2006/relationships/hyperlink" Target="https://advance.lexis.com/api/document?collection=cases-ca&amp;id=urn:contentItem:5F7T-S7J1-JNS1-M28C-00000-00&amp;context=" TargetMode="External" /><Relationship Id="rId25" Type="http://schemas.openxmlformats.org/officeDocument/2006/relationships/hyperlink" Target="https://advance.lexis.com/api/document?collection=cases-ca&amp;id=urn:contentItem:5F8W-M491-K0HK-24F6-00000-00&amp;context=" TargetMode="External" /><Relationship Id="rId250" Type="http://schemas.openxmlformats.org/officeDocument/2006/relationships/hyperlink" Target="https://advance.lexis.com/api/document?collection=cases-ca&amp;id=urn:contentItem:5F81-YGH1-F1P7-B2X7-00000-00&amp;context=" TargetMode="External" /><Relationship Id="rId251" Type="http://schemas.openxmlformats.org/officeDocument/2006/relationships/hyperlink" Target="https://advance.lexis.com/api/document?collection=cases-ca&amp;id=urn:contentItem:5F7T-S721-JSC5-M3N7-00000-00&amp;context=" TargetMode="External" /><Relationship Id="rId252" Type="http://schemas.openxmlformats.org/officeDocument/2006/relationships/header" Target="header46.xml" /><Relationship Id="rId253" Type="http://schemas.openxmlformats.org/officeDocument/2006/relationships/header" Target="header47.xml" /><Relationship Id="rId254" Type="http://schemas.openxmlformats.org/officeDocument/2006/relationships/footer" Target="footer46.xml" /><Relationship Id="rId255" Type="http://schemas.openxmlformats.org/officeDocument/2006/relationships/footer" Target="footer47.xml" /><Relationship Id="rId256" Type="http://schemas.openxmlformats.org/officeDocument/2006/relationships/header" Target="header48.xml" /><Relationship Id="rId257" Type="http://schemas.openxmlformats.org/officeDocument/2006/relationships/footer" Target="footer48.xml" /><Relationship Id="rId258" Type="http://schemas.openxmlformats.org/officeDocument/2006/relationships/hyperlink" Target="https://advance.lexis.com/api/document?collection=cases-ca&amp;id=urn:contentItem:5F7T-S7C1-FCSB-S2DY-00000-00&amp;context=" TargetMode="External" /><Relationship Id="rId259" Type="http://schemas.openxmlformats.org/officeDocument/2006/relationships/hyperlink" Target="https://advance.lexis.com/api/document?collection=cases-ca&amp;id=urn:contentItem:5F7T-S791-FJTD-G2WC-00000-00&amp;context=" TargetMode="External" /><Relationship Id="rId26" Type="http://schemas.openxmlformats.org/officeDocument/2006/relationships/header" Target="header7.xml" /><Relationship Id="rId260" Type="http://schemas.openxmlformats.org/officeDocument/2006/relationships/hyperlink" Target="https://advance.lexis.com/api/document?collection=cases-ca&amp;id=urn:contentItem:5F7T-S711-JB2B-S120-00000-00&amp;context=" TargetMode="External" /><Relationship Id="rId261" Type="http://schemas.openxmlformats.org/officeDocument/2006/relationships/header" Target="header49.xml" /><Relationship Id="rId262" Type="http://schemas.openxmlformats.org/officeDocument/2006/relationships/header" Target="header50.xml" /><Relationship Id="rId263" Type="http://schemas.openxmlformats.org/officeDocument/2006/relationships/footer" Target="footer49.xml" /><Relationship Id="rId264" Type="http://schemas.openxmlformats.org/officeDocument/2006/relationships/footer" Target="footer50.xml" /><Relationship Id="rId265" Type="http://schemas.openxmlformats.org/officeDocument/2006/relationships/header" Target="header51.xml" /><Relationship Id="rId266" Type="http://schemas.openxmlformats.org/officeDocument/2006/relationships/footer" Target="footer51.xml" /><Relationship Id="rId267" Type="http://schemas.openxmlformats.org/officeDocument/2006/relationships/hyperlink" Target="https://advance.lexis.com/api/document?collection=cases-ca&amp;id=urn:contentItem:5F7T-S7C1-F4NT-X3M0-00000-00&amp;context=" TargetMode="External" /><Relationship Id="rId268" Type="http://schemas.openxmlformats.org/officeDocument/2006/relationships/hyperlink" Target="https://advance.lexis.com/api/document?collection=legislation-ca&amp;id=urn:contentItem:5F41-1FH1-JT42-S174-00000-00&amp;context=" TargetMode="External" /><Relationship Id="rId269" Type="http://schemas.openxmlformats.org/officeDocument/2006/relationships/hyperlink" Target="https://advance.lexis.com/api/document?collection=cases-ca&amp;id=urn:contentItem:5F7T-S721-F4NT-X2DF-00000-00&amp;context=" TargetMode="External" /><Relationship Id="rId27" Type="http://schemas.openxmlformats.org/officeDocument/2006/relationships/header" Target="header8.xml" /><Relationship Id="rId270" Type="http://schemas.openxmlformats.org/officeDocument/2006/relationships/header" Target="header52.xml" /><Relationship Id="rId271" Type="http://schemas.openxmlformats.org/officeDocument/2006/relationships/header" Target="header53.xml" /><Relationship Id="rId272" Type="http://schemas.openxmlformats.org/officeDocument/2006/relationships/footer" Target="footer52.xml" /><Relationship Id="rId273" Type="http://schemas.openxmlformats.org/officeDocument/2006/relationships/footer" Target="footer53.xml" /><Relationship Id="rId274" Type="http://schemas.openxmlformats.org/officeDocument/2006/relationships/header" Target="header54.xml" /><Relationship Id="rId275" Type="http://schemas.openxmlformats.org/officeDocument/2006/relationships/footer" Target="footer54.xml" /><Relationship Id="rId276" Type="http://schemas.openxmlformats.org/officeDocument/2006/relationships/hyperlink" Target="https://advance.lexis.com/api/document?collection=cases-ca&amp;id=urn:contentItem:5F7T-S751-FJDY-X3K7-00000-00&amp;context=" TargetMode="External" /><Relationship Id="rId277" Type="http://schemas.openxmlformats.org/officeDocument/2006/relationships/hyperlink" Target="https://advance.lexis.com/api/document?collection=legislation-ca&amp;id=urn:contentItem:5F41-1FM1-JG59-21YJ-00000-00&amp;context=" TargetMode="External" /><Relationship Id="rId278" Type="http://schemas.openxmlformats.org/officeDocument/2006/relationships/hyperlink" Target="https://advance.lexis.com/api/document?collection=legislation-ca&amp;id=urn:contentItem:5F41-1FM1-JG59-220D-00000-00&amp;context=" TargetMode="External" /><Relationship Id="rId279" Type="http://schemas.openxmlformats.org/officeDocument/2006/relationships/hyperlink" Target="https://advance.lexis.com/api/document?collection=cases-ca&amp;id=urn:contentItem:5F8T-N3T1-JFKM-651D-00000-00&amp;context=" TargetMode="External" /><Relationship Id="rId28" Type="http://schemas.openxmlformats.org/officeDocument/2006/relationships/footer" Target="footer7.xml" /><Relationship Id="rId280" Type="http://schemas.openxmlformats.org/officeDocument/2006/relationships/hyperlink" Target="https://advance.lexis.com/api/document?collection=cases-ca&amp;id=urn:contentItem:5F7T-S731-JNJT-B1RV-00000-00&amp;context=" TargetMode="External" /><Relationship Id="rId281" Type="http://schemas.openxmlformats.org/officeDocument/2006/relationships/hyperlink" Target="https://advance.lexis.com/api/document?collection=cases-ca&amp;id=urn:contentItem:5F82-1SD1-FC6N-X3R9-00000-00&amp;context=" TargetMode="External" /><Relationship Id="rId282" Type="http://schemas.openxmlformats.org/officeDocument/2006/relationships/header" Target="header55.xml" /><Relationship Id="rId283" Type="http://schemas.openxmlformats.org/officeDocument/2006/relationships/header" Target="header56.xml" /><Relationship Id="rId284" Type="http://schemas.openxmlformats.org/officeDocument/2006/relationships/footer" Target="footer55.xml" /><Relationship Id="rId285" Type="http://schemas.openxmlformats.org/officeDocument/2006/relationships/footer" Target="footer56.xml" /><Relationship Id="rId286" Type="http://schemas.openxmlformats.org/officeDocument/2006/relationships/header" Target="header57.xml" /><Relationship Id="rId287" Type="http://schemas.openxmlformats.org/officeDocument/2006/relationships/footer" Target="footer57.xml" /><Relationship Id="rId288" Type="http://schemas.openxmlformats.org/officeDocument/2006/relationships/hyperlink" Target="https://advance.lexis.com/api/document?collection=cases-ca&amp;id=urn:contentItem:5F7T-S7F1-JFKM-61X5-00000-00&amp;context=" TargetMode="External" /><Relationship Id="rId289" Type="http://schemas.openxmlformats.org/officeDocument/2006/relationships/header" Target="header58.xml" /><Relationship Id="rId29" Type="http://schemas.openxmlformats.org/officeDocument/2006/relationships/footer" Target="footer8.xml" /><Relationship Id="rId290" Type="http://schemas.openxmlformats.org/officeDocument/2006/relationships/header" Target="header59.xml" /><Relationship Id="rId291" Type="http://schemas.openxmlformats.org/officeDocument/2006/relationships/footer" Target="footer58.xml" /><Relationship Id="rId292" Type="http://schemas.openxmlformats.org/officeDocument/2006/relationships/footer" Target="footer59.xml" /><Relationship Id="rId293" Type="http://schemas.openxmlformats.org/officeDocument/2006/relationships/header" Target="header60.xml" /><Relationship Id="rId294" Type="http://schemas.openxmlformats.org/officeDocument/2006/relationships/footer" Target="footer60.xml" /><Relationship Id="rId295" Type="http://schemas.openxmlformats.org/officeDocument/2006/relationships/hyperlink" Target="https://advance.lexis.com/api/document?collection=cases-ca&amp;id=urn:contentItem:5F7T-S7C1-FCSB-S27J-00000-00&amp;context=" TargetMode="External" /><Relationship Id="rId296" Type="http://schemas.openxmlformats.org/officeDocument/2006/relationships/hyperlink" Target="https://advance.lexis.com/api/document?collection=cases-ca&amp;id=urn:contentItem:5F7T-S781-F27X-6134-00000-00&amp;context=" TargetMode="External" /><Relationship Id="rId297" Type="http://schemas.openxmlformats.org/officeDocument/2006/relationships/hyperlink" Target="https://advance.lexis.com/api/document?collection=cases-ca&amp;id=urn:contentItem:5F7T-S771-F81W-22T1-00000-00&amp;context=" TargetMode="External" /><Relationship Id="rId298" Type="http://schemas.openxmlformats.org/officeDocument/2006/relationships/hyperlink" Target="https://advance.lexis.com/api/document?collection=cases-ca&amp;id=urn:contentItem:5F7T-S771-JW5H-X21Y-00000-00&amp;context=" TargetMode="External" /><Relationship Id="rId299" Type="http://schemas.openxmlformats.org/officeDocument/2006/relationships/hyperlink" Target="https://advance.lexis.com/api/document?collection=cases-ca&amp;id=urn:contentItem:5F7T-S771-JWBS-61CV-00000-00&amp;context=" TargetMode="External" /><Relationship Id="rId3" Type="http://schemas.openxmlformats.org/officeDocument/2006/relationships/fontTable" Target="fontTable.xml" /><Relationship Id="rId30" Type="http://schemas.openxmlformats.org/officeDocument/2006/relationships/header" Target="header9.xml" /><Relationship Id="rId300" Type="http://schemas.openxmlformats.org/officeDocument/2006/relationships/hyperlink" Target="https://advance.lexis.com/api/document?collection=cases-ca&amp;id=urn:contentItem:5F7T-S781-JC5P-G1W0-00000-00&amp;context=" TargetMode="External" /><Relationship Id="rId301" Type="http://schemas.openxmlformats.org/officeDocument/2006/relationships/hyperlink" Target="https://advance.lexis.com/api/document?collection=cases-ca&amp;id=urn:contentItem:5F7T-S761-FFMK-M164-00000-00&amp;context=" TargetMode="External" /><Relationship Id="rId302" Type="http://schemas.openxmlformats.org/officeDocument/2006/relationships/header" Target="header61.xml" /><Relationship Id="rId303" Type="http://schemas.openxmlformats.org/officeDocument/2006/relationships/header" Target="header62.xml" /><Relationship Id="rId304" Type="http://schemas.openxmlformats.org/officeDocument/2006/relationships/footer" Target="footer61.xml" /><Relationship Id="rId305" Type="http://schemas.openxmlformats.org/officeDocument/2006/relationships/footer" Target="footer62.xml" /><Relationship Id="rId306" Type="http://schemas.openxmlformats.org/officeDocument/2006/relationships/header" Target="header63.xml" /><Relationship Id="rId307" Type="http://schemas.openxmlformats.org/officeDocument/2006/relationships/footer" Target="footer63.xml" /><Relationship Id="rId308" Type="http://schemas.openxmlformats.org/officeDocument/2006/relationships/hyperlink" Target="https://advance.lexis.com/api/document?collection=cases-ca&amp;id=urn:contentItem:5H3D-T8W1-JT99-208K-00000-00&amp;context=" TargetMode="External" /><Relationship Id="rId309" Type="http://schemas.openxmlformats.org/officeDocument/2006/relationships/hyperlink" Target="https://advance.lexis.com/api/document?collection=cases-ca&amp;id=urn:contentItem:5GCC-XVC1-JSRM-60G0-00000-00&amp;context=" TargetMode="External" /><Relationship Id="rId31" Type="http://schemas.openxmlformats.org/officeDocument/2006/relationships/footer" Target="footer9.xml" /><Relationship Id="rId310" Type="http://schemas.openxmlformats.org/officeDocument/2006/relationships/hyperlink" Target="https://advance.lexis.com/api/document?collection=cases-ca&amp;id=urn:contentItem:5F7T-S7P1-JNJT-B2KS-00000-00&amp;context=" TargetMode="External" /><Relationship Id="rId311" Type="http://schemas.openxmlformats.org/officeDocument/2006/relationships/hyperlink" Target="https://advance.lexis.com/api/document?collection=cases-ca&amp;id=urn:contentItem:5F7T-S7M1-JPP5-22MK-00000-00&amp;context=" TargetMode="External" /><Relationship Id="rId312" Type="http://schemas.openxmlformats.org/officeDocument/2006/relationships/hyperlink" Target="https://advance.lexis.com/api/document?collection=cases-ca&amp;id=urn:contentItem:5F7T-S7M1-F4W2-6289-00000-00&amp;context=" TargetMode="External" /><Relationship Id="rId313" Type="http://schemas.openxmlformats.org/officeDocument/2006/relationships/hyperlink" Target="https://advance.lexis.com/api/document?collection=cases-ca&amp;id=urn:contentItem:5F8T-N3V1-JTGH-B1BS-00000-00&amp;context=" TargetMode="External" /><Relationship Id="rId314" Type="http://schemas.openxmlformats.org/officeDocument/2006/relationships/hyperlink" Target="https://advance.lexis.com/api/document?collection=cases-ca&amp;id=urn:contentItem:5GCC-XVC1-JSRM-60DX-00000-00&amp;context=" TargetMode="External" /><Relationship Id="rId315" Type="http://schemas.openxmlformats.org/officeDocument/2006/relationships/hyperlink" Target="https://advance.lexis.com/api/document?collection=cases-ca&amp;id=urn:contentItem:5F7T-S7J1-DXWW-2532-00000-00&amp;context=" TargetMode="External" /><Relationship Id="rId316" Type="http://schemas.openxmlformats.org/officeDocument/2006/relationships/hyperlink" Target="https://advance.lexis.com/api/document?collection=cases-ca&amp;id=urn:contentItem:5F7T-S7H1-JCRC-B0RN-00000-00&amp;context=" TargetMode="External" /><Relationship Id="rId317" Type="http://schemas.openxmlformats.org/officeDocument/2006/relationships/hyperlink" Target="https://advance.lexis.com/api/document?collection=cases-ca&amp;id=urn:contentItem:5F7T-S731-F60C-X15M-00000-00&amp;context=" TargetMode="External" /><Relationship Id="rId318" Type="http://schemas.openxmlformats.org/officeDocument/2006/relationships/hyperlink" Target="https://advance.lexis.com/api/document?collection=cases-ca&amp;id=urn:contentItem:5F7T-S7M1-JNCK-22HD-00000-00&amp;context=" TargetMode="External" /><Relationship Id="rId319" Type="http://schemas.openxmlformats.org/officeDocument/2006/relationships/hyperlink" Target="https://advance.lexis.com/api/document?collection=cases-ca&amp;id=urn:contentItem:5F7T-S7G1-F5KY-B1HV-00000-00&amp;context=" TargetMode="External" /><Relationship Id="rId32" Type="http://schemas.openxmlformats.org/officeDocument/2006/relationships/hyperlink" Target="https://advance.lexis.com/api/document?collection=cases-ca&amp;id=urn:contentItem:5F7T-S771-JJD0-G1KD-00000-00&amp;context=" TargetMode="External" /><Relationship Id="rId320" Type="http://schemas.openxmlformats.org/officeDocument/2006/relationships/hyperlink" Target="https://advance.lexis.com/api/document?collection=cases-ca&amp;id=urn:contentItem:5F7T-S7H1-JFSV-G2PW-00000-00&amp;context=" TargetMode="External" /><Relationship Id="rId321" Type="http://schemas.openxmlformats.org/officeDocument/2006/relationships/header" Target="header64.xml" /><Relationship Id="rId322" Type="http://schemas.openxmlformats.org/officeDocument/2006/relationships/header" Target="header65.xml" /><Relationship Id="rId323" Type="http://schemas.openxmlformats.org/officeDocument/2006/relationships/footer" Target="footer64.xml" /><Relationship Id="rId324" Type="http://schemas.openxmlformats.org/officeDocument/2006/relationships/footer" Target="footer65.xml" /><Relationship Id="rId325" Type="http://schemas.openxmlformats.org/officeDocument/2006/relationships/header" Target="header66.xml" /><Relationship Id="rId326" Type="http://schemas.openxmlformats.org/officeDocument/2006/relationships/footer" Target="footer66.xml" /><Relationship Id="rId327" Type="http://schemas.openxmlformats.org/officeDocument/2006/relationships/hyperlink" Target="https://advance.lexis.com/api/document?collection=cases-ca&amp;id=urn:contentItem:5F7T-S771-JJD0-G18G-00000-00&amp;context=" TargetMode="External" /><Relationship Id="rId328" Type="http://schemas.openxmlformats.org/officeDocument/2006/relationships/hyperlink" Target="https://advance.lexis.com/api/document?collection=legislation-ca&amp;id=urn:contentItem:5F41-1FM1-FJM6-61MX-00000-00&amp;context=" TargetMode="External" /><Relationship Id="rId329" Type="http://schemas.openxmlformats.org/officeDocument/2006/relationships/hyperlink" Target="https://advance.lexis.com/api/document?collection=cases-ca&amp;id=urn:contentItem:5F7T-S731-JNJT-B21X-00000-00&amp;context=" TargetMode="External" /><Relationship Id="rId33" Type="http://schemas.openxmlformats.org/officeDocument/2006/relationships/hyperlink" Target="https://advance.lexis.com/api/document?collection=legislation-ca&amp;id=urn:contentItem:5F41-1FK1-DY33-B0F3-00000-00&amp;context=" TargetMode="External" /><Relationship Id="rId330" Type="http://schemas.openxmlformats.org/officeDocument/2006/relationships/hyperlink" Target="https://advance.lexis.com/api/document?collection=cases-ca&amp;id=urn:contentItem:5F7T-S6T1-JTNR-M2NG-00000-00&amp;context=" TargetMode="External" /><Relationship Id="rId331" Type="http://schemas.openxmlformats.org/officeDocument/2006/relationships/hyperlink" Target="https://advance.lexis.com/api/document?collection=cases-ca&amp;id=urn:contentItem:5F7T-S6V1-F2TK-221B-00000-00&amp;context=" TargetMode="External" /><Relationship Id="rId332" Type="http://schemas.openxmlformats.org/officeDocument/2006/relationships/hyperlink" Target="https://advance.lexis.com/api/document?collection=cases-ca&amp;id=urn:contentItem:5F8T-N3S1-JBDT-B0GB-00000-00&amp;context=" TargetMode="External" /><Relationship Id="rId333" Type="http://schemas.openxmlformats.org/officeDocument/2006/relationships/header" Target="header67.xml" /><Relationship Id="rId334" Type="http://schemas.openxmlformats.org/officeDocument/2006/relationships/header" Target="header68.xml" /><Relationship Id="rId335" Type="http://schemas.openxmlformats.org/officeDocument/2006/relationships/footer" Target="footer67.xml" /><Relationship Id="rId336" Type="http://schemas.openxmlformats.org/officeDocument/2006/relationships/footer" Target="footer68.xml" /><Relationship Id="rId337" Type="http://schemas.openxmlformats.org/officeDocument/2006/relationships/header" Target="header69.xml" /><Relationship Id="rId338" Type="http://schemas.openxmlformats.org/officeDocument/2006/relationships/footer" Target="footer69.xml" /><Relationship Id="rId339" Type="http://schemas.openxmlformats.org/officeDocument/2006/relationships/hyperlink" Target="https://advance.lexis.com/api/document?collection=cases-ca&amp;id=urn:contentItem:5F7T-S7C1-F30T-B255-00000-00&amp;context=" TargetMode="External" /><Relationship Id="rId34" Type="http://schemas.openxmlformats.org/officeDocument/2006/relationships/hyperlink" Target="https://advance.lexis.com/api/document?collection=cases-ca&amp;id=urn:contentItem:5F8T-N3V1-JF75-M3JV-00000-00&amp;context=" TargetMode="External" /><Relationship Id="rId340" Type="http://schemas.openxmlformats.org/officeDocument/2006/relationships/hyperlink" Target="https://advance.lexis.com/api/document?collection=cases-ca&amp;id=urn:contentItem:5K6Y-81M1-JN6B-S1F2-00000-00&amp;context=" TargetMode="External" /><Relationship Id="rId341" Type="http://schemas.openxmlformats.org/officeDocument/2006/relationships/hyperlink" Target="https://advance.lexis.com/api/document?collection=cases-ca&amp;id=urn:contentItem:5F7T-S6Y1-F65M-609X-00000-00&amp;context=" TargetMode="External" /><Relationship Id="rId342" Type="http://schemas.openxmlformats.org/officeDocument/2006/relationships/hyperlink" Target="https://advance.lexis.com/api/document?collection=cases-ca&amp;id=urn:contentItem:5F7T-S6Y1-F4GK-M1RK-00000-00&amp;context=" TargetMode="External" /><Relationship Id="rId343" Type="http://schemas.openxmlformats.org/officeDocument/2006/relationships/header" Target="header70.xml" /><Relationship Id="rId344" Type="http://schemas.openxmlformats.org/officeDocument/2006/relationships/header" Target="header71.xml" /><Relationship Id="rId345" Type="http://schemas.openxmlformats.org/officeDocument/2006/relationships/footer" Target="footer70.xml" /><Relationship Id="rId346" Type="http://schemas.openxmlformats.org/officeDocument/2006/relationships/footer" Target="footer71.xml" /><Relationship Id="rId347" Type="http://schemas.openxmlformats.org/officeDocument/2006/relationships/header" Target="header72.xml" /><Relationship Id="rId348" Type="http://schemas.openxmlformats.org/officeDocument/2006/relationships/footer" Target="footer72.xml" /><Relationship Id="rId349" Type="http://schemas.openxmlformats.org/officeDocument/2006/relationships/hyperlink" Target="https://advance.lexis.com/api/document?collection=cases-ca&amp;id=urn:contentItem:5K6Y-81M1-F65M-61HD-00000-00&amp;context=" TargetMode="External" /><Relationship Id="rId35" Type="http://schemas.openxmlformats.org/officeDocument/2006/relationships/hyperlink" Target="https://advance.lexis.com/api/document?collection=cases-ca&amp;id=urn:contentItem:5F8T-N3V1-JF75-M3JW-00000-00&amp;context=" TargetMode="External" /><Relationship Id="rId350" Type="http://schemas.openxmlformats.org/officeDocument/2006/relationships/hyperlink" Target="https://advance.lexis.com/api/document?collection=cases-ca&amp;id=urn:contentItem:5F7T-S7D1-FFFC-B1K7-00000-00&amp;context=" TargetMode="External" /><Relationship Id="rId351" Type="http://schemas.openxmlformats.org/officeDocument/2006/relationships/hyperlink" Target="https://advance.lexis.com/api/document?collection=legislation-ca&amp;id=urn:contentItem:5F97-RC81-FD4T-B2DS-00000-00&amp;context=" TargetMode="External" /><Relationship Id="rId352" Type="http://schemas.openxmlformats.org/officeDocument/2006/relationships/hyperlink" Target="https://advance.lexis.com/api/document?collection=legislation-ca&amp;id=urn:contentItem:5W2C-X5M1-JX3N-B3RG-00000-00&amp;context=" TargetMode="External" /><Relationship Id="rId353" Type="http://schemas.openxmlformats.org/officeDocument/2006/relationships/hyperlink" Target="https://advance.lexis.com/api/document?collection=legislation-ca&amp;id=urn:contentItem:5W2C-X5J1-JJ1H-X0F6-00000-00&amp;context=" TargetMode="External" /><Relationship Id="rId354" Type="http://schemas.openxmlformats.org/officeDocument/2006/relationships/hyperlink" Target="https://advance.lexis.com/api/document?collection=cases-ca&amp;id=urn:contentItem:5F2P-NNN1-JX3N-B1CX-00000-00&amp;context=" TargetMode="External" /><Relationship Id="rId355" Type="http://schemas.openxmlformats.org/officeDocument/2006/relationships/hyperlink" Target="https://advance.lexis.com/api/document?collection=cases-ca&amp;id=urn:contentItem:5F7T-S7D1-F7ND-G0T5-00000-00&amp;context=" TargetMode="External" /><Relationship Id="rId356" Type="http://schemas.openxmlformats.org/officeDocument/2006/relationships/hyperlink" Target="https://advance.lexis.com/api/document?collection=cases-ca&amp;id=urn:contentItem:5F8P-SCK1-JF75-M0NH-00000-00&amp;context=" TargetMode="External" /><Relationship Id="rId357" Type="http://schemas.openxmlformats.org/officeDocument/2006/relationships/hyperlink" Target="https://advance.lexis.com/api/document?collection=cases-ca&amp;id=urn:contentItem:5F7T-S7C1-F4NT-X33M-00000-00&amp;context=" TargetMode="External" /><Relationship Id="rId358" Type="http://schemas.openxmlformats.org/officeDocument/2006/relationships/hyperlink" Target="https://advance.lexis.com/api/document?collection=cases-ca&amp;id=urn:contentItem:5F7T-S741-F8D9-M1GJ-00000-00&amp;context=" TargetMode="External" /><Relationship Id="rId359" Type="http://schemas.openxmlformats.org/officeDocument/2006/relationships/hyperlink" Target="https://advance.lexis.com/api/document?collection=cases-ca&amp;id=urn:contentItem:5F7T-S791-JCJ5-251R-00000-00&amp;context=" TargetMode="External" /><Relationship Id="rId36" Type="http://schemas.openxmlformats.org/officeDocument/2006/relationships/hyperlink" Target="https://advance.lexis.com/api/document?collection=cases-ca&amp;id=urn:contentItem:5F7T-S761-F7ND-G4C9-00000-00&amp;context=" TargetMode="External" /><Relationship Id="rId360" Type="http://schemas.openxmlformats.org/officeDocument/2006/relationships/hyperlink" Target="https://advance.lexis.com/api/document?collection=cases-ca&amp;id=urn:contentItem:5F7T-S7D1-DY89-M3YV-00000-00&amp;context=" TargetMode="External" /><Relationship Id="rId361" Type="http://schemas.openxmlformats.org/officeDocument/2006/relationships/hyperlink" Target="https://advance.lexis.com/api/document?collection=legislation-ca&amp;id=urn:contentItem:5F41-1FG1-JC0G-61K8-00000-00&amp;context=" TargetMode="External" /><Relationship Id="rId362" Type="http://schemas.openxmlformats.org/officeDocument/2006/relationships/hyperlink" Target="https://advance.lexis.com/api/document?collection=cases-ca&amp;id=urn:contentItem:5F7T-S731-F016-S3GS-00000-00&amp;context=" TargetMode="External" /><Relationship Id="rId363" Type="http://schemas.openxmlformats.org/officeDocument/2006/relationships/hyperlink" Target="https://advance.lexis.com/api/document?collection=cases-ca&amp;id=urn:contentItem:5F82-1SD1-F1H1-223D-00000-00&amp;context=" TargetMode="External" /><Relationship Id="rId364" Type="http://schemas.openxmlformats.org/officeDocument/2006/relationships/image" Target="media/image1.jpeg" /><Relationship Id="rId365" Type="http://schemas.openxmlformats.org/officeDocument/2006/relationships/image" Target="media/image2.jpeg" /><Relationship Id="rId366" Type="http://schemas.openxmlformats.org/officeDocument/2006/relationships/image" Target="media/image3.jpeg" /><Relationship Id="rId367" Type="http://schemas.openxmlformats.org/officeDocument/2006/relationships/image" Target="media/image4.jpeg" /><Relationship Id="rId368" Type="http://schemas.openxmlformats.org/officeDocument/2006/relationships/header" Target="header73.xml" /><Relationship Id="rId369" Type="http://schemas.openxmlformats.org/officeDocument/2006/relationships/header" Target="header74.xml" /><Relationship Id="rId37" Type="http://schemas.openxmlformats.org/officeDocument/2006/relationships/hyperlink" Target="https://advance.lexis.com/api/document?collection=cases-ca&amp;id=urn:contentItem:5F7T-S751-JG02-S2J0-00000-00&amp;context=" TargetMode="External" /><Relationship Id="rId370" Type="http://schemas.openxmlformats.org/officeDocument/2006/relationships/footer" Target="footer73.xml" /><Relationship Id="rId371" Type="http://schemas.openxmlformats.org/officeDocument/2006/relationships/footer" Target="footer74.xml" /><Relationship Id="rId372" Type="http://schemas.openxmlformats.org/officeDocument/2006/relationships/header" Target="header75.xml" /><Relationship Id="rId373" Type="http://schemas.openxmlformats.org/officeDocument/2006/relationships/footer" Target="footer75.xml" /><Relationship Id="rId374" Type="http://schemas.openxmlformats.org/officeDocument/2006/relationships/hyperlink" Target="https://advance.lexis.com/api/document?collection=cases-ca&amp;id=urn:contentItem:5F7T-S7D1-JXG3-X0NB-00000-00&amp;context=" TargetMode="External" /><Relationship Id="rId375" Type="http://schemas.openxmlformats.org/officeDocument/2006/relationships/hyperlink" Target="https://advance.lexis.com/api/document?collection=cases-ca&amp;id=urn:contentItem:5F7T-S721-F06F-230Y-00000-00&amp;context=" TargetMode="External" /><Relationship Id="rId376" Type="http://schemas.openxmlformats.org/officeDocument/2006/relationships/hyperlink" Target="https://advance.lexis.com/api/document?collection=cases-ca&amp;id=urn:contentItem:5F7T-S741-F57G-S1WG-00000-00&amp;context=" TargetMode="External" /><Relationship Id="rId377" Type="http://schemas.openxmlformats.org/officeDocument/2006/relationships/hyperlink" Target="https://advance.lexis.com/api/document?collection=cases-ca&amp;id=urn:contentItem:5F7T-S7C1-F30T-B2B6-00000-00&amp;context=" TargetMode="External" /><Relationship Id="rId378" Type="http://schemas.openxmlformats.org/officeDocument/2006/relationships/header" Target="header76.xml" /><Relationship Id="rId379" Type="http://schemas.openxmlformats.org/officeDocument/2006/relationships/header" Target="header77.xml" /><Relationship Id="rId38" Type="http://schemas.openxmlformats.org/officeDocument/2006/relationships/hyperlink" Target="https://advance.lexis.com/api/document?collection=cases-ca&amp;id=urn:contentItem:5F8P-SGB1-JBT7-X381-00000-00&amp;context=" TargetMode="External" /><Relationship Id="rId380" Type="http://schemas.openxmlformats.org/officeDocument/2006/relationships/footer" Target="footer76.xml" /><Relationship Id="rId381" Type="http://schemas.openxmlformats.org/officeDocument/2006/relationships/footer" Target="footer77.xml" /><Relationship Id="rId382" Type="http://schemas.openxmlformats.org/officeDocument/2006/relationships/header" Target="header78.xml" /><Relationship Id="rId383" Type="http://schemas.openxmlformats.org/officeDocument/2006/relationships/footer" Target="footer78.xml" /><Relationship Id="rId384" Type="http://schemas.openxmlformats.org/officeDocument/2006/relationships/hyperlink" Target="https://advance.lexis.com/api/document?collection=cases-ca&amp;id=urn:contentItem:5F7T-S7C1-FCSB-S2GC-00000-00&amp;context=" TargetMode="External" /><Relationship Id="rId385" Type="http://schemas.openxmlformats.org/officeDocument/2006/relationships/hyperlink" Target="https://advance.lexis.com/api/document?collection=cases-ca&amp;id=urn:contentItem:5F7T-S721-F8D9-M15V-00000-00&amp;context=" TargetMode="External" /><Relationship Id="rId386" Type="http://schemas.openxmlformats.org/officeDocument/2006/relationships/hyperlink" Target="https://advance.lexis.com/api/document?collection=cases-ca&amp;id=urn:contentItem:5F7T-S771-JW5H-X23S-00000-00&amp;context=" TargetMode="External" /><Relationship Id="rId387" Type="http://schemas.openxmlformats.org/officeDocument/2006/relationships/hyperlink" Target="https://advance.lexis.com/api/document?collection=cases-ca&amp;id=urn:contentItem:5F7T-S761-JX8W-M2PV-00000-00&amp;context=" TargetMode="External" /><Relationship Id="rId388" Type="http://schemas.openxmlformats.org/officeDocument/2006/relationships/hyperlink" Target="https://advance.lexis.com/api/document?collection=cases-ca&amp;id=urn:contentItem:5F7T-S6W1-JYYX-61TX-00000-00&amp;context=" TargetMode="External" /><Relationship Id="rId389" Type="http://schemas.openxmlformats.org/officeDocument/2006/relationships/hyperlink" Target="https://advance.lexis.com/api/document?collection=cases-ca&amp;id=urn:contentItem:5F7T-S7B1-JCJ5-2045-00000-00&amp;context=" TargetMode="External" /><Relationship Id="rId39" Type="http://schemas.openxmlformats.org/officeDocument/2006/relationships/hyperlink" Target="https://advance.lexis.com/api/document?collection=cases-ca&amp;id=urn:contentItem:5F8P-SCJ1-F60C-X394-00000-00&amp;context=" TargetMode="External" /><Relationship Id="rId390" Type="http://schemas.openxmlformats.org/officeDocument/2006/relationships/hyperlink" Target="https://advance.lexis.com/api/document?collection=cases-ca&amp;id=urn:contentItem:5F7T-S761-F81W-21T6-00000-00&amp;context=" TargetMode="External" /><Relationship Id="rId391" Type="http://schemas.openxmlformats.org/officeDocument/2006/relationships/hyperlink" Target="https://advance.lexis.com/api/document?collection=cases-ca&amp;id=urn:contentItem:5F7T-S741-F8D9-M1S6-00000-00&amp;context=" TargetMode="External" /><Relationship Id="rId392" Type="http://schemas.openxmlformats.org/officeDocument/2006/relationships/header" Target="header79.xml" /><Relationship Id="rId393" Type="http://schemas.openxmlformats.org/officeDocument/2006/relationships/header" Target="header80.xml" /><Relationship Id="rId394" Type="http://schemas.openxmlformats.org/officeDocument/2006/relationships/footer" Target="footer79.xml" /><Relationship Id="rId395" Type="http://schemas.openxmlformats.org/officeDocument/2006/relationships/footer" Target="footer80.xml" /><Relationship Id="rId396" Type="http://schemas.openxmlformats.org/officeDocument/2006/relationships/header" Target="header81.xml" /><Relationship Id="rId397" Type="http://schemas.openxmlformats.org/officeDocument/2006/relationships/footer" Target="footer81.xml" /><Relationship Id="rId398" Type="http://schemas.openxmlformats.org/officeDocument/2006/relationships/hyperlink" Target="https://advance.lexis.com/api/document?collection=cases-ca&amp;id=urn:contentItem:5F7T-S781-JSC5-M4D7-00000-00&amp;context=" TargetMode="External" /><Relationship Id="rId399" Type="http://schemas.openxmlformats.org/officeDocument/2006/relationships/hyperlink" Target="https://advance.lexis.com/api/document?collection=cases-ca&amp;id=urn:contentItem:5F7T-S7G1-JBT7-X40C-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1-VJX1-JYYX-6006-00000-00&amp;context=" TargetMode="External" /><Relationship Id="rId400" Type="http://schemas.openxmlformats.org/officeDocument/2006/relationships/hyperlink" Target="https://advance.lexis.com/api/document?collection=legislation-ca&amp;id=urn:contentItem:5VYK-W9V1-JS0R-23WX-00000-00&amp;context=" TargetMode="External" /><Relationship Id="rId401" Type="http://schemas.openxmlformats.org/officeDocument/2006/relationships/header" Target="header82.xml" /><Relationship Id="rId402" Type="http://schemas.openxmlformats.org/officeDocument/2006/relationships/header" Target="header83.xml" /><Relationship Id="rId403" Type="http://schemas.openxmlformats.org/officeDocument/2006/relationships/footer" Target="footer82.xml" /><Relationship Id="rId404" Type="http://schemas.openxmlformats.org/officeDocument/2006/relationships/footer" Target="footer83.xml" /><Relationship Id="rId405" Type="http://schemas.openxmlformats.org/officeDocument/2006/relationships/header" Target="header84.xml" /><Relationship Id="rId406" Type="http://schemas.openxmlformats.org/officeDocument/2006/relationships/footer" Target="footer84.xml" /><Relationship Id="rId407" Type="http://schemas.openxmlformats.org/officeDocument/2006/relationships/hyperlink" Target="https://advance.lexis.com/api/document?collection=cases-ca&amp;id=urn:contentItem:5F7T-S7C1-F30T-B2D6-00000-00&amp;context=" TargetMode="External" /><Relationship Id="rId408" Type="http://schemas.openxmlformats.org/officeDocument/2006/relationships/hyperlink" Target="https://advance.lexis.com/api/document?collection=cases-ca&amp;id=urn:contentItem:5F7T-S751-JP4G-613B-00000-00&amp;context=" TargetMode="External" /><Relationship Id="rId409" Type="http://schemas.openxmlformats.org/officeDocument/2006/relationships/hyperlink" Target="https://advance.lexis.com/api/document?collection=cases-ca&amp;id=urn:contentItem:5F7T-S741-F2F4-G2B9-00000-00&amp;context=" TargetMode="External" /><Relationship Id="rId41" Type="http://schemas.openxmlformats.org/officeDocument/2006/relationships/hyperlink" Target="https://advance.lexis.com/api/document?collection=cases-ca&amp;id=urn:contentItem:5F81-VJW1-JGPY-X48K-00000-00&amp;context=" TargetMode="External" /><Relationship Id="rId410" Type="http://schemas.openxmlformats.org/officeDocument/2006/relationships/hyperlink" Target="https://advance.lexis.com/api/document?collection=cases-ca&amp;id=urn:contentItem:5F7T-S701-F8KH-X150-00000-00&amp;context=" TargetMode="External" /><Relationship Id="rId411" Type="http://schemas.openxmlformats.org/officeDocument/2006/relationships/hyperlink" Target="https://advance.lexis.com/api/document?collection=cases-ca&amp;id=urn:contentItem:5F7T-S711-JNS1-M14R-00000-00&amp;context=" TargetMode="External" /><Relationship Id="rId412" Type="http://schemas.openxmlformats.org/officeDocument/2006/relationships/hyperlink" Target="https://advance.lexis.com/api/document?collection=cases-ca&amp;id=urn:contentItem:5F7T-S6T1-F2F4-G1FF-00000-00&amp;context=" TargetMode="External" /><Relationship Id="rId413" Type="http://schemas.openxmlformats.org/officeDocument/2006/relationships/hyperlink" Target="https://advance.lexis.com/api/document?collection=cases-ca&amp;id=urn:contentItem:5F7T-S6W1-F7ND-G2KM-00000-00&amp;context=" TargetMode="External" /><Relationship Id="rId414" Type="http://schemas.openxmlformats.org/officeDocument/2006/relationships/hyperlink" Target="https://advance.lexis.com/api/document?collection=cases-ca&amp;id=urn:contentItem:5F7T-S6V1-F2TK-22G9-00000-00&amp;context=" TargetMode="External" /><Relationship Id="rId415" Type="http://schemas.openxmlformats.org/officeDocument/2006/relationships/hyperlink" Target="https://advance.lexis.com/api/document?collection=cases-ca&amp;id=urn:contentItem:5F7T-S6Y1-JP9P-G1F0-00000-00&amp;context=" TargetMode="External" /><Relationship Id="rId416" Type="http://schemas.openxmlformats.org/officeDocument/2006/relationships/header" Target="header85.xml" /><Relationship Id="rId417" Type="http://schemas.openxmlformats.org/officeDocument/2006/relationships/header" Target="header86.xml" /><Relationship Id="rId418" Type="http://schemas.openxmlformats.org/officeDocument/2006/relationships/footer" Target="footer85.xml" /><Relationship Id="rId419" Type="http://schemas.openxmlformats.org/officeDocument/2006/relationships/footer" Target="footer86.xml" /><Relationship Id="rId42" Type="http://schemas.openxmlformats.org/officeDocument/2006/relationships/hyperlink" Target="https://advance.lexis.com/api/document?collection=cases-ca&amp;id=urn:contentItem:5F8P-T8V1-JT42-S55K-00000-00&amp;context=" TargetMode="External" /><Relationship Id="rId420" Type="http://schemas.openxmlformats.org/officeDocument/2006/relationships/header" Target="header87.xml" /><Relationship Id="rId421" Type="http://schemas.openxmlformats.org/officeDocument/2006/relationships/footer" Target="footer87.xml" /><Relationship Id="rId422" Type="http://schemas.openxmlformats.org/officeDocument/2006/relationships/hyperlink" Target="https://advance.lexis.com/api/document?collection=cases-ca&amp;id=urn:contentItem:5F7T-S771-JW5H-X1PK-00000-00&amp;context=" TargetMode="External" /><Relationship Id="rId423" Type="http://schemas.openxmlformats.org/officeDocument/2006/relationships/hyperlink" Target="https://advance.lexis.com/api/document?collection=legislation-ca&amp;id=urn:contentItem:5VYK-47Y1-F06F-21ND-00000-00&amp;context=" TargetMode="External" /><Relationship Id="rId424" Type="http://schemas.openxmlformats.org/officeDocument/2006/relationships/hyperlink" Target="https://advance.lexis.com/api/document?collection=cases-ca&amp;id=urn:contentItem:5F7T-S711-JC0G-62R6-00000-00&amp;context=" TargetMode="External" /><Relationship Id="rId425" Type="http://schemas.openxmlformats.org/officeDocument/2006/relationships/header" Target="header88.xml" /><Relationship Id="rId426" Type="http://schemas.openxmlformats.org/officeDocument/2006/relationships/header" Target="header89.xml" /><Relationship Id="rId427" Type="http://schemas.openxmlformats.org/officeDocument/2006/relationships/footer" Target="footer88.xml" /><Relationship Id="rId428" Type="http://schemas.openxmlformats.org/officeDocument/2006/relationships/footer" Target="footer89.xml" /><Relationship Id="rId429" Type="http://schemas.openxmlformats.org/officeDocument/2006/relationships/header" Target="header90.xml" /><Relationship Id="rId43" Type="http://schemas.openxmlformats.org/officeDocument/2006/relationships/hyperlink" Target="https://advance.lexis.com/api/document?collection=cases-ca&amp;id=urn:contentItem:5F7T-S721-FG12-61XM-00000-00&amp;context=" TargetMode="External" /><Relationship Id="rId430" Type="http://schemas.openxmlformats.org/officeDocument/2006/relationships/footer" Target="footer90.xml" /><Relationship Id="rId431" Type="http://schemas.openxmlformats.org/officeDocument/2006/relationships/hyperlink" Target="https://advance.lexis.com/api/document?collection=cases-ca&amp;id=urn:contentItem:5F7T-S7D1-DY89-M41H-00000-00&amp;context=" TargetMode="External" /><Relationship Id="rId432" Type="http://schemas.openxmlformats.org/officeDocument/2006/relationships/hyperlink" Target="https://advance.lexis.com/api/document?collection=legislation-ca&amp;id=urn:contentItem:5F41-1FH1-JSRM-60KK-00000-00&amp;context=" TargetMode="External" /><Relationship Id="rId433" Type="http://schemas.openxmlformats.org/officeDocument/2006/relationships/hyperlink" Target="https://advance.lexis.com/api/document?collection=cases-ca&amp;id=urn:contentItem:5F7T-S741-DY89-M3K6-00000-00&amp;context=" TargetMode="External" /><Relationship Id="rId434" Type="http://schemas.openxmlformats.org/officeDocument/2006/relationships/hyperlink" Target="https://advance.lexis.com/api/document?collection=cases-ca&amp;id=urn:contentItem:5F7T-S7M1-JCRC-B1F0-00000-00&amp;context=" TargetMode="External" /><Relationship Id="rId435" Type="http://schemas.openxmlformats.org/officeDocument/2006/relationships/hyperlink" Target="https://advance.lexis.com/api/document?collection=cases-ca&amp;id=urn:contentItem:5F7T-S7D1-F7ND-G0ST-00000-00&amp;context=" TargetMode="External" /><Relationship Id="rId436" Type="http://schemas.openxmlformats.org/officeDocument/2006/relationships/hyperlink" Target="https://advance.lexis.com/api/document?collection=cases-ca&amp;id=urn:contentItem:5F7T-S6V1-JWR6-S0T9-00000-00&amp;context=" TargetMode="External" /><Relationship Id="rId437" Type="http://schemas.openxmlformats.org/officeDocument/2006/relationships/header" Target="header91.xml" /><Relationship Id="rId438" Type="http://schemas.openxmlformats.org/officeDocument/2006/relationships/header" Target="header92.xml" /><Relationship Id="rId439" Type="http://schemas.openxmlformats.org/officeDocument/2006/relationships/footer" Target="footer91.xml" /><Relationship Id="rId44" Type="http://schemas.openxmlformats.org/officeDocument/2006/relationships/hyperlink" Target="https://advance.lexis.com/api/document?collection=cases-ca&amp;id=urn:contentItem:5F8P-JG31-FCSB-S3K4-00000-00&amp;context=" TargetMode="External" /><Relationship Id="rId440" Type="http://schemas.openxmlformats.org/officeDocument/2006/relationships/footer" Target="footer92.xml" /><Relationship Id="rId441" Type="http://schemas.openxmlformats.org/officeDocument/2006/relationships/header" Target="header93.xml" /><Relationship Id="rId442" Type="http://schemas.openxmlformats.org/officeDocument/2006/relationships/footer" Target="footer93.xml" /><Relationship Id="rId443" Type="http://schemas.openxmlformats.org/officeDocument/2006/relationships/hyperlink" Target="https://advance.lexis.com/api/document?collection=cases-ca&amp;id=urn:contentItem:5F7T-S7F1-FFFC-B1NR-00000-00&amp;context=" TargetMode="External" /><Relationship Id="rId444" Type="http://schemas.openxmlformats.org/officeDocument/2006/relationships/hyperlink" Target="https://advance.lexis.com/api/document?collection=legislation-ca&amp;id=urn:contentItem:5F41-1FM1-FCK4-G02K-00000-00&amp;context=" TargetMode="External" /><Relationship Id="rId445" Type="http://schemas.openxmlformats.org/officeDocument/2006/relationships/hyperlink" Target="https://advance.lexis.com/api/document?collection=cases-ca&amp;id=urn:contentItem:5F8T-N3V1-JF75-M3MG-00000-00&amp;context=" TargetMode="External" /><Relationship Id="rId446" Type="http://schemas.openxmlformats.org/officeDocument/2006/relationships/hyperlink" Target="https://advance.lexis.com/api/document?collection=cases-ca&amp;id=urn:contentItem:5F7H-JFB1-JBT7-X0G2-00000-00&amp;context=" TargetMode="External" /><Relationship Id="rId447" Type="http://schemas.openxmlformats.org/officeDocument/2006/relationships/hyperlink" Target="https://advance.lexis.com/api/document?collection=cases-ca&amp;id=urn:contentItem:5F8T-N3T1-JJSF-23KB-00000-00&amp;context=" TargetMode="External" /><Relationship Id="rId448" Type="http://schemas.openxmlformats.org/officeDocument/2006/relationships/hyperlink" Target="https://advance.lexis.com/api/document?collection=cases-ca&amp;id=urn:contentItem:5F8N-K701-JB7K-255J-00000-00&amp;context=" TargetMode="External" /><Relationship Id="rId449" Type="http://schemas.openxmlformats.org/officeDocument/2006/relationships/hyperlink" Target="https://advance.lexis.com/api/document?collection=cases-ca&amp;id=urn:contentItem:5F8P-JGY1-JK4W-M380-00000-00&amp;context=" TargetMode="External" /><Relationship Id="rId45" Type="http://schemas.openxmlformats.org/officeDocument/2006/relationships/hyperlink" Target="https://advance.lexis.com/api/document?collection=cases-ca&amp;id=urn:contentItem:5F8P-JJT1-FCCX-62F4-00000-00&amp;context=" TargetMode="External" /><Relationship Id="rId450" Type="http://schemas.openxmlformats.org/officeDocument/2006/relationships/hyperlink" Target="https://advance.lexis.com/api/document?collection=cases-ca&amp;id=urn:contentItem:5F8T-N3V1-JF75-M3NY-00000-00&amp;context=" TargetMode="External" /><Relationship Id="rId451" Type="http://schemas.openxmlformats.org/officeDocument/2006/relationships/hyperlink" Target="https://advance.lexis.com/api/document?collection=cases-ca&amp;id=urn:contentItem:5F7T-S6T1-JJ1H-X241-00000-00&amp;context=" TargetMode="External" /><Relationship Id="rId452" Type="http://schemas.openxmlformats.org/officeDocument/2006/relationships/hyperlink" Target="https://advance.lexis.com/api/document?collection=cases-ca&amp;id=urn:contentItem:5F8T-N3T1-JFKM-652S-00000-00&amp;context=" TargetMode="External" /><Relationship Id="rId453" Type="http://schemas.openxmlformats.org/officeDocument/2006/relationships/hyperlink" Target="https://advance.lexis.com/api/document?collection=cases-ca&amp;id=urn:contentItem:5F7T-S7D1-FCSB-S35S-00000-00&amp;context=" TargetMode="External" /><Relationship Id="rId454" Type="http://schemas.openxmlformats.org/officeDocument/2006/relationships/hyperlink" Target="https://advance.lexis.com/api/document?collection=cases-ca&amp;id=urn:contentItem:5F8T-N3V1-JTGH-B11N-00000-00&amp;context=" TargetMode="External" /><Relationship Id="rId455" Type="http://schemas.openxmlformats.org/officeDocument/2006/relationships/hyperlink" Target="https://advance.lexis.com/api/document?collection=cases-ca&amp;id=urn:contentItem:5F8T-N3V1-JF75-M3GD-00000-00&amp;context=" TargetMode="External" /><Relationship Id="rId456" Type="http://schemas.openxmlformats.org/officeDocument/2006/relationships/hyperlink" Target="https://advance.lexis.com/api/document?collection=cases-ca&amp;id=urn:contentItem:5F8T-N3V1-JTGH-B143-00000-00&amp;context=" TargetMode="External" /><Relationship Id="rId457" Type="http://schemas.openxmlformats.org/officeDocument/2006/relationships/hyperlink" Target="https://advance.lexis.com/api/document?collection=cases-ca&amp;id=urn:contentItem:5F7T-S731-FFFC-B0VP-00000-00&amp;context=" TargetMode="External" /><Relationship Id="rId458" Type="http://schemas.openxmlformats.org/officeDocument/2006/relationships/hyperlink" Target="https://advance.lexis.com/api/document?collection=cases-ca&amp;id=urn:contentItem:5F7T-S7D1-F7ND-G0HX-00000-00&amp;context=" TargetMode="External" /><Relationship Id="rId459" Type="http://schemas.openxmlformats.org/officeDocument/2006/relationships/hyperlink" Target="https://advance.lexis.com/api/document?collection=cases-ca&amp;id=urn:contentItem:5F7T-S7C1-F4NT-X41V-00000-00&amp;context=" TargetMode="External" /><Relationship Id="rId46" Type="http://schemas.openxmlformats.org/officeDocument/2006/relationships/hyperlink" Target="https://advance.lexis.com/api/document?collection=cases-ca&amp;id=urn:contentItem:5F7T-S751-JP4G-60YH-00000-00&amp;context=" TargetMode="External" /><Relationship Id="rId460" Type="http://schemas.openxmlformats.org/officeDocument/2006/relationships/hyperlink" Target="https://advance.lexis.com/api/document?collection=cases-ca&amp;id=urn:contentItem:5F7T-S7C1-F4NT-X3RV-00000-00&amp;context=" TargetMode="External" /><Relationship Id="rId461" Type="http://schemas.openxmlformats.org/officeDocument/2006/relationships/header" Target="header94.xml" /><Relationship Id="rId462" Type="http://schemas.openxmlformats.org/officeDocument/2006/relationships/header" Target="header95.xml" /><Relationship Id="rId463" Type="http://schemas.openxmlformats.org/officeDocument/2006/relationships/footer" Target="footer94.xml" /><Relationship Id="rId464" Type="http://schemas.openxmlformats.org/officeDocument/2006/relationships/footer" Target="footer95.xml" /><Relationship Id="rId465" Type="http://schemas.openxmlformats.org/officeDocument/2006/relationships/header" Target="header96.xml" /><Relationship Id="rId466" Type="http://schemas.openxmlformats.org/officeDocument/2006/relationships/footer" Target="footer96.xml" /><Relationship Id="rId467" Type="http://schemas.openxmlformats.org/officeDocument/2006/relationships/hyperlink" Target="https://advance.lexis.com/api/document?collection=cases-ca&amp;id=urn:contentItem:5MF2-KC41-F60C-X1H7-00000-00&amp;context=" TargetMode="External" /><Relationship Id="rId468" Type="http://schemas.openxmlformats.org/officeDocument/2006/relationships/hyperlink" Target="https://advance.lexis.com/api/document?collection=cases-ca&amp;id=urn:contentItem:5F7T-S7H1-F4GK-M3BG-00000-00&amp;context=" TargetMode="External" /><Relationship Id="rId469" Type="http://schemas.openxmlformats.org/officeDocument/2006/relationships/hyperlink" Target="https://advance.lexis.com/api/document?collection=cases-ca&amp;id=urn:contentItem:5F8T-N3R1-JNS1-M11K-00000-00&amp;context=" TargetMode="External" /><Relationship Id="rId47" Type="http://schemas.openxmlformats.org/officeDocument/2006/relationships/hyperlink" Target="https://advance.lexis.com/api/document?collection=cases-ca&amp;id=urn:contentItem:5XR8-3VP1-F4GK-M4J5-00000-00&amp;context=" TargetMode="External" /><Relationship Id="rId470" Type="http://schemas.openxmlformats.org/officeDocument/2006/relationships/hyperlink" Target="https://advance.lexis.com/api/document?collection=cases-ca&amp;id=urn:contentItem:5F7T-S6S1-F60C-X0SM-00000-00&amp;context=" TargetMode="External" /><Relationship Id="rId471" Type="http://schemas.openxmlformats.org/officeDocument/2006/relationships/hyperlink" Target="https://advance.lexis.com/api/document?collection=cases-ca&amp;id=urn:contentItem:5F7T-S6R1-JGPY-X176-00000-00&amp;context=" TargetMode="External" /><Relationship Id="rId472" Type="http://schemas.openxmlformats.org/officeDocument/2006/relationships/hyperlink" Target="https://advance.lexis.com/api/document?collection=cases-ca&amp;id=urn:contentItem:5HD5-ST21-F2F4-G3K8-00000-00&amp;context=" TargetMode="External" /><Relationship Id="rId473" Type="http://schemas.openxmlformats.org/officeDocument/2006/relationships/hyperlink" Target="https://advance.lexis.com/api/document?collection=cases-ca&amp;id=urn:contentItem:5F7T-S6T1-F528-G11Y-00000-00&amp;context=" TargetMode="External" /><Relationship Id="rId474" Type="http://schemas.openxmlformats.org/officeDocument/2006/relationships/hyperlink" Target="https://advance.lexis.com/api/document?collection=cases-ca&amp;id=urn:contentItem:5F7T-S6P1-F7G6-6157-00000-00&amp;context=" TargetMode="External" /><Relationship Id="rId475" Type="http://schemas.openxmlformats.org/officeDocument/2006/relationships/hyperlink" Target="https://advance.lexis.com/api/document?collection=cases-ca&amp;id=urn:contentItem:5F7T-S771-F81W-22B3-00000-00&amp;context=" TargetMode="External" /><Relationship Id="rId476" Type="http://schemas.openxmlformats.org/officeDocument/2006/relationships/hyperlink" Target="https://advance.lexis.com/api/document?collection=cases-ca&amp;id=urn:contentItem:5F7H-SCN1-FG12-6103-00000-00&amp;context=" TargetMode="External" /><Relationship Id="rId477" Type="http://schemas.openxmlformats.org/officeDocument/2006/relationships/hyperlink" Target="https://advance.lexis.com/api/document?collection=cases-ca&amp;id=urn:contentItem:5F7H-SCP1-JFDC-X1GV-00000-00&amp;context=" TargetMode="External" /><Relationship Id="rId478" Type="http://schemas.openxmlformats.org/officeDocument/2006/relationships/hyperlink" Target="https://advance.lexis.com/api/document?collection=cases-ca&amp;id=urn:contentItem:5F8P-SD21-JNS1-M4NM-00000-00&amp;context=" TargetMode="External" /><Relationship Id="rId479" Type="http://schemas.openxmlformats.org/officeDocument/2006/relationships/hyperlink" Target="https://advance.lexis.com/api/document?collection=legislation-ca&amp;id=urn:contentItem:5W07-7G11-JN6B-S0D8-00000-00&amp;context=" TargetMode="External" /><Relationship Id="rId48" Type="http://schemas.openxmlformats.org/officeDocument/2006/relationships/hyperlink" Target="https://advance.lexis.com/api/document?collection=cases-ca&amp;id=urn:contentItem:5F81-VJX1-JX3N-B1HH-00000-00&amp;context=" TargetMode="External" /><Relationship Id="rId480" Type="http://schemas.openxmlformats.org/officeDocument/2006/relationships/hyperlink" Target="https://advance.lexis.com/api/document?collection=cases-ca&amp;id=urn:contentItem:5F7T-S6W1-F7ND-G2NC-00000-00&amp;context=" TargetMode="External" /><Relationship Id="rId481" Type="http://schemas.openxmlformats.org/officeDocument/2006/relationships/hyperlink" Target="https://advance.lexis.com/api/document?collection=cases-ca&amp;id=urn:contentItem:5F7H-SCN1-FG12-614H-00000-00&amp;context=" TargetMode="External" /><Relationship Id="rId482" Type="http://schemas.openxmlformats.org/officeDocument/2006/relationships/hyperlink" Target="https://advance.lexis.com/api/document?collection=cases-ca&amp;id=urn:contentItem:5F8P-SCN1-JJ6S-63BH-00000-00&amp;context=" TargetMode="External" /><Relationship Id="rId483" Type="http://schemas.openxmlformats.org/officeDocument/2006/relationships/hyperlink" Target="https://advance.lexis.com/api/document?collection=cases-ca&amp;id=urn:contentItem:5F7T-S711-JG02-S1KV-00000-00&amp;context=" TargetMode="External" /><Relationship Id="rId484" Type="http://schemas.openxmlformats.org/officeDocument/2006/relationships/hyperlink" Target="https://advance.lexis.com/api/document?collection=cases-ca&amp;id=urn:contentItem:5KDN-X121-F2F4-G089-00000-00&amp;context=" TargetMode="External" /><Relationship Id="rId485" Type="http://schemas.openxmlformats.org/officeDocument/2006/relationships/hyperlink" Target="https://advance.lexis.com/api/document?collection=cases-ca&amp;id=urn:contentItem:5F7T-S7M1-F4W2-622C-00000-00&amp;context=" TargetMode="External" /><Relationship Id="rId486" Type="http://schemas.openxmlformats.org/officeDocument/2006/relationships/hyperlink" Target="https://advance.lexis.com/api/document?collection=cases-ca&amp;id=urn:contentItem:5F7T-S7J1-JYYX-6211-00000-00&amp;context=" TargetMode="External" /><Relationship Id="rId487" Type="http://schemas.openxmlformats.org/officeDocument/2006/relationships/hyperlink" Target="https://advance.lexis.com/api/document?collection=cases-ca&amp;id=urn:contentItem:5F7T-S7B1-JSRM-608F-00000-00&amp;context=" TargetMode="External" /><Relationship Id="rId488" Type="http://schemas.openxmlformats.org/officeDocument/2006/relationships/hyperlink" Target="https://advance.lexis.com/api/document?collection=cases-ca&amp;id=urn:contentItem:5F7T-S7D1-FC6N-X0G7-00000-00&amp;context=" TargetMode="External" /><Relationship Id="rId489" Type="http://schemas.openxmlformats.org/officeDocument/2006/relationships/header" Target="header97.xml" /><Relationship Id="rId49" Type="http://schemas.openxmlformats.org/officeDocument/2006/relationships/hyperlink" Target="https://advance.lexis.com/api/document?collection=cases-ca&amp;id=urn:contentItem:5F7T-S741-FJM6-61FS-00000-00&amp;context=" TargetMode="External" /><Relationship Id="rId490" Type="http://schemas.openxmlformats.org/officeDocument/2006/relationships/header" Target="header98.xml" /><Relationship Id="rId491" Type="http://schemas.openxmlformats.org/officeDocument/2006/relationships/footer" Target="footer97.xml" /><Relationship Id="rId492" Type="http://schemas.openxmlformats.org/officeDocument/2006/relationships/footer" Target="footer98.xml" /><Relationship Id="rId493" Type="http://schemas.openxmlformats.org/officeDocument/2006/relationships/header" Target="header99.xml" /><Relationship Id="rId494" Type="http://schemas.openxmlformats.org/officeDocument/2006/relationships/footer" Target="footer99.xml" /><Relationship Id="rId495" Type="http://schemas.openxmlformats.org/officeDocument/2006/relationships/hyperlink" Target="https://advance.lexis.com/api/document?collection=cases-ca&amp;id=urn:contentItem:5F7T-S7D1-JG02-S2W7-00000-00&amp;context=" TargetMode="External" /><Relationship Id="rId496" Type="http://schemas.openxmlformats.org/officeDocument/2006/relationships/hyperlink" Target="https://advance.lexis.com/api/document?collection=cases-ca&amp;id=urn:contentItem:5F7F-5RH1-F873-B02T-00000-00&amp;context=" TargetMode="External" /><Relationship Id="rId497" Type="http://schemas.openxmlformats.org/officeDocument/2006/relationships/hyperlink" Target="https://advance.lexis.com/api/document?collection=cases-ca&amp;id=urn:contentItem:5F8W-M421-F900-G4YY-00000-00&amp;context=" TargetMode="External" /><Relationship Id="rId498" Type="http://schemas.openxmlformats.org/officeDocument/2006/relationships/hyperlink" Target="https://advance.lexis.com/api/document?collection=cases-ca&amp;id=urn:contentItem:5F8P-SBR1-F65M-61HJ-00000-00&amp;context=" TargetMode="External" /><Relationship Id="rId499" Type="http://schemas.openxmlformats.org/officeDocument/2006/relationships/hyperlink" Target="https://advance.lexis.com/api/document?collection=cases-ca&amp;id=urn:contentItem:5K6Y-81N1-F7ND-G2XH-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8P-SD11-JGHR-M4BG-00000-00&amp;context=" TargetMode="External" /><Relationship Id="rId500" Type="http://schemas.openxmlformats.org/officeDocument/2006/relationships/hyperlink" Target="https://advance.lexis.com/api/document?collection=cases-ca&amp;id=urn:contentItem:5F7T-S761-F81W-2264-00000-00&amp;context=" TargetMode="External" /><Relationship Id="rId501" Type="http://schemas.openxmlformats.org/officeDocument/2006/relationships/hyperlink" Target="https://advance.lexis.com/api/document?collection=cases-ca&amp;id=urn:contentItem:5F7T-S791-JCJ5-24TT-00000-00&amp;context=" TargetMode="External" /><Relationship Id="rId502" Type="http://schemas.openxmlformats.org/officeDocument/2006/relationships/hyperlink" Target="https://advance.lexis.com/api/document?collection=cases-ca&amp;id=urn:contentItem:5F7T-S7C1-JSRM-60W2-00000-00&amp;context=" TargetMode="External" /><Relationship Id="rId503" Type="http://schemas.openxmlformats.org/officeDocument/2006/relationships/hyperlink" Target="https://advance.lexis.com/api/document?collection=cases-ca&amp;id=urn:contentItem:5F7T-S6T1-FJTD-G1S3-00000-00&amp;context=" TargetMode="External" /><Relationship Id="rId504" Type="http://schemas.openxmlformats.org/officeDocument/2006/relationships/hyperlink" Target="https://advance.lexis.com/api/document?collection=cases-ca&amp;id=urn:contentItem:5F7T-S751-JP4G-6181-00000-00&amp;context=" TargetMode="External" /><Relationship Id="rId505" Type="http://schemas.openxmlformats.org/officeDocument/2006/relationships/header" Target="header100.xml" /><Relationship Id="rId506" Type="http://schemas.openxmlformats.org/officeDocument/2006/relationships/header" Target="header101.xml" /><Relationship Id="rId507" Type="http://schemas.openxmlformats.org/officeDocument/2006/relationships/footer" Target="footer100.xml" /><Relationship Id="rId508" Type="http://schemas.openxmlformats.org/officeDocument/2006/relationships/footer" Target="footer101.xml" /><Relationship Id="rId509" Type="http://schemas.openxmlformats.org/officeDocument/2006/relationships/header" Target="header102.xml" /><Relationship Id="rId51" Type="http://schemas.openxmlformats.org/officeDocument/2006/relationships/hyperlink" Target="https://advance.lexis.com/api/document?collection=cases-ca&amp;id=urn:contentItem:5F8P-SD31-JC5P-G1T5-00000-00&amp;context=" TargetMode="External" /><Relationship Id="rId510" Type="http://schemas.openxmlformats.org/officeDocument/2006/relationships/footer" Target="footer102.xml" /><Relationship Id="rId511" Type="http://schemas.openxmlformats.org/officeDocument/2006/relationships/hyperlink" Target="https://advance.lexis.com/api/document?collection=cases-ca&amp;id=urn:contentItem:5F7T-S7F1-FJTD-G39C-00000-00&amp;context=" TargetMode="External" /><Relationship Id="rId512" Type="http://schemas.openxmlformats.org/officeDocument/2006/relationships/hyperlink" Target="https://advance.lexis.com/api/document?collection=legislation-ca&amp;id=urn:contentItem:5F41-1FJ1-JKPJ-G0P7-00000-00&amp;context=" TargetMode="External" /><Relationship Id="rId513" Type="http://schemas.openxmlformats.org/officeDocument/2006/relationships/hyperlink" Target="https://advance.lexis.com/api/document?collection=cases-ca&amp;id=urn:contentItem:5F7T-S701-JJ6S-61KT-00000-00&amp;context=" TargetMode="External" /><Relationship Id="rId514" Type="http://schemas.openxmlformats.org/officeDocument/2006/relationships/hyperlink" Target="https://advance.lexis.com/api/document?collection=cases-ca&amp;id=urn:contentItem:5F7T-S6X1-K054-G1HC-00000-00&amp;context=" TargetMode="External" /><Relationship Id="rId515" Type="http://schemas.openxmlformats.org/officeDocument/2006/relationships/hyperlink" Target="https://advance.lexis.com/api/document?collection=cases-ca&amp;id=urn:contentItem:5F7T-S6Y1-JP9P-G1KG-00000-00&amp;context=" TargetMode="External" /><Relationship Id="rId516" Type="http://schemas.openxmlformats.org/officeDocument/2006/relationships/hyperlink" Target="https://advance.lexis.com/api/document?collection=cases-ca&amp;id=urn:contentItem:5F7T-S7B1-JSRM-60H4-00000-00&amp;context=" TargetMode="External" /><Relationship Id="rId517" Type="http://schemas.openxmlformats.org/officeDocument/2006/relationships/hyperlink" Target="https://advance.lexis.com/api/document?collection=cases-ca&amp;id=urn:contentItem:5F7T-S761-F81W-21SY-00000-00&amp;context=" TargetMode="External" /><Relationship Id="rId518" Type="http://schemas.openxmlformats.org/officeDocument/2006/relationships/header" Target="header103.xml" /><Relationship Id="rId519" Type="http://schemas.openxmlformats.org/officeDocument/2006/relationships/header" Target="header104.xml" /><Relationship Id="rId52" Type="http://schemas.openxmlformats.org/officeDocument/2006/relationships/hyperlink" Target="https://advance.lexis.com/api/document?collection=cases-ca&amp;id=urn:contentItem:5F8P-SD31-JSRM-62VR-00000-00&amp;context=" TargetMode="External" /><Relationship Id="rId520" Type="http://schemas.openxmlformats.org/officeDocument/2006/relationships/footer" Target="footer103.xml" /><Relationship Id="rId521" Type="http://schemas.openxmlformats.org/officeDocument/2006/relationships/footer" Target="footer104.xml" /><Relationship Id="rId522" Type="http://schemas.openxmlformats.org/officeDocument/2006/relationships/header" Target="header105.xml" /><Relationship Id="rId523" Type="http://schemas.openxmlformats.org/officeDocument/2006/relationships/footer" Target="footer105.xml" /><Relationship Id="rId524" Type="http://schemas.openxmlformats.org/officeDocument/2006/relationships/hyperlink" Target="https://advance.lexis.com/api/document?collection=cases-ca&amp;id=urn:contentItem:5F7T-S7D1-F7ND-G0J4-00000-00&amp;context=" TargetMode="External" /><Relationship Id="rId525" Type="http://schemas.openxmlformats.org/officeDocument/2006/relationships/hyperlink" Target="https://advance.lexis.com/api/document?collection=cases-ca&amp;id=urn:contentItem:5F7T-S731-JNJT-B1W0-00000-00&amp;context=" TargetMode="External" /><Relationship Id="rId526" Type="http://schemas.openxmlformats.org/officeDocument/2006/relationships/hyperlink" Target="https://advance.lexis.com/api/document?collection=cases-ca&amp;id=urn:contentItem:5F7T-S6T1-JTNR-M2JY-00000-00&amp;context=" TargetMode="External" /><Relationship Id="rId527" Type="http://schemas.openxmlformats.org/officeDocument/2006/relationships/hyperlink" Target="https://advance.lexis.com/api/document?collection=cases-ca&amp;id=urn:contentItem:5F7T-S6Y1-JP9P-G1N2-00000-00&amp;context=" TargetMode="External" /><Relationship Id="rId528" Type="http://schemas.openxmlformats.org/officeDocument/2006/relationships/hyperlink" Target="https://advance.lexis.com/api/document?collection=cases-ca&amp;id=urn:contentItem:5F7T-S6S1-F60C-X0ST-00000-00&amp;context=" TargetMode="External" /><Relationship Id="rId529" Type="http://schemas.openxmlformats.org/officeDocument/2006/relationships/hyperlink" Target="https://advance.lexis.com/api/document?collection=cases-ca&amp;id=urn:contentItem:5F8T-N3P1-F956-S157-00000-00&amp;context=" TargetMode="External" /><Relationship Id="rId53" Type="http://schemas.openxmlformats.org/officeDocument/2006/relationships/hyperlink" Target="https://advance.lexis.com/api/document?collection=cases-ca&amp;id=urn:contentItem:5F8P-SD61-JWJ0-G25N-00000-00&amp;context=" TargetMode="External" /><Relationship Id="rId530" Type="http://schemas.openxmlformats.org/officeDocument/2006/relationships/header" Target="header106.xml" /><Relationship Id="rId531" Type="http://schemas.openxmlformats.org/officeDocument/2006/relationships/header" Target="header107.xml" /><Relationship Id="rId532" Type="http://schemas.openxmlformats.org/officeDocument/2006/relationships/footer" Target="footer106.xml" /><Relationship Id="rId533" Type="http://schemas.openxmlformats.org/officeDocument/2006/relationships/footer" Target="footer107.xml" /><Relationship Id="rId534" Type="http://schemas.openxmlformats.org/officeDocument/2006/relationships/header" Target="header108.xml" /><Relationship Id="rId535" Type="http://schemas.openxmlformats.org/officeDocument/2006/relationships/footer" Target="footer108.xml" /><Relationship Id="rId536" Type="http://schemas.openxmlformats.org/officeDocument/2006/relationships/hyperlink" Target="https://advance.lexis.com/api/document?collection=cases-ca&amp;id=urn:contentItem:5F7T-S7N1-DXWW-206W-00000-00&amp;context=" TargetMode="External" /><Relationship Id="rId537" Type="http://schemas.openxmlformats.org/officeDocument/2006/relationships/hyperlink" Target="https://advance.lexis.com/api/document?collection=legislation-ca&amp;id=urn:contentItem:5F41-1FJ1-F7ND-G09N-00000-00&amp;context=" TargetMode="External" /><Relationship Id="rId538" Type="http://schemas.openxmlformats.org/officeDocument/2006/relationships/hyperlink" Target="https://advance.lexis.com/api/document?collection=cases-ca&amp;id=urn:contentItem:5F8T-N3V1-JTGH-B13W-00000-00&amp;context=" TargetMode="External" /><Relationship Id="rId539" Type="http://schemas.openxmlformats.org/officeDocument/2006/relationships/hyperlink" Target="https://advance.lexis.com/api/document?collection=cases-ca&amp;id=urn:contentItem:5F8T-N3V1-FC1F-M4C7-00000-00&amp;context=" TargetMode="External" /><Relationship Id="rId54" Type="http://schemas.openxmlformats.org/officeDocument/2006/relationships/hyperlink" Target="https://advance.lexis.com/api/document?collection=cases-ca&amp;id=urn:contentItem:5F7T-S761-JX8W-M32W-00000-00&amp;context=" TargetMode="External" /><Relationship Id="rId540" Type="http://schemas.openxmlformats.org/officeDocument/2006/relationships/hyperlink" Target="https://advance.lexis.com/api/document?collection=cases-ca&amp;id=urn:contentItem:5F7T-S7K1-DY33-B1TV-00000-00&amp;context=" TargetMode="External" /><Relationship Id="rId541" Type="http://schemas.openxmlformats.org/officeDocument/2006/relationships/hyperlink" Target="https://advance.lexis.com/api/document?collection=cases-ca&amp;id=urn:contentItem:5F7T-S7J1-JGBH-B2HV-00000-00&amp;context=" TargetMode="External" /><Relationship Id="rId542" Type="http://schemas.openxmlformats.org/officeDocument/2006/relationships/header" Target="header109.xml" /><Relationship Id="rId543" Type="http://schemas.openxmlformats.org/officeDocument/2006/relationships/header" Target="header110.xml" /><Relationship Id="rId544" Type="http://schemas.openxmlformats.org/officeDocument/2006/relationships/footer" Target="footer109.xml" /><Relationship Id="rId545" Type="http://schemas.openxmlformats.org/officeDocument/2006/relationships/footer" Target="footer110.xml" /><Relationship Id="rId546" Type="http://schemas.openxmlformats.org/officeDocument/2006/relationships/header" Target="header111.xml" /><Relationship Id="rId547" Type="http://schemas.openxmlformats.org/officeDocument/2006/relationships/footer" Target="footer111.xml" /><Relationship Id="rId548" Type="http://schemas.openxmlformats.org/officeDocument/2006/relationships/hyperlink" Target="https://advance.lexis.com/api/document?collection=cases-ca&amp;id=urn:contentItem:5F7T-S7B1-FH4C-X3BH-00000-00&amp;context=" TargetMode="External" /><Relationship Id="rId549" Type="http://schemas.openxmlformats.org/officeDocument/2006/relationships/hyperlink" Target="https://advance.lexis.com/api/document?collection=cases-ca&amp;id=urn:contentItem:5F7T-S761-F81W-21P8-00000-00&amp;context=" TargetMode="External" /><Relationship Id="rId55" Type="http://schemas.openxmlformats.org/officeDocument/2006/relationships/header" Target="header10.xml" /><Relationship Id="rId550" Type="http://schemas.openxmlformats.org/officeDocument/2006/relationships/hyperlink" Target="https://advance.lexis.com/api/document?collection=cases-ca&amp;id=urn:contentItem:5F7T-S6V1-JTNR-M395-00000-00&amp;context=" TargetMode="External" /><Relationship Id="rId551" Type="http://schemas.openxmlformats.org/officeDocument/2006/relationships/hyperlink" Target="https://advance.lexis.com/api/document?collection=cases-ca&amp;id=urn:contentItem:5F7T-S761-JS5Y-B1S6-00000-00&amp;context=" TargetMode="External" /><Relationship Id="rId552" Type="http://schemas.openxmlformats.org/officeDocument/2006/relationships/hyperlink" Target="https://advance.lexis.com/api/document?collection=cases-ca&amp;id=urn:contentItem:5F7T-S6T1-JTNR-M2MX-00000-00&amp;context=" TargetMode="External" /><Relationship Id="rId553" Type="http://schemas.openxmlformats.org/officeDocument/2006/relationships/hyperlink" Target="https://advance.lexis.com/api/document?collection=cases-ca&amp;id=urn:contentItem:5F7T-S6Y1-JPP5-2184-00000-00&amp;context=" TargetMode="External" /><Relationship Id="rId554" Type="http://schemas.openxmlformats.org/officeDocument/2006/relationships/header" Target="header112.xml" /><Relationship Id="rId555" Type="http://schemas.openxmlformats.org/officeDocument/2006/relationships/header" Target="header113.xml" /><Relationship Id="rId556" Type="http://schemas.openxmlformats.org/officeDocument/2006/relationships/footer" Target="footer112.xml" /><Relationship Id="rId557" Type="http://schemas.openxmlformats.org/officeDocument/2006/relationships/footer" Target="footer113.xml" /><Relationship Id="rId558" Type="http://schemas.openxmlformats.org/officeDocument/2006/relationships/header" Target="header114.xml" /><Relationship Id="rId559" Type="http://schemas.openxmlformats.org/officeDocument/2006/relationships/footer" Target="footer114.xml" /><Relationship Id="rId56" Type="http://schemas.openxmlformats.org/officeDocument/2006/relationships/header" Target="header11.xml" /><Relationship Id="rId560" Type="http://schemas.openxmlformats.org/officeDocument/2006/relationships/hyperlink" Target="https://advance.lexis.com/api/document?collection=cases-ca&amp;id=urn:contentItem:5F7T-S7P1-F2TK-2365-00000-00&amp;context=" TargetMode="External" /><Relationship Id="rId561" Type="http://schemas.openxmlformats.org/officeDocument/2006/relationships/hyperlink" Target="https://advance.lexis.com/api/document?collection=cases-ca&amp;id=urn:contentItem:5K6Y-81N1-JFDC-X1F2-00000-00&amp;context=" TargetMode="External" /><Relationship Id="rId562" Type="http://schemas.openxmlformats.org/officeDocument/2006/relationships/hyperlink" Target="https://advance.lexis.com/api/document?collection=cases-ca&amp;id=urn:contentItem:5F7T-S7F1-FFFC-B22N-00000-00&amp;context=" TargetMode="External" /><Relationship Id="rId563" Type="http://schemas.openxmlformats.org/officeDocument/2006/relationships/hyperlink" Target="https://advance.lexis.com/api/document?collection=cases-ca&amp;id=urn:contentItem:5F8T-N3V1-JTGH-B19T-00000-00&amp;context=" TargetMode="External" /><Relationship Id="rId564" Type="http://schemas.openxmlformats.org/officeDocument/2006/relationships/hyperlink" Target="https://advance.lexis.com/api/document?collection=cases-ca&amp;id=urn:contentItem:5F7T-S7N1-JGHR-M2YG-00000-00&amp;context=" TargetMode="External" /><Relationship Id="rId565" Type="http://schemas.openxmlformats.org/officeDocument/2006/relationships/hyperlink" Target="https://advance.lexis.com/api/document?collection=cases-ca&amp;id=urn:contentItem:5F8P-SFC1-JXG3-X413-00000-00&amp;context=" TargetMode="External" /><Relationship Id="rId566" Type="http://schemas.openxmlformats.org/officeDocument/2006/relationships/hyperlink" Target="https://advance.lexis.com/api/document?collection=cases-ca&amp;id=urn:contentItem:5F8P-SFH1-FBV7-B3FV-00000-00&amp;context=" TargetMode="External" /><Relationship Id="rId567" Type="http://schemas.openxmlformats.org/officeDocument/2006/relationships/hyperlink" Target="https://advance.lexis.com/api/document?collection=cases-ca&amp;id=urn:contentItem:5F8T-N3V1-FC1F-M3X1-00000-00&amp;context=" TargetMode="External" /><Relationship Id="rId568" Type="http://schemas.openxmlformats.org/officeDocument/2006/relationships/hyperlink" Target="https://advance.lexis.com/api/document?collection=cases-ca&amp;id=urn:contentItem:5F7T-S7H1-F4GK-M3DN-00000-00&amp;context=" TargetMode="External" /><Relationship Id="rId569" Type="http://schemas.openxmlformats.org/officeDocument/2006/relationships/header" Target="header115.xml" /><Relationship Id="rId57" Type="http://schemas.openxmlformats.org/officeDocument/2006/relationships/footer" Target="footer10.xml" /><Relationship Id="rId570" Type="http://schemas.openxmlformats.org/officeDocument/2006/relationships/header" Target="header116.xml" /><Relationship Id="rId571" Type="http://schemas.openxmlformats.org/officeDocument/2006/relationships/footer" Target="footer115.xml" /><Relationship Id="rId572" Type="http://schemas.openxmlformats.org/officeDocument/2006/relationships/footer" Target="footer116.xml" /><Relationship Id="rId573" Type="http://schemas.openxmlformats.org/officeDocument/2006/relationships/header" Target="header117.xml" /><Relationship Id="rId574" Type="http://schemas.openxmlformats.org/officeDocument/2006/relationships/footer" Target="footer117.xml" /><Relationship Id="rId575" Type="http://schemas.openxmlformats.org/officeDocument/2006/relationships/hyperlink" Target="https://advance.lexis.com/api/document?collection=cases-ca&amp;id=urn:contentItem:5F7T-S7D1-FC6N-X0K1-00000-00&amp;context=" TargetMode="External" /><Relationship Id="rId576" Type="http://schemas.openxmlformats.org/officeDocument/2006/relationships/hyperlink" Target="https://advance.lexis.com/api/document?collection=cases-ca&amp;id=urn:contentItem:5F7V-3DJ1-JF1Y-B29F-00000-00&amp;context=" TargetMode="External" /><Relationship Id="rId577" Type="http://schemas.openxmlformats.org/officeDocument/2006/relationships/hyperlink" Target="https://advance.lexis.com/api/document?collection=cases-ca&amp;id=urn:contentItem:5F7T-S781-JC5P-G1RS-00000-00&amp;context=" TargetMode="External" /><Relationship Id="rId578" Type="http://schemas.openxmlformats.org/officeDocument/2006/relationships/hyperlink" Target="https://advance.lexis.com/api/document?collection=cases-ca&amp;id=urn:contentItem:5F7T-S731-FFFC-B0D7-00000-00&amp;context=" TargetMode="External" /><Relationship Id="rId579" Type="http://schemas.openxmlformats.org/officeDocument/2006/relationships/hyperlink" Target="https://advance.lexis.com/api/document?collection=cases-ca&amp;id=urn:contentItem:5F8P-SDH1-JBDT-B2W7-00000-00&amp;context=" TargetMode="External" /><Relationship Id="rId58" Type="http://schemas.openxmlformats.org/officeDocument/2006/relationships/footer" Target="footer11.xml" /><Relationship Id="rId580" Type="http://schemas.openxmlformats.org/officeDocument/2006/relationships/hyperlink" Target="https://advance.lexis.com/api/document?collection=cases-ca&amp;id=urn:contentItem:5F81-VJX1-FGY5-M3H4-00000-00&amp;context=" TargetMode="External" /><Relationship Id="rId581" Type="http://schemas.openxmlformats.org/officeDocument/2006/relationships/hyperlink" Target="https://advance.lexis.com/api/document?collection=cases-ca&amp;id=urn:contentItem:5F8P-SDD1-JK4W-M474-00000-00&amp;context=" TargetMode="External" /><Relationship Id="rId582" Type="http://schemas.openxmlformats.org/officeDocument/2006/relationships/hyperlink" Target="https://advance.lexis.com/api/document?collection=cases-ca&amp;id=urn:contentItem:5F8P-SD91-FC1F-M272-00000-00&amp;context=" TargetMode="External" /><Relationship Id="rId583" Type="http://schemas.openxmlformats.org/officeDocument/2006/relationships/hyperlink" Target="https://advance.lexis.com/api/document?collection=cases-ca&amp;id=urn:contentItem:5F7T-S701-FJDY-X2S7-00000-00&amp;context=" TargetMode="External" /><Relationship Id="rId584" Type="http://schemas.openxmlformats.org/officeDocument/2006/relationships/hyperlink" Target="https://advance.lexis.com/api/document?collection=cases-ca&amp;id=urn:contentItem:5F7T-S7B1-JSRM-602H-00000-00&amp;context=" TargetMode="External" /><Relationship Id="rId585" Type="http://schemas.openxmlformats.org/officeDocument/2006/relationships/hyperlink" Target="https://advance.lexis.com/api/document?collection=cases-ca&amp;id=urn:contentItem:5F7T-S781-F7G6-63C6-00000-00&amp;context=" TargetMode="External" /><Relationship Id="rId586" Type="http://schemas.openxmlformats.org/officeDocument/2006/relationships/header" Target="header118.xml" /><Relationship Id="rId587" Type="http://schemas.openxmlformats.org/officeDocument/2006/relationships/header" Target="header119.xml" /><Relationship Id="rId588" Type="http://schemas.openxmlformats.org/officeDocument/2006/relationships/footer" Target="footer118.xml" /><Relationship Id="rId589" Type="http://schemas.openxmlformats.org/officeDocument/2006/relationships/footer" Target="footer119.xml" /><Relationship Id="rId59" Type="http://schemas.openxmlformats.org/officeDocument/2006/relationships/header" Target="header12.xml" /><Relationship Id="rId590" Type="http://schemas.openxmlformats.org/officeDocument/2006/relationships/header" Target="header120.xml" /><Relationship Id="rId591" Type="http://schemas.openxmlformats.org/officeDocument/2006/relationships/footer" Target="footer120.xml" /><Relationship Id="rId592" Type="http://schemas.openxmlformats.org/officeDocument/2006/relationships/hyperlink" Target="https://advance.lexis.com/api/document?collection=cases-ca&amp;id=urn:contentItem:5F7T-S7D1-JN6B-S0W8-00000-00&amp;context=" TargetMode="External" /><Relationship Id="rId593" Type="http://schemas.openxmlformats.org/officeDocument/2006/relationships/hyperlink" Target="https://advance.lexis.com/api/document?collection=cases-ca&amp;id=urn:contentItem:5F8P-SDM1-JJSF-2168-00000-00&amp;context=" TargetMode="External" /><Relationship Id="rId594" Type="http://schemas.openxmlformats.org/officeDocument/2006/relationships/hyperlink" Target="https://advance.lexis.com/api/document?collection=cases-ca&amp;id=urn:contentItem:5F7T-S761-JCBX-S0XB-00000-00&amp;context=" TargetMode="External" /><Relationship Id="rId595" Type="http://schemas.openxmlformats.org/officeDocument/2006/relationships/hyperlink" Target="https://advance.lexis.com/api/document?collection=cases-ca&amp;id=urn:contentItem:5F7T-S771-JJD0-G149-00000-00&amp;context=" TargetMode="External" /><Relationship Id="rId596" Type="http://schemas.openxmlformats.org/officeDocument/2006/relationships/hyperlink" Target="https://advance.lexis.com/api/document?collection=cases-ca&amp;id=urn:contentItem:5F7T-S751-JBM1-M2HP-00000-00&amp;context=" TargetMode="External" /><Relationship Id="rId597" Type="http://schemas.openxmlformats.org/officeDocument/2006/relationships/hyperlink" Target="https://advance.lexis.com/api/document?collection=cases-ca&amp;id=urn:contentItem:5F7T-S7C1-F4NT-X336-00000-00&amp;context=" TargetMode="External" /><Relationship Id="rId598" Type="http://schemas.openxmlformats.org/officeDocument/2006/relationships/hyperlink" Target="https://advance.lexis.com/api/document?collection=cases-ca&amp;id=urn:contentItem:5F7T-S7C1-JXG3-X05F-00000-00&amp;context=" TargetMode="External" /><Relationship Id="rId599" Type="http://schemas.openxmlformats.org/officeDocument/2006/relationships/header" Target="header121.xml" /><Relationship Id="rId6" Type="http://schemas.openxmlformats.org/officeDocument/2006/relationships/footer" Target="footer1.xml" /><Relationship Id="rId60" Type="http://schemas.openxmlformats.org/officeDocument/2006/relationships/footer" Target="footer12.xml" /><Relationship Id="rId600" Type="http://schemas.openxmlformats.org/officeDocument/2006/relationships/header" Target="header122.xml" /><Relationship Id="rId601" Type="http://schemas.openxmlformats.org/officeDocument/2006/relationships/footer" Target="footer121.xml" /><Relationship Id="rId602" Type="http://schemas.openxmlformats.org/officeDocument/2006/relationships/footer" Target="footer122.xml" /><Relationship Id="rId603" Type="http://schemas.openxmlformats.org/officeDocument/2006/relationships/header" Target="header123.xml" /><Relationship Id="rId604" Type="http://schemas.openxmlformats.org/officeDocument/2006/relationships/footer" Target="footer123.xml" /><Relationship Id="rId605" Type="http://schemas.openxmlformats.org/officeDocument/2006/relationships/hyperlink" Target="https://advance.lexis.com/api/document?collection=cases-ca&amp;id=urn:contentItem:5YGT-CP71-JB7K-22X3-00000-00&amp;context=" TargetMode="External" /><Relationship Id="rId606" Type="http://schemas.openxmlformats.org/officeDocument/2006/relationships/hyperlink" Target="https://advance.lexis.com/api/document?collection=cases-ca&amp;id=urn:contentItem:5F7T-S7K1-JX3N-B2V4-00000-00&amp;context=" TargetMode="External" /><Relationship Id="rId607" Type="http://schemas.openxmlformats.org/officeDocument/2006/relationships/hyperlink" Target="https://advance.lexis.com/api/document?collection=cases-ca&amp;id=urn:contentItem:5F7T-S7N1-F06F-24KX-00000-00&amp;context=" TargetMode="External" /><Relationship Id="rId608" Type="http://schemas.openxmlformats.org/officeDocument/2006/relationships/hyperlink" Target="https://advance.lexis.com/api/document?collection=cases-ca&amp;id=urn:contentItem:5F8T-N3P1-F7ND-G14C-00000-00&amp;context=" TargetMode="External" /><Relationship Id="rId609" Type="http://schemas.openxmlformats.org/officeDocument/2006/relationships/hyperlink" Target="https://advance.lexis.com/api/document?collection=cases-ca&amp;id=urn:contentItem:5F81-YGW1-DYFH-X025-00000-00&amp;context=" TargetMode="External" /><Relationship Id="rId61" Type="http://schemas.openxmlformats.org/officeDocument/2006/relationships/hyperlink" Target="https://advance.lexis.com/api/document?collection=cases-ca&amp;id=urn:contentItem:5F7T-S7D1-DY89-M499-00000-00&amp;context=" TargetMode="External" /><Relationship Id="rId610" Type="http://schemas.openxmlformats.org/officeDocument/2006/relationships/hyperlink" Target="https://advance.lexis.com/api/document?collection=cases-ca&amp;id=urn:contentItem:5F8P-SC71-JK4W-M2MK-00000-00&amp;context=" TargetMode="External" /><Relationship Id="rId611" Type="http://schemas.openxmlformats.org/officeDocument/2006/relationships/hyperlink" Target="https://advance.lexis.com/api/document?collection=cases-ca&amp;id=urn:contentItem:5F8T-N3V1-JF75-M3WX-00000-00&amp;context=" TargetMode="External" /><Relationship Id="rId612" Type="http://schemas.openxmlformats.org/officeDocument/2006/relationships/hyperlink" Target="https://advance.lexis.com/api/document?collection=cases-ca&amp;id=urn:contentItem:5F16-9321-FC1F-M53V-00000-00&amp;context=" TargetMode="External" /><Relationship Id="rId613" Type="http://schemas.openxmlformats.org/officeDocument/2006/relationships/hyperlink" Target="https://advance.lexis.com/api/document?collection=cases-ca&amp;id=urn:contentItem:5F7T-S711-JNY7-X3B1-00000-00&amp;context=" TargetMode="External" /><Relationship Id="rId614" Type="http://schemas.openxmlformats.org/officeDocument/2006/relationships/hyperlink" Target="https://advance.lexis.com/api/document?collection=cases-ca&amp;id=urn:contentItem:5F7T-S7G1-JNY7-X443-00000-00&amp;context=" TargetMode="External" /><Relationship Id="rId615" Type="http://schemas.openxmlformats.org/officeDocument/2006/relationships/hyperlink" Target="https://advance.lexis.com/api/document?collection=cases-ca&amp;id=urn:contentItem:5F7T-S7H1-JG02-S3N8-00000-00&amp;context=" TargetMode="External" /><Relationship Id="rId616" Type="http://schemas.openxmlformats.org/officeDocument/2006/relationships/hyperlink" Target="https://advance.lexis.com/api/document?collection=cases-ca&amp;id=urn:contentItem:5F7T-S7H1-JG02-S3T6-00000-00&amp;context=" TargetMode="External" /><Relationship Id="rId617" Type="http://schemas.openxmlformats.org/officeDocument/2006/relationships/hyperlink" Target="https://advance.lexis.com/api/document?collection=cases-ca&amp;id=urn:contentItem:5F7T-S7M1-JNCK-22RP-00000-00&amp;context=" TargetMode="External" /><Relationship Id="rId618" Type="http://schemas.openxmlformats.org/officeDocument/2006/relationships/hyperlink" Target="https://advance.lexis.com/api/document?collection=cases-ca&amp;id=urn:contentItem:5F7T-S7K1-JNY7-X4GT-00000-00&amp;context=" TargetMode="External" /><Relationship Id="rId619" Type="http://schemas.openxmlformats.org/officeDocument/2006/relationships/hyperlink" Target="https://advance.lexis.com/api/document?collection=cases-ca&amp;id=urn:contentItem:5F8T-N3V1-JTGH-B18F-00000-00&amp;context=" TargetMode="External" /><Relationship Id="rId62" Type="http://schemas.openxmlformats.org/officeDocument/2006/relationships/hyperlink" Target="https://advance.lexis.com/api/document?collection=legislation-ca&amp;id=urn:contentItem:5F41-1FG1-F4NT-X0BT-00000-00&amp;context=" TargetMode="External" /><Relationship Id="rId620" Type="http://schemas.openxmlformats.org/officeDocument/2006/relationships/hyperlink" Target="https://advance.lexis.com/api/document?collection=cases-ca&amp;id=urn:contentItem:5F8T-N3V1-JF75-M3S6-00000-00&amp;context=" TargetMode="External" /><Relationship Id="rId621" Type="http://schemas.openxmlformats.org/officeDocument/2006/relationships/hyperlink" Target="https://advance.lexis.com/api/document?collection=cases-ca&amp;id=urn:contentItem:5F8T-N3V1-JTGH-B153-00000-00&amp;context=" TargetMode="External" /><Relationship Id="rId622" Type="http://schemas.openxmlformats.org/officeDocument/2006/relationships/hyperlink" Target="https://advance.lexis.com/api/document?collection=cases-ca&amp;id=urn:contentItem:5F8T-N3V1-FH4C-X20M-00000-00&amp;context=" TargetMode="External" /><Relationship Id="rId623" Type="http://schemas.openxmlformats.org/officeDocument/2006/relationships/hyperlink" Target="https://advance.lexis.com/api/document?collection=cases-ca&amp;id=urn:contentItem:5F8T-N3T1-JFKM-655K-00000-00&amp;context=" TargetMode="External" /><Relationship Id="rId624" Type="http://schemas.openxmlformats.org/officeDocument/2006/relationships/hyperlink" Target="https://advance.lexis.com/api/document?collection=cases-ca&amp;id=urn:contentItem:5F7T-S7K1-JWXF-20X0-00000-00&amp;context=" TargetMode="External" /><Relationship Id="rId625" Type="http://schemas.openxmlformats.org/officeDocument/2006/relationships/hyperlink" Target="https://advance.lexis.com/api/document?collection=cases-ca&amp;id=urn:contentItem:5F82-1SJ1-DYMS-63D0-00000-00&amp;context=" TargetMode="External" /><Relationship Id="rId626" Type="http://schemas.openxmlformats.org/officeDocument/2006/relationships/hyperlink" Target="https://advance.lexis.com/api/document?collection=cases-ca&amp;id=urn:contentItem:5SJD-51G1-F016-S1Y7-00000-00&amp;context=" TargetMode="External" /><Relationship Id="rId627" Type="http://schemas.openxmlformats.org/officeDocument/2006/relationships/hyperlink" Target="https://advance.lexis.com/api/document?collection=cases-ca&amp;id=urn:contentItem:5F7T-S741-F528-G2J5-00000-00&amp;context=" TargetMode="External" /><Relationship Id="rId628" Type="http://schemas.openxmlformats.org/officeDocument/2006/relationships/hyperlink" Target="https://advance.lexis.com/api/document?collection=cases-ca&amp;id=urn:contentItem:5F7T-S7C1-JSRM-60TP-00000-00&amp;context=" TargetMode="External" /><Relationship Id="rId629" Type="http://schemas.openxmlformats.org/officeDocument/2006/relationships/hyperlink" Target="https://advance.lexis.com/api/document?collection=cases-ca&amp;id=urn:contentItem:5F7T-S761-F81W-21RK-00000-00&amp;context=" TargetMode="External" /><Relationship Id="rId63" Type="http://schemas.openxmlformats.org/officeDocument/2006/relationships/hyperlink" Target="https://advance.lexis.com/api/document?collection=cases-ca&amp;id=urn:contentItem:5F7T-S7C1-F7VM-S3BW-00000-00&amp;context=" TargetMode="External" /><Relationship Id="rId630" Type="http://schemas.openxmlformats.org/officeDocument/2006/relationships/hyperlink" Target="https://advance.lexis.com/api/document?collection=cases-ca&amp;id=urn:contentItem:5F7T-S7K1-F1H1-22C1-00000-00&amp;context=" TargetMode="External" /><Relationship Id="rId631" Type="http://schemas.openxmlformats.org/officeDocument/2006/relationships/hyperlink" Target="https://advance.lexis.com/api/document?collection=cases-ca&amp;id=urn:contentItem:5F7T-S7D1-FBFS-S1M7-00000-00&amp;context=" TargetMode="External" /><Relationship Id="rId632" Type="http://schemas.openxmlformats.org/officeDocument/2006/relationships/hyperlink" Target="https://advance.lexis.com/api/document?collection=cases-ca&amp;id=urn:contentItem:5F82-1SF1-F361-M45M-00000-00&amp;context=" TargetMode="External" /><Relationship Id="rId633" Type="http://schemas.openxmlformats.org/officeDocument/2006/relationships/hyperlink" Target="https://advance.lexis.com/api/document?collection=cases-ca&amp;id=urn:contentItem:5F8T-N3T1-JJSF-234V-00000-00&amp;context=" TargetMode="External" /><Relationship Id="rId634" Type="http://schemas.openxmlformats.org/officeDocument/2006/relationships/hyperlink" Target="https://advance.lexis.com/api/document?collection=cases-ca&amp;id=urn:contentItem:5F7T-S7N1-DXWW-2087-00000-00&amp;context=" TargetMode="External" /><Relationship Id="rId635" Type="http://schemas.openxmlformats.org/officeDocument/2006/relationships/hyperlink" Target="https://advance.lexis.com/api/document?collection=cases-ca&amp;id=urn:contentItem:5F7T-S7P1-JP4G-622X-00000-00&amp;context=" TargetMode="External" /><Relationship Id="rId636" Type="http://schemas.openxmlformats.org/officeDocument/2006/relationships/hyperlink" Target="https://advance.lexis.com/api/document?collection=cases-ca&amp;id=urn:contentItem:5NDB-4M41-F956-S0BN-00000-00&amp;context=" TargetMode="External" /><Relationship Id="rId637" Type="http://schemas.openxmlformats.org/officeDocument/2006/relationships/hyperlink" Target="https://advance.lexis.com/api/document?collection=cases-ca&amp;id=urn:contentItem:5F7T-S7D1-F7ND-G0MH-00000-00&amp;context=" TargetMode="External" /><Relationship Id="rId638" Type="http://schemas.openxmlformats.org/officeDocument/2006/relationships/hyperlink" Target="https://advance.lexis.com/api/document?collection=cases-ca&amp;id=urn:contentItem:5F7T-S7K1-JSJC-X168-00000-00&amp;context=" TargetMode="External" /><Relationship Id="rId639" Type="http://schemas.openxmlformats.org/officeDocument/2006/relationships/hyperlink" Target="https://advance.lexis.com/api/document?collection=cases-ca&amp;id=urn:contentItem:5JW3-TKC1-JGPY-X4PG-00000-00&amp;context=" TargetMode="External" /><Relationship Id="rId64" Type="http://schemas.openxmlformats.org/officeDocument/2006/relationships/hyperlink" Target="https://advance.lexis.com/api/document?collection=cases-ca&amp;id=urn:contentItem:5F7T-S741-F2F4-G2CF-00000-00&amp;context=" TargetMode="External" /><Relationship Id="rId640" Type="http://schemas.openxmlformats.org/officeDocument/2006/relationships/hyperlink" Target="https://advance.lexis.com/api/document?collection=cases-ca&amp;id=urn:contentItem:5F7T-S7N1-F06F-24M7-00000-00&amp;context=" TargetMode="External" /><Relationship Id="rId641" Type="http://schemas.openxmlformats.org/officeDocument/2006/relationships/hyperlink" Target="https://advance.lexis.com/api/document?collection=cases-ca&amp;id=urn:contentItem:5F7T-S7K1-DY33-B1K8-00000-00&amp;context=" TargetMode="External" /><Relationship Id="rId642" Type="http://schemas.openxmlformats.org/officeDocument/2006/relationships/hyperlink" Target="https://advance.lexis.com/api/document?collection=cases-ca&amp;id=urn:contentItem:5F7T-S7H1-F016-S3X8-00000-00&amp;context=" TargetMode="External" /><Relationship Id="rId643" Type="http://schemas.openxmlformats.org/officeDocument/2006/relationships/hyperlink" Target="https://advance.lexis.com/api/document?collection=cases-ca&amp;id=urn:contentItem:5F82-1SH1-F8KH-X1YH-00000-00&amp;context=" TargetMode="External" /><Relationship Id="rId644" Type="http://schemas.openxmlformats.org/officeDocument/2006/relationships/hyperlink" Target="https://advance.lexis.com/api/document?collection=cases-ca&amp;id=urn:contentItem:5F7T-S7P1-JSJC-X1SJ-00000-00&amp;context=" TargetMode="External" /><Relationship Id="rId645" Type="http://schemas.openxmlformats.org/officeDocument/2006/relationships/hyperlink" Target="https://advance.lexis.com/api/document?collection=cases-ca&amp;id=urn:contentItem:5PPC-9T11-JWJ0-G269-00000-00&amp;context=" TargetMode="External" /><Relationship Id="rId646" Type="http://schemas.openxmlformats.org/officeDocument/2006/relationships/hyperlink" Target="https://advance.lexis.com/api/document?collection=cases-ca&amp;id=urn:contentItem:5F7T-S7B1-F7ND-G50F-00000-00&amp;context=" TargetMode="External" /><Relationship Id="rId647" Type="http://schemas.openxmlformats.org/officeDocument/2006/relationships/hyperlink" Target="https://advance.lexis.com/api/document?collection=cases-ca&amp;id=urn:contentItem:5F7T-S771-JN14-G2PR-00000-00&amp;context=" TargetMode="External" /><Relationship Id="rId648" Type="http://schemas.openxmlformats.org/officeDocument/2006/relationships/hyperlink" Target="https://advance.lexis.com/api/document?collection=cases-ca&amp;id=urn:contentItem:5F7T-S701-JF75-M4N2-00000-00&amp;context=" TargetMode="External" /><Relationship Id="rId649" Type="http://schemas.openxmlformats.org/officeDocument/2006/relationships/hyperlink" Target="https://advance.lexis.com/api/document?collection=cases-ca&amp;id=urn:contentItem:5J0C-MF51-JSXV-G2N2-00000-00&amp;context=" TargetMode="External" /><Relationship Id="rId65" Type="http://schemas.openxmlformats.org/officeDocument/2006/relationships/hyperlink" Target="https://advance.lexis.com/api/document?collection=cases-ca&amp;id=urn:contentItem:5F7T-S6T1-F361-M02B-00000-00&amp;context=" TargetMode="External" /><Relationship Id="rId650" Type="http://schemas.openxmlformats.org/officeDocument/2006/relationships/hyperlink" Target="https://advance.lexis.com/api/document?collection=cases-ca&amp;id=urn:contentItem:5F7T-S7P1-JSJC-X1GW-00000-00&amp;context=" TargetMode="External" /><Relationship Id="rId651" Type="http://schemas.openxmlformats.org/officeDocument/2006/relationships/hyperlink" Target="https://advance.lexis.com/api/document?collection=cases-ca&amp;id=urn:contentItem:5F7T-S7P1-JG02-S46D-00000-00&amp;context=" TargetMode="External" /><Relationship Id="rId652" Type="http://schemas.openxmlformats.org/officeDocument/2006/relationships/hyperlink" Target="https://advance.lexis.com/api/document?collection=cases-ca&amp;id=urn:contentItem:5F81-VJX1-F5T5-M3YH-00000-00&amp;context=" TargetMode="External" /><Relationship Id="rId653" Type="http://schemas.openxmlformats.org/officeDocument/2006/relationships/hyperlink" Target="https://advance.lexis.com/api/document?collection=cases-ca&amp;id=urn:contentItem:5RTY-1871-JCBX-S0TB-00000-00&amp;context=" TargetMode="External" /><Relationship Id="rId654" Type="http://schemas.openxmlformats.org/officeDocument/2006/relationships/hyperlink" Target="https://advance.lexis.com/api/document?collection=cases-ca&amp;id=urn:contentItem:5F8T-N3V1-FC1F-M4BC-00000-00&amp;context=" TargetMode="External" /><Relationship Id="rId655" Type="http://schemas.openxmlformats.org/officeDocument/2006/relationships/hyperlink" Target="https://advance.lexis.com/api/document?collection=cases-ca&amp;id=urn:contentItem:5NDS-2931-F4GK-M0BP-00000-00&amp;context=" TargetMode="External" /><Relationship Id="rId656" Type="http://schemas.openxmlformats.org/officeDocument/2006/relationships/hyperlink" Target="https://advance.lexis.com/api/document?collection=cases-ca&amp;id=urn:contentItem:5F7T-S7K1-F1H1-227X-00000-00&amp;context=" TargetMode="External" /><Relationship Id="rId657" Type="http://schemas.openxmlformats.org/officeDocument/2006/relationships/hyperlink" Target="https://advance.lexis.com/api/document?collection=cases-ca&amp;id=urn:contentItem:5F7T-S6W1-JB7K-21F4-00000-00&amp;context=" TargetMode="External" /><Relationship Id="rId658" Type="http://schemas.openxmlformats.org/officeDocument/2006/relationships/hyperlink" Target="https://advance.lexis.com/api/document?collection=cases-ca&amp;id=urn:contentItem:5F7T-S7P1-JG02-S49X-00000-00&amp;context=" TargetMode="External" /><Relationship Id="rId659" Type="http://schemas.openxmlformats.org/officeDocument/2006/relationships/header" Target="header124.xml" /><Relationship Id="rId66" Type="http://schemas.openxmlformats.org/officeDocument/2006/relationships/hyperlink" Target="https://advance.lexis.com/api/document?collection=cases-ca&amp;id=urn:contentItem:5F7T-S731-FG12-62SN-00000-00&amp;context=" TargetMode="External" /><Relationship Id="rId660" Type="http://schemas.openxmlformats.org/officeDocument/2006/relationships/header" Target="header125.xml" /><Relationship Id="rId661" Type="http://schemas.openxmlformats.org/officeDocument/2006/relationships/footer" Target="footer124.xml" /><Relationship Id="rId662" Type="http://schemas.openxmlformats.org/officeDocument/2006/relationships/footer" Target="footer125.xml" /><Relationship Id="rId663" Type="http://schemas.openxmlformats.org/officeDocument/2006/relationships/header" Target="header126.xml" /><Relationship Id="rId664" Type="http://schemas.openxmlformats.org/officeDocument/2006/relationships/footer" Target="footer126.xml" /><Relationship Id="rId665" Type="http://schemas.openxmlformats.org/officeDocument/2006/relationships/hyperlink" Target="https://advance.lexis.com/api/document?collection=cases-ca&amp;id=urn:contentItem:5RG4-SKP1-JXG3-X07P-00000-00&amp;context=" TargetMode="External" /><Relationship Id="rId666" Type="http://schemas.openxmlformats.org/officeDocument/2006/relationships/hyperlink" Target="https://advance.lexis.com/api/document?collection=cases-ca&amp;id=urn:contentItem:5F8T-N3V1-JTGH-B1H3-00000-00&amp;context=" TargetMode="External" /><Relationship Id="rId667" Type="http://schemas.openxmlformats.org/officeDocument/2006/relationships/hyperlink" Target="https://advance.lexis.com/api/document?collection=cases-ca&amp;id=urn:contentItem:5F7T-S7M1-F4W2-6297-00000-00&amp;context=" TargetMode="External" /><Relationship Id="rId668" Type="http://schemas.openxmlformats.org/officeDocument/2006/relationships/hyperlink" Target="https://advance.lexis.com/api/document?collection=cases-ca&amp;id=urn:contentItem:5GKS-NM31-FGY5-M29D-00000-00&amp;context=" TargetMode="External" /><Relationship Id="rId669" Type="http://schemas.openxmlformats.org/officeDocument/2006/relationships/hyperlink" Target="https://advance.lexis.com/api/document?collection=cases-ca&amp;id=urn:contentItem:5F7T-S6Y1-JTNR-M4B7-00000-00&amp;context=" TargetMode="External" /><Relationship Id="rId67" Type="http://schemas.openxmlformats.org/officeDocument/2006/relationships/hyperlink" Target="https://advance.lexis.com/api/document?collection=cases-ca&amp;id=urn:contentItem:5F7V-3DJ1-F30T-B39G-00000-00&amp;context=" TargetMode="External" /><Relationship Id="rId670" Type="http://schemas.openxmlformats.org/officeDocument/2006/relationships/hyperlink" Target="https://advance.lexis.com/api/document?collection=cases-ca&amp;id=urn:contentItem:5F7T-S7J1-FGCG-S05B-00000-00&amp;context=" TargetMode="External" /><Relationship Id="rId671" Type="http://schemas.openxmlformats.org/officeDocument/2006/relationships/hyperlink" Target="https://advance.lexis.com/api/document?collection=cases-ca&amp;id=urn:contentItem:5F7T-S7K1-JNY7-X4JT-00000-00&amp;context=" TargetMode="External" /><Relationship Id="rId672" Type="http://schemas.openxmlformats.org/officeDocument/2006/relationships/hyperlink" Target="https://advance.lexis.com/api/document?collection=cases-ca&amp;id=urn:contentItem:5JGN-CPP1-JWR6-S269-00000-00&amp;context=" TargetMode="External" /><Relationship Id="rId673" Type="http://schemas.openxmlformats.org/officeDocument/2006/relationships/hyperlink" Target="https://advance.lexis.com/api/document?collection=cases-ca&amp;id=urn:contentItem:5NVG-FX31-K054-G13F-00000-00&amp;context=" TargetMode="External" /><Relationship Id="rId674" Type="http://schemas.openxmlformats.org/officeDocument/2006/relationships/hyperlink" Target="https://advance.lexis.com/api/document?collection=cases-ca&amp;id=urn:contentItem:5F81-YGK1-JJ1H-X4KN-00000-00&amp;context=" TargetMode="External" /><Relationship Id="rId675" Type="http://schemas.openxmlformats.org/officeDocument/2006/relationships/hyperlink" Target="https://advance.lexis.com/api/document?collection=cases-ca&amp;id=urn:contentItem:5F8P-SG61-FJM6-62CT-00000-00&amp;context=" TargetMode="External" /><Relationship Id="rId676" Type="http://schemas.openxmlformats.org/officeDocument/2006/relationships/hyperlink" Target="https://advance.lexis.com/api/document?collection=cases-ca&amp;id=urn:contentItem:5F7T-S7M1-JPP5-22DX-00000-00&amp;context=" TargetMode="External" /><Relationship Id="rId677" Type="http://schemas.openxmlformats.org/officeDocument/2006/relationships/hyperlink" Target="https://advance.lexis.com/api/document?collection=cases-ca&amp;id=urn:contentItem:5PMF-0311-JWJ0-G1XS-00000-00&amp;context=" TargetMode="External" /><Relationship Id="rId678" Type="http://schemas.openxmlformats.org/officeDocument/2006/relationships/hyperlink" Target="https://advance.lexis.com/api/document?collection=cases-ca&amp;id=urn:contentItem:5F7T-S7F1-JK4W-M1R5-00000-00&amp;context=" TargetMode="External" /><Relationship Id="rId679" Type="http://schemas.openxmlformats.org/officeDocument/2006/relationships/hyperlink" Target="https://advance.lexis.com/api/document?collection=cases-ca&amp;id=urn:contentItem:5F8P-SF81-JTGH-B4M2-00000-00&amp;context=" TargetMode="External" /><Relationship Id="rId68" Type="http://schemas.openxmlformats.org/officeDocument/2006/relationships/hyperlink" Target="https://advance.lexis.com/api/document?collection=cases-ca&amp;id=urn:contentItem:5F7T-S701-FJDY-X2DB-00000-00&amp;context=" TargetMode="External" /><Relationship Id="rId680" Type="http://schemas.openxmlformats.org/officeDocument/2006/relationships/hyperlink" Target="https://advance.lexis.com/api/document?collection=cases-ca&amp;id=urn:contentItem:5F7T-S761-FGJR-22H8-00000-00&amp;context=" TargetMode="External" /><Relationship Id="rId681" Type="http://schemas.openxmlformats.org/officeDocument/2006/relationships/hyperlink" Target="https://advance.lexis.com/api/document?collection=cases-ca&amp;id=urn:contentItem:5F7T-S721-F956-S1K9-00000-00&amp;context=" TargetMode="External" /><Relationship Id="rId682" Type="http://schemas.openxmlformats.org/officeDocument/2006/relationships/header" Target="header127.xml" /><Relationship Id="rId683" Type="http://schemas.openxmlformats.org/officeDocument/2006/relationships/header" Target="header128.xml" /><Relationship Id="rId684" Type="http://schemas.openxmlformats.org/officeDocument/2006/relationships/footer" Target="footer127.xml" /><Relationship Id="rId685" Type="http://schemas.openxmlformats.org/officeDocument/2006/relationships/footer" Target="footer128.xml" /><Relationship Id="rId686" Type="http://schemas.openxmlformats.org/officeDocument/2006/relationships/header" Target="header129.xml" /><Relationship Id="rId687" Type="http://schemas.openxmlformats.org/officeDocument/2006/relationships/footer" Target="footer129.xml" /><Relationship Id="rId688" Type="http://schemas.openxmlformats.org/officeDocument/2006/relationships/hyperlink" Target="https://advance.lexis.com/api/document?collection=cases-ca&amp;id=urn:contentItem:5F7T-S7P1-JG02-S4DK-00000-00&amp;context=" TargetMode="External" /><Relationship Id="rId689" Type="http://schemas.openxmlformats.org/officeDocument/2006/relationships/hyperlink" Target="https://advance.lexis.com/api/document?collection=cases-ca&amp;id=urn:contentItem:5F8T-N3V1-JF75-M3KJ-00000-00&amp;context=" TargetMode="External" /><Relationship Id="rId69" Type="http://schemas.openxmlformats.org/officeDocument/2006/relationships/hyperlink" Target="https://advance.lexis.com/api/document?collection=cases-ca&amp;id=urn:contentItem:5F8T-N3V1-FC1F-M48G-00000-00&amp;context=" TargetMode="External" /><Relationship Id="rId690" Type="http://schemas.openxmlformats.org/officeDocument/2006/relationships/hyperlink" Target="https://advance.lexis.com/api/document?collection=cases-ca&amp;id=urn:contentItem:5F8T-N3R1-JNS1-M12J-00000-00&amp;context=" TargetMode="External" /><Relationship Id="rId691" Type="http://schemas.openxmlformats.org/officeDocument/2006/relationships/hyperlink" Target="https://advance.lexis.com/api/document?collection=cases-ca&amp;id=urn:contentItem:5F7T-S7F1-FFFC-B22K-00000-00&amp;context=" TargetMode="External" /><Relationship Id="rId692" Type="http://schemas.openxmlformats.org/officeDocument/2006/relationships/hyperlink" Target="https://advance.lexis.com/api/document?collection=cases-ca&amp;id=urn:contentItem:5F7T-S6Y1-JPP5-2188-00000-00&amp;context=" TargetMode="External" /><Relationship Id="rId693" Type="http://schemas.openxmlformats.org/officeDocument/2006/relationships/hyperlink" Target="https://advance.lexis.com/api/document?collection=cases-ca&amp;id=urn:contentItem:5F7T-S7H1-FCSB-S3J0-00000-00&amp;context=" TargetMode="External" /><Relationship Id="rId694" Type="http://schemas.openxmlformats.org/officeDocument/2006/relationships/hyperlink" Target="https://advance.lexis.com/api/document?collection=cases-ca&amp;id=urn:contentItem:5F7T-S751-JGHR-M1YR-00000-00&amp;context=" TargetMode="External" /><Relationship Id="rId695" Type="http://schemas.openxmlformats.org/officeDocument/2006/relationships/hyperlink" Target="https://advance.lexis.com/api/document?collection=cases-ca&amp;id=urn:contentItem:5F7T-S7B1-FH4C-X3R9-00000-00&amp;context=" TargetMode="External" /><Relationship Id="rId696" Type="http://schemas.openxmlformats.org/officeDocument/2006/relationships/hyperlink" Target="https://advance.lexis.com/api/document?collection=cases-ca&amp;id=urn:contentItem:5F7T-S751-JGHR-M1XM-00000-00&amp;context=" TargetMode="External" /><Relationship Id="rId697" Type="http://schemas.openxmlformats.org/officeDocument/2006/relationships/hyperlink" Target="https://advance.lexis.com/api/document?collection=cases-ca&amp;id=urn:contentItem:5F7T-S771-FG68-G0WP-00000-00&amp;context=" TargetMode="External" /><Relationship Id="rId698" Type="http://schemas.openxmlformats.org/officeDocument/2006/relationships/header" Target="header130.xml" /><Relationship Id="rId699" Type="http://schemas.openxmlformats.org/officeDocument/2006/relationships/header" Target="header131.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81-DYMS-61GG-00000-00&amp;context=" TargetMode="External" /><Relationship Id="rId700" Type="http://schemas.openxmlformats.org/officeDocument/2006/relationships/footer" Target="footer130.xml" /><Relationship Id="rId701" Type="http://schemas.openxmlformats.org/officeDocument/2006/relationships/footer" Target="footer131.xml" /><Relationship Id="rId702" Type="http://schemas.openxmlformats.org/officeDocument/2006/relationships/header" Target="header132.xml" /><Relationship Id="rId703" Type="http://schemas.openxmlformats.org/officeDocument/2006/relationships/footer" Target="footer132.xml" /><Relationship Id="rId704" Type="http://schemas.openxmlformats.org/officeDocument/2006/relationships/hyperlink" Target="https://advance.lexis.com/api/document?collection=cases-ca&amp;id=urn:contentItem:5XR2-99N1-FG12-6328-00000-00&amp;context=" TargetMode="External" /><Relationship Id="rId705" Type="http://schemas.openxmlformats.org/officeDocument/2006/relationships/hyperlink" Target="https://advance.lexis.com/api/document?collection=cases-ca&amp;id=urn:contentItem:5F81-VJV1-JG59-22SW-00000-00&amp;context=" TargetMode="External" /><Relationship Id="rId706" Type="http://schemas.openxmlformats.org/officeDocument/2006/relationships/hyperlink" Target="https://advance.lexis.com/api/document?collection=cases-ca&amp;id=urn:contentItem:5F7T-S7K1-JSJC-X0S8-00000-00&amp;context=" TargetMode="External" /><Relationship Id="rId707" Type="http://schemas.openxmlformats.org/officeDocument/2006/relationships/hyperlink" Target="https://advance.lexis.com/api/document?collection=cases-ca&amp;id=urn:contentItem:5F7T-S7N1-F57G-S282-00000-00&amp;context=" TargetMode="External" /><Relationship Id="rId708" Type="http://schemas.openxmlformats.org/officeDocument/2006/relationships/hyperlink" Target="https://advance.lexis.com/api/document?collection=cases-ca&amp;id=urn:contentItem:5F7T-S761-JS5Y-B1PG-00000-00&amp;context=" TargetMode="External" /><Relationship Id="rId709" Type="http://schemas.openxmlformats.org/officeDocument/2006/relationships/hyperlink" Target="https://advance.lexis.com/api/document?collection=cases-ca&amp;id=urn:contentItem:5F7T-S741-DXPM-S17F-00000-00&amp;context=" TargetMode="External" /><Relationship Id="rId71" Type="http://schemas.openxmlformats.org/officeDocument/2006/relationships/hyperlink" Target="https://advance.lexis.com/api/document?collection=cases-ca&amp;id=urn:contentItem:5F7T-S6W1-JF75-M33H-00000-00&amp;context=" TargetMode="External" /><Relationship Id="rId710" Type="http://schemas.openxmlformats.org/officeDocument/2006/relationships/header" Target="header133.xml" /><Relationship Id="rId711" Type="http://schemas.openxmlformats.org/officeDocument/2006/relationships/header" Target="header134.xml" /><Relationship Id="rId712" Type="http://schemas.openxmlformats.org/officeDocument/2006/relationships/footer" Target="footer133.xml" /><Relationship Id="rId713" Type="http://schemas.openxmlformats.org/officeDocument/2006/relationships/footer" Target="footer134.xml" /><Relationship Id="rId714" Type="http://schemas.openxmlformats.org/officeDocument/2006/relationships/header" Target="header135.xml" /><Relationship Id="rId715" Type="http://schemas.openxmlformats.org/officeDocument/2006/relationships/footer" Target="footer135.xml" /><Relationship Id="rId716" Type="http://schemas.openxmlformats.org/officeDocument/2006/relationships/hyperlink" Target="https://advance.lexis.com/api/document?collection=cases-ca&amp;id=urn:contentItem:5WHJ-R221-FK0M-S4KG-00000-00&amp;context=" TargetMode="External" /><Relationship Id="rId717" Type="http://schemas.openxmlformats.org/officeDocument/2006/relationships/hyperlink" Target="https://advance.lexis.com/api/document?collection=cases-ca&amp;id=urn:contentItem:5TNB-3621-JW09-M00N-00000-00&amp;context=" TargetMode="External" /><Relationship Id="rId718" Type="http://schemas.openxmlformats.org/officeDocument/2006/relationships/hyperlink" Target="https://advance.lexis.com/api/document?collection=cases-ca&amp;id=urn:contentItem:5F7T-S7P1-JSJC-X1D9-00000-00&amp;context=" TargetMode="External" /><Relationship Id="rId719" Type="http://schemas.openxmlformats.org/officeDocument/2006/relationships/hyperlink" Target="https://advance.lexis.com/api/document?collection=cases-ca&amp;id=urn:contentItem:5F7T-S7K1-JWXF-20S7-00000-00&amp;context=" TargetMode="External" /><Relationship Id="rId72" Type="http://schemas.openxmlformats.org/officeDocument/2006/relationships/hyperlink" Target="https://advance.lexis.com/api/document?collection=cases-ca&amp;id=urn:contentItem:5F81-VJX1-JX3N-B1NR-00000-00&amp;context=" TargetMode="External" /><Relationship Id="rId720" Type="http://schemas.openxmlformats.org/officeDocument/2006/relationships/hyperlink" Target="https://advance.lexis.com/api/document?collection=cases-ca&amp;id=urn:contentItem:5F7T-S7N1-F06F-24HJ-00000-00&amp;context=" TargetMode="External" /><Relationship Id="rId721" Type="http://schemas.openxmlformats.org/officeDocument/2006/relationships/hyperlink" Target="https://advance.lexis.com/api/document?collection=cases-ca&amp;id=urn:contentItem:5F7T-S7P1-JG02-S48C-00000-00&amp;context=" TargetMode="External" /><Relationship Id="rId722" Type="http://schemas.openxmlformats.org/officeDocument/2006/relationships/hyperlink" Target="https://advance.lexis.com/api/document?collection=cases-ca&amp;id=urn:contentItem:5F7T-S7D1-JXG3-X109-00000-00&amp;context=" TargetMode="External" /><Relationship Id="rId723" Type="http://schemas.openxmlformats.org/officeDocument/2006/relationships/header" Target="header136.xml" /><Relationship Id="rId724" Type="http://schemas.openxmlformats.org/officeDocument/2006/relationships/header" Target="header137.xml" /><Relationship Id="rId725" Type="http://schemas.openxmlformats.org/officeDocument/2006/relationships/footer" Target="footer136.xml" /><Relationship Id="rId726" Type="http://schemas.openxmlformats.org/officeDocument/2006/relationships/footer" Target="footer137.xml" /><Relationship Id="rId727" Type="http://schemas.openxmlformats.org/officeDocument/2006/relationships/header" Target="header138.xml" /><Relationship Id="rId728" Type="http://schemas.openxmlformats.org/officeDocument/2006/relationships/footer" Target="footer138.xml" /><Relationship Id="rId729" Type="http://schemas.openxmlformats.org/officeDocument/2006/relationships/hyperlink" Target="https://advance.lexis.com/api/document?collection=cases-ca&amp;id=urn:contentItem:5F7T-S7K1-JWXF-20YP-00000-00&amp;context=" TargetMode="External" /><Relationship Id="rId73" Type="http://schemas.openxmlformats.org/officeDocument/2006/relationships/hyperlink" Target="https://advance.lexis.com/api/document?collection=cases-ca&amp;id=urn:contentItem:5F81-VJX1-JJYN-B4HN-00000-00&amp;context=" TargetMode="External" /><Relationship Id="rId730" Type="http://schemas.openxmlformats.org/officeDocument/2006/relationships/hyperlink" Target="https://advance.lexis.com/api/document?collection=cases-ca&amp;id=urn:contentItem:5F7T-S7C1-F30T-B26K-00000-00&amp;context=" TargetMode="External" /><Relationship Id="rId731" Type="http://schemas.openxmlformats.org/officeDocument/2006/relationships/hyperlink" Target="https://advance.lexis.com/api/document?collection=cases-ca&amp;id=urn:contentItem:5F7T-S7D1-JS5Y-B21W-00000-00&amp;context=" TargetMode="External" /><Relationship Id="rId732" Type="http://schemas.openxmlformats.org/officeDocument/2006/relationships/hyperlink" Target="https://advance.lexis.com/api/document?collection=cases-ca&amp;id=urn:contentItem:5F7T-S7H1-FCSB-S3PW-00000-00&amp;context=" TargetMode="External" /><Relationship Id="rId733" Type="http://schemas.openxmlformats.org/officeDocument/2006/relationships/header" Target="header139.xml" /><Relationship Id="rId734" Type="http://schemas.openxmlformats.org/officeDocument/2006/relationships/header" Target="header140.xml" /><Relationship Id="rId735" Type="http://schemas.openxmlformats.org/officeDocument/2006/relationships/footer" Target="footer139.xml" /><Relationship Id="rId736" Type="http://schemas.openxmlformats.org/officeDocument/2006/relationships/footer" Target="footer140.xml" /><Relationship Id="rId737" Type="http://schemas.openxmlformats.org/officeDocument/2006/relationships/header" Target="header141.xml" /><Relationship Id="rId738" Type="http://schemas.openxmlformats.org/officeDocument/2006/relationships/footer" Target="footer141.xml" /><Relationship Id="rId739" Type="http://schemas.openxmlformats.org/officeDocument/2006/relationships/hyperlink" Target="https://advance.lexis.com/api/document?collection=cases-ca&amp;id=urn:contentItem:5GCC-XVB1-FK0M-S4V2-00000-00&amp;context=" TargetMode="External" /><Relationship Id="rId74" Type="http://schemas.openxmlformats.org/officeDocument/2006/relationships/hyperlink" Target="https://advance.lexis.com/api/document?collection=cases-ca&amp;id=urn:contentItem:5F8T-N3V1-FC1F-M48K-00000-00&amp;context=" TargetMode="External" /><Relationship Id="rId740" Type="http://schemas.openxmlformats.org/officeDocument/2006/relationships/hyperlink" Target="https://advance.lexis.com/api/document?collection=cases-ca&amp;id=urn:contentItem:5F7T-S7D1-JN6B-S13K-00000-00&amp;context=" TargetMode="External" /><Relationship Id="rId741" Type="http://schemas.openxmlformats.org/officeDocument/2006/relationships/hyperlink" Target="https://advance.lexis.com/api/document?collection=cases-ca&amp;id=urn:contentItem:5F7T-S6V1-JFKM-6133-00000-00&amp;context=" TargetMode="External" /><Relationship Id="rId742" Type="http://schemas.openxmlformats.org/officeDocument/2006/relationships/hyperlink" Target="https://advance.lexis.com/api/document?collection=cases-ca&amp;id=urn:contentItem:5F7T-S6T1-FJTD-G1NJ-00000-00&amp;context=" TargetMode="External" /><Relationship Id="rId743" Type="http://schemas.openxmlformats.org/officeDocument/2006/relationships/hyperlink" Target="https://advance.lexis.com/api/document?collection=cases-ca&amp;id=urn:contentItem:5F7T-S771-JW5H-X21S-00000-00&amp;context=" TargetMode="External" /><Relationship Id="rId744" Type="http://schemas.openxmlformats.org/officeDocument/2006/relationships/hyperlink" Target="https://advance.lexis.com/api/document?collection=cases-ca&amp;id=urn:contentItem:5F7T-S7F1-DXWW-246D-00000-00&amp;context=" TargetMode="External" /><Relationship Id="rId745" Type="http://schemas.openxmlformats.org/officeDocument/2006/relationships/hyperlink" Target="https://advance.lexis.com/api/document?collection=cases-ca&amp;id=urn:contentItem:5F7T-S7P1-JSJC-X1MR-00000-00&amp;context=" TargetMode="External" /><Relationship Id="rId746" Type="http://schemas.openxmlformats.org/officeDocument/2006/relationships/hyperlink" Target="https://advance.lexis.com/api/document?collection=cases-ca&amp;id=urn:contentItem:5F7T-S7D1-FFFC-B1GR-00000-00&amp;context=" TargetMode="External" /><Relationship Id="rId747" Type="http://schemas.openxmlformats.org/officeDocument/2006/relationships/hyperlink" Target="https://advance.lexis.com/api/document?collection=cases-ca&amp;id=urn:contentItem:5F7T-S7G1-JNY7-X3K8-00000-00&amp;context=" TargetMode="External" /><Relationship Id="rId748" Type="http://schemas.openxmlformats.org/officeDocument/2006/relationships/hyperlink" Target="https://advance.lexis.com/api/document?collection=cases-ca&amp;id=urn:contentItem:5F7T-S7K1-JKHB-62NV-00000-00&amp;context=" TargetMode="External" /><Relationship Id="rId749" Type="http://schemas.openxmlformats.org/officeDocument/2006/relationships/hyperlink" Target="https://advance.lexis.com/api/document?collection=cases-ca&amp;id=urn:contentItem:5F7T-S7J1-JGBH-B267-00000-00&amp;context=" TargetMode="External" /><Relationship Id="rId75" Type="http://schemas.openxmlformats.org/officeDocument/2006/relationships/header" Target="header13.xml" /><Relationship Id="rId750" Type="http://schemas.openxmlformats.org/officeDocument/2006/relationships/hyperlink" Target="https://advance.lexis.com/api/document?collection=cases-ca&amp;id=urn:contentItem:5F7T-S7N1-DXWW-20FV-00000-00&amp;context=" TargetMode="External" /><Relationship Id="rId751" Type="http://schemas.openxmlformats.org/officeDocument/2006/relationships/hyperlink" Target="https://advance.lexis.com/api/document?collection=cases-ca&amp;id=urn:contentItem:5F7T-S7N1-JJ1H-X2MS-00000-00&amp;context=" TargetMode="External" /><Relationship Id="rId752" Type="http://schemas.openxmlformats.org/officeDocument/2006/relationships/hyperlink" Target="https://advance.lexis.com/api/document?collection=cases-ca&amp;id=urn:contentItem:5F7T-S7P1-JG02-S40C-00000-00&amp;context=" TargetMode="External" /><Relationship Id="rId753" Type="http://schemas.openxmlformats.org/officeDocument/2006/relationships/hyperlink" Target="https://advance.lexis.com/api/document?collection=cases-ca&amp;id=urn:contentItem:5F7T-S7D1-DY89-M463-00000-00&amp;context=" TargetMode="External" /><Relationship Id="rId754" Type="http://schemas.openxmlformats.org/officeDocument/2006/relationships/hyperlink" Target="https://advance.lexis.com/api/document?collection=cases-ca&amp;id=urn:contentItem:5F8T-N3V1-JTGH-B0YB-00000-00&amp;context=" TargetMode="External" /><Relationship Id="rId755" Type="http://schemas.openxmlformats.org/officeDocument/2006/relationships/hyperlink" Target="https://advance.lexis.com/api/document?collection=cases-ca&amp;id=urn:contentItem:5F7T-S7B1-F7ND-G4YK-00000-00&amp;context=" TargetMode="External" /><Relationship Id="rId756" Type="http://schemas.openxmlformats.org/officeDocument/2006/relationships/hyperlink" Target="https://advance.lexis.com/api/document?collection=cases-ca&amp;id=urn:contentItem:5F7T-S731-F016-S3D3-00000-00&amp;context=" TargetMode="External" /><Relationship Id="rId757" Type="http://schemas.openxmlformats.org/officeDocument/2006/relationships/hyperlink" Target="https://advance.lexis.com/api/document?collection=cases-ca&amp;id=urn:contentItem:5F7T-S751-JCJ5-24CV-00000-00&amp;context=" TargetMode="External" /><Relationship Id="rId758" Type="http://schemas.openxmlformats.org/officeDocument/2006/relationships/hyperlink" Target="https://advance.lexis.com/api/document?collection=cases-ca&amp;id=urn:contentItem:5F7T-S711-JNY7-X30K-00000-00&amp;context=" TargetMode="External" /><Relationship Id="rId759" Type="http://schemas.openxmlformats.org/officeDocument/2006/relationships/hyperlink" Target="https://advance.lexis.com/api/document?collection=cases-ca&amp;id=urn:contentItem:5F7T-S731-DY33-B0YN-00000-00&amp;context=" TargetMode="External" /><Relationship Id="rId76" Type="http://schemas.openxmlformats.org/officeDocument/2006/relationships/header" Target="header14.xml" /><Relationship Id="rId760" Type="http://schemas.openxmlformats.org/officeDocument/2006/relationships/hyperlink" Target="https://advance.lexis.com/api/document?collection=cases-ca&amp;id=urn:contentItem:5F7T-S731-F1WF-M2HD-00000-00&amp;context=" TargetMode="External" /><Relationship Id="rId761" Type="http://schemas.openxmlformats.org/officeDocument/2006/relationships/hyperlink" Target="https://advance.lexis.com/api/document?collection=cases-ca&amp;id=urn:contentItem:5F8T-N3S1-JT99-250W-00000-00&amp;context=" TargetMode="External" /><Relationship Id="rId762" Type="http://schemas.openxmlformats.org/officeDocument/2006/relationships/hyperlink" Target="https://advance.lexis.com/api/document?collection=cases-ca&amp;id=urn:contentItem:5F7T-S7N1-JW09-M12P-00000-00&amp;context=" TargetMode="External" /><Relationship Id="rId763" Type="http://schemas.openxmlformats.org/officeDocument/2006/relationships/hyperlink" Target="https://advance.lexis.com/api/document?collection=cases-ca&amp;id=urn:contentItem:5F7T-S7B1-FH4C-X3NP-00000-00&amp;context=" TargetMode="External" /><Relationship Id="rId764" Type="http://schemas.openxmlformats.org/officeDocument/2006/relationships/hyperlink" Target="https://advance.lexis.com/api/document?collection=cases-ca&amp;id=urn:contentItem:5F7T-S731-F60C-X11W-00000-00&amp;context=" TargetMode="External" /><Relationship Id="rId765" Type="http://schemas.openxmlformats.org/officeDocument/2006/relationships/hyperlink" Target="https://advance.lexis.com/api/document?collection=cases-ca&amp;id=urn:contentItem:5F7T-S7M1-JCRC-B1SF-00000-00&amp;context=" TargetMode="External" /><Relationship Id="rId766" Type="http://schemas.openxmlformats.org/officeDocument/2006/relationships/hyperlink" Target="https://advance.lexis.com/api/document?collection=cases-ca&amp;id=urn:contentItem:5F8N-K6X1-JS5Y-B294-00000-00&amp;context=" TargetMode="External" /><Relationship Id="rId767" Type="http://schemas.openxmlformats.org/officeDocument/2006/relationships/hyperlink" Target="https://advance.lexis.com/api/document?collection=cases-ca&amp;id=urn:contentItem:5F7T-S771-JSJC-X05N-00000-00&amp;context=" TargetMode="External" /><Relationship Id="rId768" Type="http://schemas.openxmlformats.org/officeDocument/2006/relationships/hyperlink" Target="https://advance.lexis.com/api/document?collection=cases-ca&amp;id=urn:contentItem:5F7T-S7D1-JN6B-S16W-00000-00&amp;context=" TargetMode="External" /><Relationship Id="rId769" Type="http://schemas.openxmlformats.org/officeDocument/2006/relationships/hyperlink" Target="https://advance.lexis.com/api/document?collection=cases-ca&amp;id=urn:contentItem:5F7T-S771-JSJC-X038-00000-00&amp;context=" TargetMode="External" /><Relationship Id="rId77" Type="http://schemas.openxmlformats.org/officeDocument/2006/relationships/footer" Target="footer13.xml" /><Relationship Id="rId770" Type="http://schemas.openxmlformats.org/officeDocument/2006/relationships/hyperlink" Target="https://advance.lexis.com/api/document?collection=cases-ca&amp;id=urn:contentItem:5F7T-S791-JCJ5-251B-00000-00&amp;context=" TargetMode="External" /><Relationship Id="rId771" Type="http://schemas.openxmlformats.org/officeDocument/2006/relationships/hyperlink" Target="https://advance.lexis.com/api/document?collection=cases-ca&amp;id=urn:contentItem:5F7T-S7F1-JX3N-B19D-00000-00&amp;context=" TargetMode="External" /><Relationship Id="rId772" Type="http://schemas.openxmlformats.org/officeDocument/2006/relationships/hyperlink" Target="https://advance.lexis.com/api/document?collection=cases-ca&amp;id=urn:contentItem:5F7T-S7M1-DYMS-62FG-00000-00&amp;context=" TargetMode="External" /><Relationship Id="rId773" Type="http://schemas.openxmlformats.org/officeDocument/2006/relationships/hyperlink" Target="https://advance.lexis.com/api/document?collection=cases-ca&amp;id=urn:contentItem:5F7T-S7M1-JNCK-22MK-00000-00&amp;context=" TargetMode="External" /><Relationship Id="rId774" Type="http://schemas.openxmlformats.org/officeDocument/2006/relationships/header" Target="header142.xml" /><Relationship Id="rId775" Type="http://schemas.openxmlformats.org/officeDocument/2006/relationships/header" Target="header143.xml" /><Relationship Id="rId776" Type="http://schemas.openxmlformats.org/officeDocument/2006/relationships/footer" Target="footer142.xml" /><Relationship Id="rId777" Type="http://schemas.openxmlformats.org/officeDocument/2006/relationships/footer" Target="footer143.xml" /><Relationship Id="rId778" Type="http://schemas.openxmlformats.org/officeDocument/2006/relationships/header" Target="header144.xml" /><Relationship Id="rId779" Type="http://schemas.openxmlformats.org/officeDocument/2006/relationships/footer" Target="footer144.xml" /><Relationship Id="rId78" Type="http://schemas.openxmlformats.org/officeDocument/2006/relationships/footer" Target="footer14.xml" /><Relationship Id="rId780" Type="http://schemas.openxmlformats.org/officeDocument/2006/relationships/hyperlink" Target="https://advance.lexis.com/api/document?collection=cases-ca&amp;id=urn:contentItem:5GKS-NM31-FGY5-M2B4-00000-00&amp;context=" TargetMode="External" /><Relationship Id="rId781" Type="http://schemas.openxmlformats.org/officeDocument/2006/relationships/hyperlink" Target="https://advance.lexis.com/api/document?collection=cases-ca&amp;id=urn:contentItem:5F7T-S7P1-JP4G-61YC-00000-00&amp;context=" TargetMode="External" /><Relationship Id="rId782" Type="http://schemas.openxmlformats.org/officeDocument/2006/relationships/hyperlink" Target="https://advance.lexis.com/api/document?collection=cases-ca&amp;id=urn:contentItem:5F7T-S7P1-JNJT-B2D3-00000-00&amp;context=" TargetMode="External" /><Relationship Id="rId783" Type="http://schemas.openxmlformats.org/officeDocument/2006/relationships/hyperlink" Target="https://advance.lexis.com/api/document?collection=cases-ca&amp;id=urn:contentItem:5F7T-S7M1-F4W2-62D0-00000-00&amp;context=" TargetMode="External" /><Relationship Id="rId784" Type="http://schemas.openxmlformats.org/officeDocument/2006/relationships/hyperlink" Target="https://advance.lexis.com/api/document?collection=cases-ca&amp;id=urn:contentItem:5F7T-S7B1-JSRM-60F0-00000-00&amp;context=" TargetMode="External" /><Relationship Id="rId785" Type="http://schemas.openxmlformats.org/officeDocument/2006/relationships/hyperlink" Target="https://advance.lexis.com/api/document?collection=cases-ca&amp;id=urn:contentItem:5F7T-S7J1-JYYX-62B0-00000-00&amp;context=" TargetMode="External" /><Relationship Id="rId786" Type="http://schemas.openxmlformats.org/officeDocument/2006/relationships/hyperlink" Target="https://advance.lexis.com/api/document?collection=cases-ca&amp;id=urn:contentItem:5F7T-S7G1-JN6B-S1BC-00000-00&amp;context=" TargetMode="External" /><Relationship Id="rId787" Type="http://schemas.openxmlformats.org/officeDocument/2006/relationships/hyperlink" Target="https://advance.lexis.com/api/document?collection=cases-ca&amp;id=urn:contentItem:5F7T-S7N1-JJ1H-X2WC-00000-00&amp;context=" TargetMode="External" /><Relationship Id="rId788" Type="http://schemas.openxmlformats.org/officeDocument/2006/relationships/hyperlink" Target="https://advance.lexis.com/api/document?collection=cases-ca&amp;id=urn:contentItem:5F7T-S7H1-F016-S3VB-00000-00&amp;context=" TargetMode="External" /><Relationship Id="rId789" Type="http://schemas.openxmlformats.org/officeDocument/2006/relationships/hyperlink" Target="https://advance.lexis.com/api/document?collection=cases-ca&amp;id=urn:contentItem:5F7T-S7N1-JJ1H-X2NX-00000-00&amp;context=" TargetMode="External" /><Relationship Id="rId79" Type="http://schemas.openxmlformats.org/officeDocument/2006/relationships/header" Target="header15.xml" /><Relationship Id="rId790" Type="http://schemas.openxmlformats.org/officeDocument/2006/relationships/hyperlink" Target="https://advance.lexis.com/api/document?collection=cases-ca&amp;id=urn:contentItem:5GCC-XVC1-JSRM-60WB-00000-00&amp;context=" TargetMode="External" /><Relationship Id="rId791" Type="http://schemas.openxmlformats.org/officeDocument/2006/relationships/hyperlink" Target="https://advance.lexis.com/api/document?collection=cases-ca&amp;id=urn:contentItem:5F7T-S7N1-JW09-M0N2-00000-00&amp;context=" TargetMode="External" /><Relationship Id="rId792" Type="http://schemas.openxmlformats.org/officeDocument/2006/relationships/hyperlink" Target="https://advance.lexis.com/api/document?collection=cases-ca&amp;id=urn:contentItem:5F7T-S7N1-JWR6-S269-00000-00&amp;context=" TargetMode="External" /><Relationship Id="rId793" Type="http://schemas.openxmlformats.org/officeDocument/2006/relationships/hyperlink" Target="https://advance.lexis.com/api/document?collection=cases-ca&amp;id=urn:contentItem:5GCC-XVB1-JSXV-G08Y-00000-00&amp;context=" TargetMode="External" /><Relationship Id="rId794" Type="http://schemas.openxmlformats.org/officeDocument/2006/relationships/hyperlink" Target="https://advance.lexis.com/api/document?collection=cases-ca&amp;id=urn:contentItem:5G4B-CVF1-JPGX-S2TN-00000-00&amp;context=" TargetMode="External" /><Relationship Id="rId795" Type="http://schemas.openxmlformats.org/officeDocument/2006/relationships/hyperlink" Target="https://advance.lexis.com/api/document?collection=cases-ca&amp;id=urn:contentItem:5F7T-S7N1-JJ1H-X33W-00000-00&amp;context=" TargetMode="External" /><Relationship Id="rId796" Type="http://schemas.openxmlformats.org/officeDocument/2006/relationships/hyperlink" Target="https://advance.lexis.com/api/document?collection=cases-ca&amp;id=urn:contentItem:5G74-D9V1-F2TK-22FP-00000-00&amp;context=" TargetMode="External" /><Relationship Id="rId797" Type="http://schemas.openxmlformats.org/officeDocument/2006/relationships/hyperlink" Target="https://advance.lexis.com/api/document?collection=cases-ca&amp;id=urn:contentItem:5F7T-S7D1-DY89-M3XB-00000-00&amp;context=" TargetMode="External" /><Relationship Id="rId798" Type="http://schemas.openxmlformats.org/officeDocument/2006/relationships/hyperlink" Target="https://advance.lexis.com/api/document?collection=cases-ca&amp;id=urn:contentItem:5F7T-S7N1-JC5P-G2DS-00000-00&amp;context=" TargetMode="External" /><Relationship Id="rId799" Type="http://schemas.openxmlformats.org/officeDocument/2006/relationships/hyperlink" Target="https://advance.lexis.com/api/document?collection=cases-ca&amp;id=urn:contentItem:5F7T-S7K1-JKHB-62N6-00000-00&amp;context=" TargetMode="External" /><Relationship Id="rId8" Type="http://schemas.openxmlformats.org/officeDocument/2006/relationships/header" Target="header3.xml" /><Relationship Id="rId80" Type="http://schemas.openxmlformats.org/officeDocument/2006/relationships/footer" Target="footer15.xml" /><Relationship Id="rId800" Type="http://schemas.openxmlformats.org/officeDocument/2006/relationships/hyperlink" Target="https://advance.lexis.com/api/document?collection=cases-ca&amp;id=urn:contentItem:5F7T-S7H1-FCSB-S3RY-00000-00&amp;context=" TargetMode="External" /><Relationship Id="rId801" Type="http://schemas.openxmlformats.org/officeDocument/2006/relationships/image" Target="media/image5.jpeg" /><Relationship Id="rId802" Type="http://schemas.openxmlformats.org/officeDocument/2006/relationships/header" Target="header145.xml" /><Relationship Id="rId803" Type="http://schemas.openxmlformats.org/officeDocument/2006/relationships/header" Target="header146.xml" /><Relationship Id="rId804" Type="http://schemas.openxmlformats.org/officeDocument/2006/relationships/footer" Target="footer145.xml" /><Relationship Id="rId805" Type="http://schemas.openxmlformats.org/officeDocument/2006/relationships/footer" Target="footer146.xml" /><Relationship Id="rId806" Type="http://schemas.openxmlformats.org/officeDocument/2006/relationships/header" Target="header147.xml" /><Relationship Id="rId807" Type="http://schemas.openxmlformats.org/officeDocument/2006/relationships/footer" Target="footer147.xml" /><Relationship Id="rId808" Type="http://schemas.openxmlformats.org/officeDocument/2006/relationships/hyperlink" Target="https://advance.lexis.com/api/document?collection=cases-ca&amp;id=urn:contentItem:5F7T-S7P1-JCRC-B23B-00000-00&amp;context=" TargetMode="External" /><Relationship Id="rId809" Type="http://schemas.openxmlformats.org/officeDocument/2006/relationships/hyperlink" Target="https://advance.lexis.com/api/document?collection=cases-ca&amp;id=urn:contentItem:5F8T-N3T1-JJSF-23BN-00000-00&amp;context=" TargetMode="External" /><Relationship Id="rId81" Type="http://schemas.openxmlformats.org/officeDocument/2006/relationships/hyperlink" Target="https://advance.lexis.com/api/document?collection=cases-ca&amp;id=urn:contentItem:5F7T-S7P1-JG02-S4CS-00000-00&amp;context=" TargetMode="External" /><Relationship Id="rId810" Type="http://schemas.openxmlformats.org/officeDocument/2006/relationships/hyperlink" Target="https://advance.lexis.com/api/document?collection=cases-ca&amp;id=urn:contentItem:5F81-YGH1-F1P7-B3CX-00000-00&amp;context=" TargetMode="External" /><Relationship Id="rId811" Type="http://schemas.openxmlformats.org/officeDocument/2006/relationships/hyperlink" Target="https://advance.lexis.com/api/document?collection=cases-ca&amp;id=urn:contentItem:5F16-93D1-F81W-219M-00000-00&amp;context=" TargetMode="External" /><Relationship Id="rId812" Type="http://schemas.openxmlformats.org/officeDocument/2006/relationships/hyperlink" Target="https://advance.lexis.com/api/document?collection=cases-ca&amp;id=urn:contentItem:5F8T-N3R1-JJSF-22MN-00000-00&amp;context=" TargetMode="External" /><Relationship Id="rId813" Type="http://schemas.openxmlformats.org/officeDocument/2006/relationships/hyperlink" Target="https://advance.lexis.com/api/document?collection=cases-ca&amp;id=urn:contentItem:5F8N-K6W1-F65M-6229-00000-00&amp;context=" TargetMode="External" /><Relationship Id="rId814" Type="http://schemas.openxmlformats.org/officeDocument/2006/relationships/header" Target="header148.xml" /><Relationship Id="rId815" Type="http://schemas.openxmlformats.org/officeDocument/2006/relationships/header" Target="header149.xml" /><Relationship Id="rId816" Type="http://schemas.openxmlformats.org/officeDocument/2006/relationships/footer" Target="footer148.xml" /><Relationship Id="rId817" Type="http://schemas.openxmlformats.org/officeDocument/2006/relationships/footer" Target="footer149.xml" /><Relationship Id="rId818" Type="http://schemas.openxmlformats.org/officeDocument/2006/relationships/header" Target="header150.xml" /><Relationship Id="rId819" Type="http://schemas.openxmlformats.org/officeDocument/2006/relationships/footer" Target="footer150.xml" /><Relationship Id="rId82" Type="http://schemas.openxmlformats.org/officeDocument/2006/relationships/hyperlink" Target="https://advance.lexis.com/api/document?collection=legislation-ca&amp;id=urn:contentItem:5F41-1FK1-JGBH-B10R-00000-00&amp;context=" TargetMode="External" /><Relationship Id="rId820" Type="http://schemas.openxmlformats.org/officeDocument/2006/relationships/hyperlink" Target="https://advance.lexis.com/api/document?collection=cases-ca&amp;id=urn:contentItem:5F7T-S7H1-JS5Y-B347-00000-00&amp;context=" TargetMode="External" /><Relationship Id="rId821" Type="http://schemas.openxmlformats.org/officeDocument/2006/relationships/hyperlink" Target="https://advance.lexis.com/api/document?collection=cases-ca&amp;id=urn:contentItem:5F7T-S761-JS5Y-B1X8-00000-00&amp;context=" TargetMode="External" /><Relationship Id="rId822" Type="http://schemas.openxmlformats.org/officeDocument/2006/relationships/hyperlink" Target="https://advance.lexis.com/api/document?collection=cases-ca&amp;id=urn:contentItem:5F7T-S781-DYMS-61C9-00000-00&amp;context=" TargetMode="External" /><Relationship Id="rId823" Type="http://schemas.openxmlformats.org/officeDocument/2006/relationships/hyperlink" Target="https://advance.lexis.com/api/document?collection=cases-ca&amp;id=urn:contentItem:5F8T-N3P1-FC6N-X1FS-00000-00&amp;context=" TargetMode="External" /><Relationship Id="rId824" Type="http://schemas.openxmlformats.org/officeDocument/2006/relationships/hyperlink" Target="https://advance.lexis.com/api/document?collection=cases-ca&amp;id=urn:contentItem:5F8T-N3T1-JJSF-23D9-00000-00&amp;context=" TargetMode="External" /><Relationship Id="rId825" Type="http://schemas.openxmlformats.org/officeDocument/2006/relationships/hyperlink" Target="https://advance.lexis.com/api/document?collection=cases-ca&amp;id=urn:contentItem:5F8T-N3T1-JJSF-23KV-00000-00&amp;context=" TargetMode="External" /><Relationship Id="rId826" Type="http://schemas.openxmlformats.org/officeDocument/2006/relationships/hyperlink" Target="https://advance.lexis.com/api/document?collection=cases-ca&amp;id=urn:contentItem:5F7T-S771-FG68-G10X-00000-00&amp;context=" TargetMode="External" /><Relationship Id="rId827" Type="http://schemas.openxmlformats.org/officeDocument/2006/relationships/hyperlink" Target="https://advance.lexis.com/api/document?collection=cases-ca&amp;id=urn:contentItem:5F8T-N3R1-FBV7-B01N-00000-00&amp;context=" TargetMode="External" /><Relationship Id="rId828" Type="http://schemas.openxmlformats.org/officeDocument/2006/relationships/numbering" Target="numbering.xml" /><Relationship Id="rId829" Type="http://schemas.openxmlformats.org/officeDocument/2006/relationships/styles" Target="styles.xml" /><Relationship Id="rId83" Type="http://schemas.openxmlformats.org/officeDocument/2006/relationships/hyperlink" Target="https://advance.lexis.com/api/document?collection=cases-ca&amp;id=urn:contentItem:5F8T-N3V1-JTGH-B0YX-00000-00&amp;context=" TargetMode="External" /><Relationship Id="rId84" Type="http://schemas.openxmlformats.org/officeDocument/2006/relationships/hyperlink" Target="https://advance.lexis.com/api/document?collection=cases-ca&amp;id=urn:contentItem:5F7T-S7M1-JJK6-S23T-00000-00&amp;context=" TargetMode="External" /><Relationship Id="rId85" Type="http://schemas.openxmlformats.org/officeDocument/2006/relationships/hyperlink" Target="https://advance.lexis.com/api/document?collection=cases-ca&amp;id=urn:contentItem:5F7T-S7F1-FFFC-B25Y-00000-00&amp;context=" TargetMode="External" /><Relationship Id="rId86" Type="http://schemas.openxmlformats.org/officeDocument/2006/relationships/hyperlink" Target="https://advance.lexis.com/api/document?collection=cases-ca&amp;id=urn:contentItem:5F16-93D1-JG02-S055-00000-00&amp;context=" TargetMode="External" /><Relationship Id="rId87" Type="http://schemas.openxmlformats.org/officeDocument/2006/relationships/hyperlink" Target="https://advance.lexis.com/api/document?collection=cases-ca&amp;id=urn:contentItem:5F7T-S771-JJD0-G13P-00000-00&amp;context=" TargetMode="External" /><Relationship Id="rId88" Type="http://schemas.openxmlformats.org/officeDocument/2006/relationships/header" Target="header16.xml" /><Relationship Id="rId89" Type="http://schemas.openxmlformats.org/officeDocument/2006/relationships/header" Target="header17.xml" /><Relationship Id="rId9" Type="http://schemas.openxmlformats.org/officeDocument/2006/relationships/footer" Target="footer3.xml" /><Relationship Id="rId90" Type="http://schemas.openxmlformats.org/officeDocument/2006/relationships/footer" Target="footer16.xml" /><Relationship Id="rId91" Type="http://schemas.openxmlformats.org/officeDocument/2006/relationships/footer" Target="footer17.xml" /><Relationship Id="rId92" Type="http://schemas.openxmlformats.org/officeDocument/2006/relationships/header" Target="header18.xml" /><Relationship Id="rId93" Type="http://schemas.openxmlformats.org/officeDocument/2006/relationships/footer" Target="footer18.xml" /><Relationship Id="rId94" Type="http://schemas.openxmlformats.org/officeDocument/2006/relationships/hyperlink" Target="https://advance.lexis.com/api/document?collection=cases-ca&amp;id=urn:contentItem:5VPH-XPW1-FCK4-G4C0-00000-00&amp;context=" TargetMode="External" /><Relationship Id="rId95" Type="http://schemas.openxmlformats.org/officeDocument/2006/relationships/hyperlink" Target="https://advance.lexis.com/api/document?collection=legislation-ca&amp;id=urn:contentItem:5F41-1FH1-JSRM-606Y-00000-00&amp;context=" TargetMode="External" /><Relationship Id="rId96" Type="http://schemas.openxmlformats.org/officeDocument/2006/relationships/hyperlink" Target="https://advance.lexis.com/api/document?collection=cases-ca&amp;id=urn:contentItem:5F7T-S7P1-JNJT-B2CP-00000-00&amp;context=" TargetMode="External" /><Relationship Id="rId97" Type="http://schemas.openxmlformats.org/officeDocument/2006/relationships/hyperlink" Target="https://advance.lexis.com/api/document?collection=cases-ca&amp;id=urn:contentItem:5HVB-3NB1-K0HK-2244-00000-00&amp;context=" TargetMode="External" /><Relationship Id="rId98" Type="http://schemas.openxmlformats.org/officeDocument/2006/relationships/hyperlink" Target="https://advance.lexis.com/api/document?collection=cases-ca&amp;id=urn:contentItem:5JF5-3N31-K054-G3VS-00000-00&amp;context=" TargetMode="External" /><Relationship Id="rId99" Type="http://schemas.openxmlformats.org/officeDocument/2006/relationships/hyperlink" Target="https://advance.lexis.com/api/document?collection=cases-ca&amp;id=urn:contentItem:5F7T-S7J1-FGCG-S094-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Huang v. Stogryn, [2007] B.C.J. No. 2987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115052656</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