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R. v. Turley, [2012] B.C.J. No. 540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S.S. Stromberg-Stein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13-16 and 20-21,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March 2,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X074674-2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540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397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CarswellBC 726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100 W.C.B. (2d) 270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Regina, and Victoria Turley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(194 paras.)</w:t>
      </w:r>
    </w:p>
    <w:p>
      <w:pPr>
        <w:jc w:val="both"/>
        <w:rPr>
          <w:rFonts w:ascii="arial" w:eastAsia="arial" w:hAnsi="arial" w:cs="arial"/>
          <w:sz w:val="20"/>
          <w:lang w:val="en-US" w:eastAsia="en-US" w:bidi="ar-SA"/>
        </w:rPr>
      </w:pPr>
      <w:bookmarkStart w:id="0" w:name="Counsel"/>
      <w:bookmarkEnd w:id="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Crown: J.L. Fogel.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Accused: D. Milburn.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 w:name="Judgment"/>
      <w:bookmarkEnd w:id="1"/>
      <w:r>
        <w:pict>
          <v:line id="_x0000_s1026" style="position:absolute;z-index:2517094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2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 w:name="S.S. STROMBERG-STEIN J. (orally)"/>
            <w:bookmarkEnd w:id="2"/>
            <w:r>
              <w:rPr>
                <w:rFonts w:ascii="arial" w:eastAsia="arial" w:hAnsi="arial" w:cs="arial"/>
                <w:b/>
                <w:color w:val="000000"/>
                <w:sz w:val="30"/>
                <w:lang w:val="en-US" w:eastAsia="en-US" w:bidi="ar-SA"/>
              </w:rPr>
              <w:t>S.S. STROMBERG-STEIN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accused, Victoria Turley, is charged with failing to provide necessaries of life, contrary to s. 215(2)(b)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R.S.C. 1985, c. C-46.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July 25, 2008, there were two birthday parties in Maple Ridge, B.C. One was for Nicole Geib at her residence and on a party bus for about 25 teens; the other was for Victoria Turley at her residence for adults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deceased, 16-year-old Shannon Raymond, was one of the teens invited to Nicole Geib's 17th birthday party. The teens met at the Geib residence and consumed alcohol which they brought. Ms. Raymond brought a 750 millilitre bottle of Bacardi rum to the Geib residence, which she was mixing with a heavily caffeinated "Monster" drink. She took the first of two Ecstasy pills at the Geib residence before boarding a party bus around 10:15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Veronica Geib, Nicole Geib's mother, arranged for the party bus and paid the damage and bus deposits. Apparently the teens paid her back in cash at some point. Nicole Geib arranged for a chaperone on the party bus who was a friend of one of the invited teens. Veronica Geib never met the chaperone and never spoke to the bus driver. There was a no drinking policy on the party bus but that was not honoured as the chaperone and the bus driver tolerated alcohol on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teens continued to drink alcohol on the party bus. Nothing unusual was noted about Shannon Raymond's behaviour until after she took a second Ecstasy pill about halfway through the bus ride. She appeared very drunk and drank a lot of water. When the bus returned to the Geib residence at 1:15 a.m., she vomited water in the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original plan was for Shannon Raymond and Ashley Dunn to stay overnight at the Geib residence. However, Veronica Geib said no one was permitted to stay over and she would drive guests to wherever they wanted to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Raymond's friends arranged for her and Ashley Dunn to stay the night at Spencer Turley's house. No parents were involved in this arrangement. Ms. Geib dropped the teens off at the Turley residence around 1:30 a.m. A number of adult males who were guests at Ms. Turley's birthday party were still present at the Turley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Turley and three female friends had gone for a birthday drink and dance to celebrate Ms. Turley's birthday. Ms. Turley was not intoxicated, nor was Shane Gillespie, Ms. Turley's boyfriend, who went to sleep because he had an early morning golf tournament, and was woken by the sound of the teens in the backyard. He arranged to contact Ms. Turley to come home because none of the teens, including Spencer Turley, were supposed to be at the Turley residence. No one offered the teens alcohol at the Turley residence; none of the teens consumed any alcohol or intoxicants at the Turley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Turley and her friends returned around 2:00 a.m. Shannon Raymond was sitting on a chair in the backyard with the other teens nearby. Ms. Turley and others helped Ms. Raymond into Spencer Turley's room so she could change her wet pants and go to sleep. Ms. Raymond yelled and resisted and Melody Korman removed her wet pants. During the time she was in Spencer Turley's room, Ms. Raymond was moaning at times, and appeared to be snoring and sleeping at other times. Melody Korman, who was highly intoxicated, described Shannon having what she thought might have been a seizure, but if or when that occurred is not entirely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Turley stayed with Ms. Raymond constantly until the early morning hours, perhaps 4:00 or 5:00 a.m., when Ashley Dunn relieved her for a few minutes so Ms. Turley could go to the washroom and have a cigarette.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Ashley described Ms. Raymond's arms as locked straight by her side and her wrists flexed back with her palms up and said her head was moving side to side and she appeared to be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Around 5:00 a.m., Spencer Turley and Ashley Dunn came into the room to sleep so Ms. Turley went to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Raymond stopped breathing sometime after 5:22 a.m. when Ashley Dunn heard a noise, checked her cell phone for the time, and observed that Ms. Raymond was still breathing, and before 6:00 a.m., when Ms. Turley next checked on Ms. Raymond and she was unresponsive.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admitted Ms. Turley called 9-1-1 at 6:00 a.m. Mr. Gillespie attempted CPR until Emergency Health Services ("EHS") paramedics arrived. At 6:25 a.m., Ms. Raymond was taken by EHS attendants to Ridge Meadows Hospital where tragically she was pronounced dead. The cause of death was acute MDMA intoxication.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is no issue with respect to identity, date, or jurisdiction. The issue is sufficiency of evidence. More particularly, the issues are:</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Ms. Raymond under the charge of Ms. Turley?</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Ms. Turley's failure to obtain medical care for Ms. Raymond a marked departure from the conduct of a reasonable and prudent person in similar circumstances?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it objectively foreseeable that the failure to obtain medical care would lead to a risk of danger to the life or risk of permanent endangerment to the health of Ms. Raymond?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 OF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is the position of the Crown that Shannon Raymond was in Victoria Turley's charge. The Crown submits this trial concerns the conduct of Victoria Turley, who took charge of Shannon Raymond at a time when Crown says she deteriorated to a point where it was evident she was in medical distress which necessitated medical intervention, and Ms. Turley's failure to seek medical help constituted a failure to provide necessaries of life. Thus, the Crown submits, it has proved beyond a reasonable doubt the conduct of Victoria Turley constituted a marked departure from the standard of care expected of a reasonable and prudent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With respect to the defence, on the theory of the Crown, Shannon Raymond was in an emergency situation necessitating the calling of 9-1-1 only from the time she allegedly had a seizure. It is the position of the defence that there is no evidence that Shannon Raymond had a seizure and in any event there is no evidence Victoria Turley was aware of this fact. Therefore, the defence submits the Crown has failed to prove beyond a reasonable doubt that Ms. Turley failed to provide Ms. Raymond with the necessaries of life, having regard to the objective and onerous standard that only a marked departure from the societal minimal level of care of a reasonably prudent person attracts criminal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defence essentially concedes Ms. Raymond was in the charge of Ms. Turley. The defence concedes the failure of Ms. Turley to seek medical assistance was a contributing factor to the death of Shannon Raymond, and agrees that if she was taken to the hospital it is possible her life could have been saved. However, the defence maintains Ms. Turley's duty to obtain medical aid was not triggered. The defence says the Crown is unable to prove two essential elements: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Ms. Turley's failure to obtain medical care was a marked departure from the conduct of a reasonably prudent person in similar circumstances, 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it was objectively foreseeable that the failure to provide medical aid would lead to a risk of endangerment to the life or permanent injury to the health of Ms. Raymond.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Although the defence says nothing turns on it, the defence notes the level of Ecstasy in Ms. Raymond's toxicology samples coincides with recreational use. A level is not determinative of toxicity. Ms. Raymond was a first-time user and the odds of dying from Ecstasy are remote.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intend to review some of the evidence; most of the evidence is undisputed. The significant dispute arises from what occurred in the bedroom when Victoria Turley was with Shannon Raymond. I intend to review the evidence of each witness to provide a context for my decision. Although I will not refer to all of the evidence here, I have carefully reviewed the totality of the evidence in reaching a decision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Autopsy Report of Dr. Straathof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autopsy report of Dr. Straathof is admitted. The cause of death is listed as acute MDMA intoxication. Dr. Straathof notes: "Overdose with Ecstasy can lead to a variety of physical effects including elevated body temperature, seizures, coma, and/or ventricular fibrillation (cardiac arrest)". He notes in his amended report: "Low vitreous sodium concentration," which he originally described as moderately low or somewhat low at the time of death, and that hyponatremia was unlikely to have made a significant contribution towards causing death. Possible causes of hyponatremia could include excess water intake or vomiting and/or sweating. He notes analysis of vitreous fluid revealed glucose was unremarkable, which seems inconsistent with the toxicologist, Dr. Martz's,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Samuel Gutman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evidence of emergency room physician Dr. Samuel Gutman is admitted, specifically that is, failure to seek timely medical help for the victim is likely to have contributed to serious or permanent injury to the victim, and ultimately to the premature death of the victim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Martz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Martz was qualified as an expert in forensic toxicology. He conducted tests on samples taken from the autopsy of Shannon Raymond. He found the presence of MDMA or Ecstasy. It is usually taken orally in pill form. It is an illicit drug for which there is no quality control. As such, one never knows what one is taking. Concentrations vary and may contain contaminants leading to death. A toxic dose is undetermined. Fatalities from the ingestion of MDMA are extremely rare and it is unpredictable who will die. It would be speculative to say why Shannon Raymond died from the ingestion of Ecstasy, but one explanation is she could be a poor metabolizer of the drug because the metabolite MDA was not found. MDMA has a half-life of five to nine hours and there is a wide range of elimination rates. MDMA intoxication is a medical emergency that requires medical intervention to apply countermeasures to save lives. Most cases can be treated but sometimes treatment is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Shannon Raymond's blood level of MDMA was 1.30 milligrams per litre. An effective dose is 1.00 milligrams per litre. It is impossible to tell how much Ecstasy she took to reach this level but it is not necessarily a fatal amount. Her blood level of MDMA was in a range where non-lethal concentrations overlap with those found in fatal doses.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Martz testified the level of MDMA is meaningless as there is no definitive dose or overdose that may or may not lead to death. In other words, a physiologic response to MDMA is very complex and the toxic reaction to MDMA is unpredictable.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Desired effects from the drug usually manifest in increased physical and emotional energy and euphoria. With that comes increased heart rate, increased blood pressure, and increased muscle activity. Undesirable effects can be a rise in body temperature, dilated pupils, dry mouth, difficulty concentrating, insomnia and hangover symptoms like headaches, nausea and vomiting.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Shannon Raymond's toxicology revealed low sodium (less than found in a living range), and an undetectable glucose level, both indicating something serious was going on at the time of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 possible explanation for low sodium could be the consumption of a lot of water. The low levels of sodium and glucose could mimic symptoms of drunkenness. Low levels of sodium could produce symptoms including vomiting, spasms, cramping, and seizures. At the time of examination, no alcohol was detected in Shannon Raymond's samples. The presence of Ibuprofen, an anti-inflammatory drug that can be used to treat headaches, and diphenhydramine, an anti-nausea drug that can be used to treat nausea and vomiting, were also detected.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Martz disagreed with two aspects of Dr. Straathof's autopsy report. These relate to Dr. Straathof's description of moderately low sodium levels and hyponatremia, which Dr. Straathof said were unlikely to have made a significant contribution to death. In Dr. Martz's opinion, the sodium level was significantly and dramatically low, resulting in hyponatremia and could have been a contributor to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Paramedic Brendan Sweetman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Paramedic Brendan Sweetman was dispatched to the Turley residence at 6:04 a.m., July 26, 2008, and arrived at 6:11 a.m. He interacted mostly with Victoria Turley who indicated Shannon Raymond had taken an unknown amount of Ecstasy at 10:00 p.m. the day before. She last checked Shannon at 4:00 a.m. and next found her unresponsive at 6:00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Police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Constable Michael Pedrosa took an audio recorded statement from Victoria Turley when he attended the sudden death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Turley indicated when she came home around 2:30 a.m., Spencer was there with a friend and told her Shannon had taken Ecstasy. Shannon was sitting, talking, and drinking water. She went into the house and wanted to lie down so Ms. Turley lay down with her, rubbing her shoulders. Shannon was upset she had taken the Ecstasy. Ms. Turley stayed in the room until 4:20 a.m. She sat on the swing and had a smoke and then went to her bedroom. She decided to go and check on Shannon and called 9-1-1.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Teen Party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With respect to the teen party witnesses, Nicole Geib planned a three-hour party bus for her 17th birthday. The bus left the Geib residence around 10:10 p.m. and returned around 1:10 to 1:15 a.m. Ms. Geib drank most of a mickey of vodka over the whole evening. She was definitely drunk, although not completely intoxicated and not to the point of incoherence. Everyone except Cady Dyck was drinking at the house. Nicole's parents were present, they knew alcohol was being consumed, and they were all right with it and allowed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Shannon Raymond arrived in a cab about 9:30 p.m., about a half hour before the party bus left. Shannon was drinking a 750 millilitre bottle of Bacardi rum, which she was mixing with something in her water bottle. Everyone was consuming alcohol on the bus. The bus driver was okay with it so long as alcohol was not taken off the bus at stops. Cady Dyck told Ms. Geib at 11:30 p.m. that Shannon Raymond had done Ecstasy. Ms. Geib asked Shannon, "Are you okay?" and Shannon said "I am fine". Ms. Geib left it at that. She did not know if anyone else had taken Ecstasy. When the bus arrived back at the Geib residence, Shannon threw up water in the driveway. Ms. Geib had no further conversation with Shannon and made no other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According to Nicole Geib, before the bus left there was talk that Ashley Dunn and Shannon Raymond may spend the night at the Geib house, but they decided not to stay because Nicole was leaving at 7:00 a.m. with her family to go to Hornby Island. This evidence is inconsistent with the evidence of a number of witnesses. Nicole's mother drove Shannon to Spencer Turley's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Veronica Geib said Shannon said "hi" to her when she arrived at the house after 9:00 p.m. All or most of the kids were drinking. She did not see anyone taking other illicit substances. She was aware of and tolerated the underage drinking. She knew there was a blind eye policy to alcohol on the bus. She supplied her daughter with a mickey of vodka.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When the bus returned, Shannon seemed different. Ms. Geib thought Shannon was drunk as she came off the bus swaying a bit like a drunk person. Ms. Geib did not really interact with Shannon. She did not see Shannon throw up but heard about it before Shannon got into her car. The girls did not want to take Shannon home and had arranged for where they were going to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Geib drove Shannon, Spencer Turley, Tristin Rogerson-Dolley and Ashley Dunn to Spencer's home. Shannon was in the car for 10 to 15 minutes, talking with the girls and asking more than once, "Where are we going?" and saying, "I'm thirsty".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Geib did not see Shannon walk from the car. She could see people in the backyard of the Turley residence but she did not recognize anyone and did not know Ms. Turley. She did not tell any of these people Shannon was drunk because she thought Shannon would be fine, and that she was just a teen who drank too much, threw up, and ultimately she would be fine.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the drive home, she learned from Nicole that Shannon took two Ecstasy pills. She did not contact Ms. Turley or Shannon's mother because she thought the girl would be fine. She knew Shannon had thrown up, was drunk, and had taken two Ecstasy pills, but believed she would be fine. She thought Shannon would sleep it off and be okay in the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Cady Dyck went to the Geib house around 7:30 p.m. that night with Morgan Meys and Alyssa Scales. She said Shannon arrived in a taxi around 8:30 p.m. with Dave Ironside, Ashley Holding and Ashley Dunn. Ms. Dyck was very close to Shannon. Over the evening, Ms. Dyck only had half a cooler as she was not feeling well. Everyone else was drinking, starting at the Geib residence. At 8:30 p.m., Shannon seemed completely normal. There was an adult chaperone on the bus in addition to the bus driver. No one was searched going onto the bus and people carried on water bottles or containers with alcohol. Shannon had her own personal water bottle but Ms. Dyck did not know if there was alcohol in it. On the bus, she noted Ashley Dunn seemed a little bit intoxicated. When the party bus left at 10:15 p.m., Shannon did not seem very drunk, but Ms. Dyck was not really with Shannon.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Dyck observed Shannon dancing before the bus stopped in Vancouver, which was about half to three quarters of the way through the bus ride. At the Vancouver stop, she first became aware Shannon had taken Ecstasy. Shannon was stumbling and seemed very drunk. Ms. Dyck held her, looked in her eyes, and saw her pupils were dilated. She asked Shannon if she had taken Ecstasy. Shannon said, "Yes I did, Cady. Please don't be mad at me. We can talk about it tomorrow. Please don't be mad". Shannon did not say how much she had taken. Ms. Dyck knew that earlier in the month a couple of guys had taken Ecstasy and Shannon wanted to try it. As far as Ms. Dyck knew, Shannon had not tried Ecstasy before this night. Shannon did not leave Ms. Dyck's side for the rest of the bus ride.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bus left the Vancouver stop at about 12:30 a.m. The ride to the Geib residence was about 45 minutes. Shannon was jiggling her leg which she usually did and her jaw twitched three times but she had gum in her mouth. Her water bottle was empty and she was thirsty, asking for water. Ms. Dyck unsealed three 500 millilitre water bottles and poured them into Shannon's empty water bottle. In her police statement, she said it was four to five bottles, and later stated it was not more than three. Two water bottles filled Shannon's container. She did not know how much water Shannon drank. No one else was giving Shannon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bus returned to the Geib residence after 1:00 a.m. Shannon put on her heels. She did not feel well and threw up very watery vomit. She walked away saying, "I'm fine, I'm fine". Ms. Dyck asked where Shannon was sleeping and she said "I'm staying where Ashley Dunn is staying". She did not know where that was. Ms. Dyck asked Ashley Dunn where she was staying. Tristin Rogerson-Dolley was staying at Spencer Turley's house and it was confirmed Shannon would go there with Ashley Dunn. Ms. Dyck knew Shannon had told her mother she was staying at Ashley Dunn's and Ashley Dunn had told her mother she was staying at Shannon's, but they were going to sleep wherever was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Dyck last saw Shannon getting into Veronica Geib's car with Tristin Rogerson-Dolley and Ashley Dunn. Later, at about 1:40 a.m., she exchanged a text message with Tristin Rogerson-Dolley which indicated Shannon was fine; she was sitting on the couch and everyone was taking care of her. Half an hour later Ms. Dyck received a text message saying Shannon was lying down, they were going to put her to sleep, she would talk to Ms. Dyck tomorrow; everything is fine. Ms. Rogerson-Dolley did not recall texting anyone.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Dyck's concern about Shannon was that she had taken Ecstasy. Her concern was where Shannon would end up that night. Her concern was not about Shannon's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Alyssa Scales was the girlfriend of P.J. Grant, who lived at the Turley residence. Morgan Meys and Ms. Scales went to the Geib residence together. Shannon arrived after her. Ms. Scales had four coolers, finishing her fourth on the bus. That was a lot for her to drink at age 16 and she was very intoxicated. After the party, she and P.J. Grant went to the Turley house. She claimed there were no adults at the residence when she arrived, which is inconsistent with other evidence. They were in P.J.'s room for half an hour before Spencer, Shannon, and two to three others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Turley's friends were there, but Ms. Turley was not. Ms. Scales recalls going outside three times. Ms. Scales said hello to everybody in the backyard. The girls were swinging on the swing including Shannon. Shannon was tired and drunk as was everyone else. Although she could not remember if Ms. Turley was home, and did not see Ms. Turley come in, she thought she must have been. At some point later, she asked P.J. to drive her home. Her statement indicated she left the Turley residence about 4:00 a.m. and that she was home before 5:00 a.m. Her home was a five-minute drive from the Turley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She did not remember seeing Shannon although her statement indicated she did. She did not remember seeing Victoria Turley before she left. She did not remember if anyone was outside and did not think she went inside to say goodbye to anyone. In her statement, she said just before leaving she went to Spencer's room, Shannon was alone laying on the futon on her stomach, sleeping. She agreed P.J. gave her ride in Victoria Turley's car and he had to get the keys from Victoria Turley, which is why P.J. went into the room where Shannon was sleeping. She did not see Victoria Turley hand P.J. the keys.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P.J. Grant had arranged for his friend to chaperone the party bus. He arrived at the Geib residence around 6:30 to 7:00 p.m. He was drunk that night, consuming more than 12 and less than 24 beers. He took no other intoxicants. He did not interact with Shannon at the Geib residence or on the bus. After the bus ride, Shannon was really drunk. He immediately left with Alyssa Scales and went to the Turley residence. He and Alyssa were in his bedroom when others from the party bus, including Shannon, arrived in the backyard. Alyssa went to the backyard. He stayed in his room until he took Alyssa home, he thinks around 3:00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 does not have a good memory of events and his police statements have not helped to refresh his memory. He recollected Shannon being in Spencer's room with Victoria Turley. Shannon appeared passed out on the futon, maybe moving and moaning quietly, snoring and kind of talking in her sleep. He vaguely remembered a conversation with Victoria Turley saying, "Shannon's drunk" and all she could do was take care of her at that moment. He was woken at 6:00 a.m. by Shane Gillespie who told him about Shannon. Mr. Grant had a pit bull dog. He does not remember Victoria Turley telling him to take the dog and lock it in his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Tristin Rogerson-Dolley had four to six coolers at the Geib residence before she went on the party bus and took half an Ecstasy pill on the bus. She was the only teen other than Shannon Raymond who admitted taking Ecstasy at the birthday party. She was very intoxicated. Her memory is now very foggy. She had no interaction with Shannon before or on the bus. She remained at the Geib house after the bus returned for not more than 30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Veronica Geib drove her, Shannon, and Ashley Dunn to the Turley house. She did not plan to stay at the Turley residence. She was involved in the decision to go to the Turley residence but she does not know how it was made. She was not sure if others were at the Turley residence when they arrived. Later, others were there, including Victoria Turley.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She remembers sitting outside and going in and out of the kitchen to get water. Shannon seemed very intoxicated, slurring her speech. Victoria Turley had no interaction with Shannon outside, but she thinks Victoria Turley took Shannon to bed when the decision was made that Shannon should go to bed. She told the police she did not think Victoria Turley was drinking because she said she was okay to take care of Shannon.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Once Shannon went to bed in Spencer's room, she did not see her again. She watched television in the living room and said that everyone went to bed close to 5:00 a.m. While in the living room, she heard what sounded like Shannon being sick to her stomach but not vomiting. It was loud enough for everyone to hear. She could not say if the television was on at the time. It was closer to the beginning of the time in the living room. The sound was repeated but she could not say over what time. She remembers looks being exchanged by those in the living room when Shannon was making the noise. She recalled a conversation with Ashley Dunn at some point before or after the sound and said that "We were happy we had taken Shannon to an adult".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Rogerson-Dolley slept on the couch in the living room. She did not remember texting anyone while at the Turley residence, which is inconsistent with Cady Dyck's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Morgan Meys went to Nicole Geib's residence around 5:30 to 6:00 p.m. with Cady Dyck and Alyssa Scales. She did not see Shannon arrive. She finished half a mickey before the party bus. She was drunk. She took no other illicit substances. She interacted with Shannon at the house and Shannon was fine. Cady was the only one not drinking on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Halfway through the bus trip, more towards the end of the trip, Shannon's behaviour changed. She learned from Cady Dyck that Shannon had taken Ecstasy. She behaved like she was on the drug, although this was the first time Ms. Meys had been able to observe anyone who had taken the drug. She said Shannon's eyes were dilated and she was wobbly. Shannon appeared drunk. Ms. Meys confirmed with Shannon that she had taken Ecstasy but was not told how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She spent more time with Shannon. Shannon's condition stayed the same on the bus. She was thirsty and Ms. Meys said she gave Shannon water from a water bottle, which is inconsistent with Ms. Dyck's evidence that no one else but Ms. Dyck gave Shannon anything. Ms. Meys testified Shannon did not drink from her water container. Again, this is inconsistent with Ms. Dyck's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When Ms. Meys got off the bus, she asked Shannon if she was okay and where was she going. Shannon told her she was okay and she was going wherever Ashley Dunn was going. Later, she said she was going to Spencer's house with Ashley Dunn. Ms. Meys did not see Shannon get sick to her stomach at the Geib residence. Veronica Geib drove Ms. Meys home about 2:00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She called Ashley's home to talk to Shannon. Although she believed the call was at 2:30 a.m., the cell records, if accurate, indicate it was 1:53 to 1:55 a.m. Ashley then told Ms. Meys that Shannon was not doing too well. Ashley then insisted Shannon was sleeping. Ms. Meys believed Ashley then was not telling her the truth about Shannon sleeping and she wanted to speak to her. In fact, Ms. Dunn admits she was lying to Ms. Meys. Ashley Dunn said "Fine" and put Shannon on the phone. She spoke to Shannon who made a weird noise like she was going to puke, a retching sound. Ms. Meys asked Shannon if she was okay and Shannon said, "I'm fine, Morgie". Ms. Meys said, "Are you sure?" or "You promise me you will be okay" and Shannon said, "Yeah" or "I promise. I love you. Good night" or "Good bye". Before she spoke to Ashley Dunn, Ms. Meys repeatedly tried to call Shannon's and Ashley's phones for over 30 minutes and got no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Ashley Holding arrived at the Geib residence around 7:00 p.m. with Shannon and Ashley Dunn. They had been together since about 10:00 a.m. They all started drinking alcohol around 4:00 p.m. at Dave Ironside's house. By the time they arrived at the Geib residence, Ashley Holding had two to three drinks. She did not know how much Shannon had to drink, but she did not appear intoxicated at the time. They continued to drink at the Geib residence but Ms. Holding said she did not drink on the bus. Shannon had a 26-ounce bottle of hard liquor. She was mixing her drinks with the highly caffeinated energy drink "Monster" in a glass and not in her water bottle as Cady Dyck testified. Shannon told Ms. Holding and Ashley Dunn that afternoon at the mall that she planned to take Ecstasy at the party that night. Shannon did not say whether she had ever taken it before. Shannon wanted to try Ecstasy because the others had, including Ms. Holding and Ashley Dunn.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She asked for an Ecstasy pill on the bus and Ms. Holding got her one from someone. It was not Spencer Turley who gave her the Ecstasy pill. In her police statement, Ashley Holding said Shannon said she had not taken an Ecstasy pill yet. After she took the pill, she did not really change. She was really drunk throughout the remainder of the bus ride. Ms. Holding's evidence is inconsistent about whether Shannon could or could not get up and dance. She seemed at some point to say that Ms. Raymond was dancing, including with Ms. Holding's boyfriend.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Upon return to the Geib residence, Shannon went into the house to get her bag when it was time to leave. She seemed to know what was going on. She was walking and talking fine and was responsive to questions although she seemed drunk. Ms. Holding's view was Shannon would be fine. Her own experience with Ecstasy was it usually livens up a person and makes a person active, but it did not seem to produce that effect with Shannon.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Geib drove Ms. Holding and her boyfriend, Dave Ironside, to his house. Shannon, Spencer, and Tristin were in the car as well. Ms. Holding's level of intoxication was eight on a scale of one to ten with ten being dysfunctional.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Holding was 15 at the time. She testified this group of teens hung out during the school year and the summer. Weekends were consumed with hard drinking. Most of them got drunk. Shannon was part of this group and Ms. Holding had seen her drunk on many occasions. She had seen her before at the same level of intoxication as that night on the party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Ashley Dunn arrived at the Geib residence about 8:00 p.m. in a taxi with Shannon, Ashley Holding, P.J. Grant, Spencer Turley, Jordan Seath, and Dave Ironside.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Earlier in the afternoon, she was with Shannon and Ashley Holding at Coquitlam Centre. She did not recall but Shannon may have mentioned her plan to take Ecstasy that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Dunn testified she had one drink - a one to one-and-a-half inch pour - when she first arrived at Nicole Geib's house. She did not feel the effects of the alcohol and denied she was intoxicated. She did not drink after that and had no other intoxicants. She denied drinking alcohol on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Dunn and Ashley Holding had bought and planned to share a 26-ounce bottle of hard liquor together but Ms. Dunn claimed she did not feel right and stopped drinking. As well, Ms. Dunn had a container of tequila in her bag which she said she did not drink. Her evidence about her alcohol consumption is inconsistent with the evidence of a number of witnesses and contrary to the weight of the evidence that indicates she in fact was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Dunn testified that Shannon started drinking when she first arrived at Nicole Geib's house. They were at the Geib house for two hours. On the party bus, everyone but Cady Dyck was consuming alcohol. She testified Shannon's state of intoxication was the same on the bus as it was at the house, but changed after the 11:00 p.m. bus stop. Shannon began to act peculiar; she was dancing one minute, then unable to hold her body up, flopping on the couch the next, and then she was back to dancing.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Dunn testified she watched Shannon take an Ecstasy pill at Nicole's house shortly after she arrived. Shannon had wanted to try Ecstasy for a few weeks and finally had the opportunity. Shannon asked Ms. Dunn to do Ecstasy with her but Ms. Dunn declined to do so, so Shannon did it by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Dunn heard from Ashley Holding and Dave Ironside that Shannon had taken another pill on the bus. When she asked Shannon, Shannon told her "I'm fine" but did not say yes or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Dunn said that Cady Dyck was very upset and angry when she found out Shannon had taken Ecstasy. Cady sat with Shannon the majority of the time after this. She told the police Cady was forcing water down Shannon's throat to sober her up. For the most part, Shannon was confined by drinking as much water as she could. On the return to the Geib residence, Shannon got off the bus and was throwing up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plan was for Ms. Dunn and Shannon to stay at the Geib residence, but Veronica Geib said "No one is sleeping here" and she would drive them wherever they wanted to go. Ms. Dunn had told her parents she was going to sleep at Nicole Geib's house. As far as she knew, Shannon told her parents the same thing. This is inconsistent with Ms. Dyck's evidence. Spencer Turley offered his house so they decided to go there. She did not know if Spencer's mom was home. She did know her parents were home. They could have gone home but chose to go to Spencer's house. Shannon, Tristin, and Ms. Dunn did not think going to Ms. Dunn's house was the best option. She did not call her parents to tell them where she would be staying that night, nor did Shannon.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They did not consider the option of taking Shannon home. She denied considering Shannon was so drunk they did not want her mother to see her that way or that they wanted to hide Shannon's drunkenness from her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Shannon was walking like she was very drunk. She could not walk in a straight line. She thinks they arrived at Spencer's house around 1:30 a.m. She helped Shannon walk from the car to a chair in the backyard. Some adults were in the yard and in the house. Victoria Turley was not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Dunn's group was standing and talking around Shannon and Shannon began to pull up her dress. Ms. Dunn got her sweatpants and put them on Shannon. Shannon complained of a headache, saying her head hurt. She was moved to a different chair, assisted by Spencer Turley and Ms. Dunn. She was throwing up. Morgan Meys called to speak to Shannon just as she started to calm down and was no longer complaining of a headache. She told Morgan she did not want her to upset Shannon but Morgan was persistent and wanted to talk to Shannon. She denied telling Morgan that Shannon was sleeping. Shannon was mumbling in her conversation with Morgan and at the end said "I'm fine". She asked Morgan if she was satisfied and Morgan said, "No, put her back on". Shannon talked to Morgan again and when Ms. Dunn asked if she was satisfied now, Morgan said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After this call, Victoria Turley and her friends arrived. Ms. Dunn testified Shannon was given orange juice and crushed-up Vitamin C and Tylenol by Victoria Turley. Ms. Dunn gave three police statements and never mentioned this. At the preliminary hearing she testified "adults" gave Shannon crushed Vitamin C and orange juice, not mentioning Victoria Turley. Ms. Dunn claimed Ms. Turley spoke of giving Shannon Gravol to help her sleep because she was moaning loudly. This is contrary to the evidence of Melody Korman, who said no one gave Ms. Raymond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Shannon was moved into the bedroom about half an hour later by Victoria Turley and her friend, assisted by Jordan Seath and Spencer Turley. Shannon was not cooperative and was resisting. Ms. Dunn testified one of Victoria's friends said she was not allowed into the room where Shannon was. She heard Shannon screaming from the room - blood-curdling screams for quite a while which would stop and then start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At the time this was happening, Ms. Dunn was outside on the swing with Tristin, Jordan Daye and Abel. There were adults present but not Victoria Turley. Ms. Dunn commented there was something wrong, and "We should call an ambulance". The adults assured her they had seen this before and Shannon would sleep it off and she would be fine in the morning. Ms. Dunn did not recognize any of the adults. She listened to the adults and did not raise the subject again. She did not consider calling Shannon's mother. She claims Cady Dyck told her when they got off the bus not to take Shannon home. Cady Dyck was never asked about making this comment. Shannon slowly started to calm down and then the screaming stopped. They were outside another hour and heard nothing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They went inside to watch TV. P.J. Grant returned to the house when they were watching television and Ms. Dunn claims he said, "Wow, she's really messed up". Mr. Grant was not asked about making this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At about 3:30 to 4:00 a.m., Victoria Turley asked Ms. Dunn to relieve her for a few minutes so she could go to the bathroom and have a cigarette. She did not see Victoria around before this time. She saw Shannon was laying flat on her back on the futon covered in blankets. She was shivering but her skin was sweaty. Her arms were locked straight by her side with her wrists flexed back and palms up. She was sleeping and was very still except for her head moving side to side. Victoria Turley returned in five to ten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Around 5:00 a.m. Ms. Dunn was tired so she and Spencer Turley decided to sleep in his room. Victoria Turley said she was going to bed and told Spencer and Ms. Dunn to watch Shannon. Shannon was breathing, snoring, and sleeping. At 5:22 a.m. Shannon heard an unusual sound like gurgling and then no more snoring. She and Spencer checked Shannon. Air was coming from her mouth and her stomach was rising up and down. Ms. Dunn fell asleep. She woke when Shane ran into the room saying Shannon's skin was cold, she stopped breathing, and to call 9-1-1. She was present while Shane tried to resuscitate Shannon. She heard Victoria Turley tell P.J. to go and lock his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She asked Victoria for her sweatpants back but claimed she was told she could not have them as Shannon had peed herself multiple times. Her statements make no reference to asking for the sweatpants back. Ms. Dunn could not say if the sweatpants were wet because Shannon wet herself with water or with urine. She was not around when the sweatpants were changed. She did say in her three police statements that Victoria Turley said that Shannon peed herself three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Dunn recounted that Victoria's friends were very upset. They had to take care of high school stuff. One friend appeared to be really mad. Victoria never said this. She had no problem helping Shannon and was willing to help Shannon. However, Ms. Dunn felt Victoria was not happy dealing with Shannon because it was her birthday but she never said anything like this to Ms. Dunn. In her police statement, she said it was Victoria's friends who did not want Shannon there but Vic, meaning Victoria, was completely fine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Dunn suggested in her evidence it was because of Victoria Turley's body language Ms. Dunn could tell she was not thrilled to be helping Shannon, but Ms. Dunn said nothing to the police or at the preliminary hearing about this. For the first time, three-and-three-quarter years later, Ms. Dunn is saying Victoria Turley's body language indicated she really did not want to help Shannon. In her words, Ms. Turley was "unthrilled" or annoyed.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Clearly, there are a number of aspects of Ms. Dunn's evidence that are problematic in terms of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Jordan Daye started drinking a mickey of rum at the Geib residence and finished it on the bus. He guesses he was drunk. Shannon was dancing and seemed really drunk. He heard she took Ecstasy on the bus. There was no change in her demeanour. He did not see Shannon leave the Geib residence. He and Abel, an exchange student, walked to the Turley house from the Geib residence and stayed 15 to 30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the backyard were Ashley Dunn, Spencer, some adults, and Shannon, who was in a chair drinking water next to the swing. Shannon looked really drunk. He tried to talk to her, asking if she was okay, but she did not respond. His encounter with Shannon was extremely brief. She was not making noises. She asked to go to bed. Spencer helped her walk to his room by putting his arm around her. She was moving one foot in front of the other. He heard groaning on the way to the room and loud groaning from the room. He told police it was like a mad groan, a loud angry groan, once or twice, and then it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He left within a couple of minutes of Shannon going into Spencer's room. He saw Spencer's mom go into the room but did not remember if other adult females went into the room first. None of the teens were offered alcohol or appeared to be drinking alcohol at the Turley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Jordan Seath has little memory of the events of the evening and his police statements do not help refresh his memory. He cannot recall if he drank alcohol, but is sure he did. He cannot comment on his state of intoxication.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At the Geib residence, Shannon did not appear out of the ordinary in any way. Her state changed on the bus as she did not seem to have great balance. As she left the bus, she puked once. He remembers Shannon on the swing set in the backyard at the Turley residence. Shannon seemed intoxicated but he could not tell in what way. Shannon was in Spencer's room but he could not recollect how she got there. He was in the room on more than one occasion and recalls lying down with her and covering her with a blanket. He remembers Victoria Turley and her friends trying to keep the room unpopulated so Shannon could rest. He remembers her falling asleep. He cannot recall who was in the room with Shannon. He recalls falling asleep on the living room couch and waking when Victoria Turley ran from the bedroom to get Shane and they ran back to the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He recalls Shannon early on saying her head was hurting. He did not remember hearing anything from Shannon. He did not recall any conversation about whether Shannon should be brought anywhere.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will now deal with the adults'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Richard Cassia is Ms. Turley's friend. He was at her residence to celebrate her birthday on July 25-26, 2008. He had 14 to 16 beers that night and described himself as hammered, drunk. There were 8 to 12 adults present. Some of the women, including Ms. Turley, Tammy, Angie, and Melody, left the residence between 11:00 p.m. and 12:30 a.m., he believed to go for drinks at a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Not long after, probably 30 minutes to one hour, but he could not recall, five or six kids arrived at the residence. He recognized Ms. Turley's son, Spencer. He was not sure of their sobriety, but Spencer seemed fine. One girl, Shannon, was intoxicated. She needed help from the car. Mr. Cassia said she was "pretty stumbly" if she was going to walk on her own. Shannon came into the yard and sat on a chair or swinging bench with a couple of friends, he believed.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He assumes Ms. Turley returned with the other females within 15 minutes to an hour later because Stewart Gillespie called her to say a bunch of kids were there. He continued drinking and he thinks the women were doing women things and making sure Shannon was okay. Shannon was not in catastrophic shape. The kids were looking after her too, just kind of milling around. He did not know who was tending to whom.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After Ms. Turley returned, Shannon was moved to a little room on a futon. Mr. Cassia did not see how she got into the room. He left at around 3:00 to 3:30 a.m. with Tammy and Stewart. J.P. drove him. He was not sure of times, but would say it was close to an hour between the time Shannon was taken into the room and when he left. When he left he saw Shannon laying on the futon and told the kids to "Make sure she's good and take care of your friend". He felt her foot or hand. She was not on fire or having a major fever yet. She appeared to be sleeping on her side and was lightly snoring. Pillows or towels propped her back up against the upper part of the futon in case she threw up so she would have a fighting chance. In his words, this is what parents do, people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From when Shannon was no longer in the yard to the point he touched her hand or foot, he did not hear or see anything regarding Shannon. He was always within 30 feet of her room and he never heard screaming, yelling or blood-curdling screams. He is deaf in one ear, but given his location in relation to Shannon's location, he would have heard. The conversation came up about whether to call her mom. He was not party to the conversation and did not know what was said. Mr. Cassia did not feel Shannon's mom ought to be called until after the fact. In his opinion, this was a young girl who drank too much and in the morning would sober up with a hangover. There was nothing that night that led him to believe the hospital or EHS should be called regarding Shannon's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Michael MacIntosh arrived at the Turley residence with his girlfriend around 11:00 p.m. He did not recall that Victoria left with some women but there were several periods when he did not see her. He thought it was around 2:00 a.m. when a group of five to six mid-teens arrived. They all seemed kind of intoxicated but not to the same degree. They all looked like they were having a good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Two girls seemed really drunk. One was helping a friend who was really drunk too. They were stumbling and laughing into the yard together. The most intoxicated, Shannon, flopped onto the ground and was helped by some adults onto a lawn chair. She said she was not feeling good and started to take her dress off. She complained she was really hot. Her girlfriend, the other one who seemed really drunk, grabbed track pants and a t-shirt and helped Shannon put them on. Shannon took a few sips of water and complained she did not feel well. She threw up tiny bits a few times. She asked for a cold cloth saying she was really hot. Someone got her a cold cloth. Mr. MacIntosh took her pulse a couple of times at her wrist and neck, but the pulse did not feel real faint or slow or super fast. He did not think much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Shannon sat cuddled in the chair for one to one-and-a-half hours. She spilled one glass of water. A couple of times she looked up at the stars and her eyes dozed off, rolling up and then back down to look him. He talked to her. Quite a few times she said she did not feel good, that she was sorry for throwing up, but she was tired and wanted to lie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He believed Mel, Victoria, and another female took her inside. He cannot say for certain Victoria physically helped take Shannon into the house. He did not see Shannon again. He did not see Victoria come out of the room. He heard her moan and the sound of someone possibly getting sick.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Mel or Melody Korman said "Maybe we should call her mother" after Shannon was in the bedroom. On the way home with Melody and Sean, they discussed the possibility of calling her mother. They discussed scenarios of what they would do with their daughters. He was not sure of his standpoint on calling her parents. He thought Shannon was really drunk and possibly alcohol poisoned. She was throwing up which was a good sign; her body was rejecting it. He heard she had taken Ecstasy but he did not know the amount. He did not feel phoning her mother was the thing that should be done. He did not think it was that serious but he was not there the rest of the night. From the time the teens arrived he did not see them being served alcohol by any of the adults. Shannon was thirsty and was given water. He saw her sip from the water and knock one of the glasses on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Shane Gillespie was Victoria Turley's boyfriend at the time. There was a gathering at the house to celebrate her birthday which included his brother, sister, mother, and four or six others. He might have had a couple of beers at dinner but he was not intoxicated. He went to bed when the women, Victoria, Tammy, Angie and Mel left to go for a dance as he had a golf tournament in the morning. He woke to the sounds of Spencer and 10 to 12 of his friends in the yard. They were not supposed to be there so he tried to call Victoria to come home. His brother eventually got hold of Tammy.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One of the girls, Shannon, appeared intoxicated. The others were huddling around her, comforting her, as she sat in the backyard. The others appeared verbally intoxicated and a little loud.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When Victoria and the other women returned a half hour later, Victoria went directly to Shannon and tried to talk to her. He guessed Shannon was not responding very well although this was just an assumption he made as he was in the house and heard nothing.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Shortly after they moved Shannon, they were consoling her and trying to get her into the house. Shannon walked with the help of Victoria and his sister or Tammy holding her up. He could not be sure whether Spencer or others helped. Shannon was walking; she was not being carried or dragged. One foot moved after the other as she walked assisted into the house. He made sure that Spencer's room was clear and the door was open. Shannon was put on the futon. Victoria was consoling Shannon who was a little upset at having to lie down. She was resisting, pushing people away and did not want to lie down and go to bed. She was grumbling but he could not make out any words. He did not hear any blood-curdling screams or yelling going on for half an hour. Shannon was loud when being led into the house but otherwise there was no screaming or yelling.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Gillespie went back to bed. At the preliminary hearing he testified he returned to the room a short time later and Shannon was laying on the futon. The other women were in the room and Victoria was sitting on the edge of the futon facing Shannon. The situation looked better and calmer. He thought all would be okay so he went to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He woke at 4:00 a.m. and Victoria was not in bed. He went to check on Victoria and Shannon. The situation appeared very calm and completely under control. Spencer was sleeping in his bed. He went back to sleep and he thinks Victoria came to bed one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Victoria woke him in a panic. He did CPR on Shannon when 9-1-1 was called. He could not recall any discussion about calling a parent or 9-1-1. At no time was he of the view that the situation required an ambulance to treat Shannon. At no time did he think there was a need to call 9-1-1 or an ambulance for Shannon until the 9-1-1 call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None of the teens were served alcohol or were drinking alcohol at the Turley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Tammy McIvor was the girlfriend of Shane Gillespie's brother. Ms. McIvor knew Ms. Turley for about nine months. She arrived at the Turley residence around 7:30 p.m. that night to celebrate Victoria Turley's birthday. There were about a dozen guests and more arrived later. Around midnight she, Victoria, Angie and Mel left to go for a birthday drink and dance. She had had a few drinks; Victoria Turley seemed fine.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They were called by the adult males to come home as the kids were at the house. This was about the time of last call. They returned about 15 minutes later to the residence. Some of the girls were on the swing and some men were in front of them. Shannon was on a chair and Spencer was sitting on the arm of the chair. None of the kids were overly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Ms. McIvor walked over to Shannon and said "Hello" and tried to pull her hair back. Shannon was upright, not slumped down, and her head was positioned so her hair was angled across the side of her face. Spencer was making faces, telling Shannon to relax; she would be okay and feel better. Ms. McIvor had met Shannon before. This was her only interaction with Shannon in the yard. She was in the yard for 10 to 15 minutes and then went to the upper deck. She did not recollect Victoria Turley interacting with Shannon in the backyard.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She did not see Shannon moved from the yard to Spencer's room. She saw Shannon laying on a futon. Victoria Turley was sitting on the edge of the futon and Angie knelt on the floor in front of Shannon. Mel was talking in a loud voice and waving her hands around. Mel was saying "This reminds me of when I was young and I would get drunk and I used to fight with my mother". Victoria told Mel, "This isn't about you". Shannon waved her hand twice motioning like shooing Mel away. Mel appeared very intoxicated. Rick Cassia checked Shannon's hands and feet for circulation. He put a blanket on Shannon making her comfortable because she had a few too many to drink. Kids were coming in and out of the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Victoria was in the room when Ms. McIvor was leaving so she came to say goodbye. She spoke to Shannon who had a cool facecloth on her forehead. She tapped the cloth and said, "Pretend you are on a beach and feel a cool breeze and feel better". Shannon acknowledged, "Um-hmm".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After Shannon was moved into Spencer's room, Ms. McIvor believed she only saw Victoria Turley in that room. There was no conversation about contacting a doctor or parent. Kids were watching television in the living room and were going to watch a movie. It was quiet; pretty calm and mellow. Ms. McIvor did not hear blood-curdling screams or moaning and groaning.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McIvor had standard first aid training in CPR and defibrillation. There was nothing about Shannon that night that made Ms. McIvor think Shannon needed first aid. Ms. McIvor was home by 3:00 or 3:30 a.m., so she was back at the Turley residence for just over an hour from the time she returned from the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Melody Korman, or Mel, knew Victoria Turley for a couple of years before attending her birthday celebration. She said there were about 20 adults present. Ms. Korman started drinking about 5:00 p.m. She had 10 to 15 drinks that night and was drunk. She recalls leaving with Victoria, Tammy, and Angela around midnight to go for a birthday drink. They were gone for an hour at most before returning to find six to 12 kids in the backyard.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All the kids appeared intoxicated but Shannon was the worst. She looked drunk. She was incoherent and the focus of immediate attention. Ms. Korman's husband and Mike were standing over Shannon who was sitting in a chair, head back, with a cloth on her head. Ms. Korman tried to talk to Shannon but there was no response. Shannon was moving her head around, like kind of spinning, like she did not know if she was going to vomit or what to do. Ms. Korman knelt beside her, holding a glass of water trying to get her to sip it. Shannon was leaning over as if going to vomit, kind of spitting, so Ms. Korman tied her hair back. When Ms. Korman tried to talk to Shannon, she opened her eyes and looked at Ms. Korman and garbled or mumbled a bit like sobering up and then went back to being extremely hammered. In her police statement, Ms. Korman said Shannon articulated the word,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This situation went on for half an hour or an hour; she did not know. Someone gave Shannon crushed Vitamin C and a drink. There was talk of giving her Tylenol and that was ruled out. No one gave her any medication including Gravol. All Shannon got was water. Shannon wet her pants. Ms. Korman did not want her to be embarrassed so she moved Shannon to Spencer's bedroom. She did not recall Shannon saying she wanted to go to bed. She is pretty sure that someone else, maybe Victoria Turley, helped move Shannon who was a dead weight. She thought Shannon was hammered and had had too much to drink. There was nothing out of the normal at that time and Ms. Korman felt she had to sleep it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Shannon was moved to the futon. Victoria Turley went to get track pants. Ms. Korman tried to take off Shannon's wet jeans. Shannon screamed and fought from her pants being taken off, that Ms. Korman was doing something wrong to her. Ms. Korman grabbed Shannon's shoulders and told her to smarten up, she knew her, she was drunk and this was stupid. Shannon stopped resisting and her pants were changed. At the time, Angie was in the room but not Victoria. Victoria came in when Ms. Korman was getting her pants off. Shannon calmed down a bit. She and Victoria propped up Shannon with pillows in case Shannon vomited so she would not choke.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People came and went from the room over the rest of the night as did Ms. Korman. Shannon did not respond to conversation. She rolled her head a bit and tossed a bit like she was spinning from being so intoxicated so Ms. Korman put her foot on the ground at one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At one time while on the top deck, Ms. Korman heard a deep moan. She went back into the room and heard an eerie, bizarre sound. She tried to talk to Shannon and tell her to go to sleep but there was no response. Victoria was still in the room and Angela came and went. Every time Ms. Korman was in the room, Victoria was in the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At some point, she is not sure when and is not sure if it was shortly after the pants were changed, she saw Shannon go stiff two to three times, biting her tongue with her arms straight against her body and her hands clenched in fists. At the preliminary hearing, she said it was almost like Shannon was biting her tongue but she testified at trial that was the wrong choice of words at the preliminary hearing and she was biting her tongue. It almost looked like she was having a seizure. This freaked her out and she felt the parents should be called as she was way too drunk for what Ms. Korman wanted to deal with. She believes Angie was in the room at the time but cannot say 100 percent that Victoria Turley was in the room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She felt if it was her daughter she would video her and show it to her daughter so she would never do it again. Everyone felt she was overreacting and tried to get her to shut up. She was hysterical and bawling saying she had not come to babysit. She mentioned calling the parents to Victoria, her husband Rick, and Shane. Victoria told her "Don't worry about it" as it was not Ms. Korman's problem to deal with. Angela agreed with Ms. Korman. Rick held her against the wall and told her to mind her own business; that she would be okay, and that they were leaving. Shane did not say much of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Victoria sat with Shannon, rubbing her head. She could hear from the kitchen that Shannon was snoring so she figured it was a good thing she was asleep and would sleep it off. She estimated it was three to four hours, probably four hours that Shannon was in the room until she left around 5:00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rest of the kids had nothing to do with looking after Shannon. They were in a world of their own and did not care about Shannon and did not check on her. Even when Shannon was on the chair, no one cared she was there or in that state. There was no discussion about medical assistance; no one considered it or thought about it. She did not think Shannon was in that kind of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Ms. Korman had a one track mind that Shannon should go home and let her parents deal with it. She seemed really intoxicated and heard talk that Shannon had taken Ecstasy on the bus. She knew Shannon was messed up but everyone, including 15, 16, and 17 year olds, drink and have to sleep it off. That is what it is like. She felt it was time for her to go home because she was not enjoying the evening as it had turned into babysitting.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first time she said to phone Shannon's parents because "she was not there to babysit" was in the backyard when she first dealt with Shannon. In her police statement, which she said was truthful and correct, she said at no point did 9-1-1 need to be called; there was no need to get an ambulance. In her view, the parents needed to be called to deal with the issue of a drunk daughter possibly on Ecstasy.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There are some concerns with respect to Ms. Korman's evidence, particularly given the state of her intoxication.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Applicable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Fundamental principles govern every criminal trial and guide any decision. The first fundamental principle is the presumption of innocence. Victoria Turley is presumed to be innocent unless and until the Crown proves her guilt beyond a reasonable doubt. Presumption of innocence only ceases to apply if, at the end of the case and on the whole of the evidence, the Crown has proved beyond a reasonable doubt her guilt of the crime 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second fundamental principle is the requirement for proof beyond a reasonable doubt and it is an essential part of the presumption of innocence. A reasonable doubt is a doubt based on reason and common sense that arises at the end of a case based on the evidence or lack of evidence. It is not enough to believe that Victoria Turley is probably or likely guilty.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After assessing all of the relevant evidence, I must be sure Ms. Turley committed the offence with which she is charged; otherwise I must find her not guilty.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must carefully consider all of the evidence presented during the trial to determine how much or little of the testimony of each witness I believe and rely on, bearing in mind that I may believe some, none, or all of the evidence given by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assessing the evidence of various witnesses, some factors I have considered are whether the witness seemed honest, whether there was any reason why the witness would not be telling the truth, whether the witness appeared to have an interest in the outcome of the case or any reason to give evidence more favourable to one side or to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Other factors I have considered include the ability and opportunity of the witness to make accurate and complete observations about the events, the circumstances in which the observations were made, whether and to what extent the witness was under the influence of intoxicants, and the ability of the witness to remember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Of importance is the reasonableness and consistency of the witness's account, having regard to what the witness may have said on an earlier occasion, and to what other witnesses have said about the same event. Any explanation for any inconsistency assists in considering whether the inconsistency is the result of a deliberate lie or an honest mistake. Reasonable doubt can be applied to the credibility of witnesses. Credibility and reliability of witnesses are important in determining the issues at this trial. There are some inconsistencies internally and externally in relation to the evidence of many of the witnesses. Some inconsistencies are minor while others are more significant, as I have assessed some differing accounts with respect to the events which unfolded almost four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It is important to note that decisions in criminal trials are governed by the actual evidence presented in court through the mouths of the witnesses who testified at trial as well as the exhibits and the admissions filed at trial. Information about this case from outside the courtroom, particularly media accounts, is not evidence. This case must be decided on the facts derived from the evidence of this trial. Further, decisions in criminal trials are not influenced by sympathy for or prejudice against anyone.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Relevant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Turning to the relevant law, I will now consider the relevant law applicable to the offence of failing to provide the necessaries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Section 215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reads in part:</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one is under a legal duty ...</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provide necessaries of life to a person under his charge if that person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unable, by reason of detention, age, illness, mental disorder or other cause, to withdraw himself from that charge,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unable to provide himself with necessaries of life.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one commits an offence who, being under a legal duty within the meaning of subsection (1), fails without lawful excuse, the proof of which lies on him, to perform that duty, if ...</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a duty imposed by paragraph (1)(c), the failure to perform the duty endangers the life of the person to whom the duty is owed or causes or is likely to cause the health of that person to be injured permanently.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A duty under s. 215(1)(c) arises when a person who is under the charge of another is unable to withdraw from that charge and is unable to provide himself or herself with necessaries of life: </w:t>
      </w:r>
      <w:r>
        <w:rPr>
          <w:rFonts w:ascii="arial" w:eastAsia="arial" w:hAnsi="arial" w:cs="arial"/>
          <w:i/>
          <w:color w:val="000000"/>
          <w:sz w:val="20"/>
          <w:lang w:val="en-US" w:eastAsia="en-US" w:bidi="ar-SA"/>
        </w:rPr>
        <w:t>R. v. Peterson</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(2005), 201 C.C.C. (3d) 220</w:t>
        </w:r>
      </w:hyperlink>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34 C.R. (6th) 120</w:t>
        </w:r>
      </w:hyperlink>
      <w:r>
        <w:rPr>
          <w:rFonts w:ascii="arial" w:eastAsia="arial" w:hAnsi="arial" w:cs="arial"/>
          <w:color w:val="000000"/>
          <w:sz w:val="20"/>
          <w:lang w:val="en-US" w:eastAsia="en-US" w:bidi="ar-SA"/>
        </w:rPr>
        <w:t xml:space="preserve"> (Ont. C.A.),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 relevant positions of the parties and the existence of an element of control exercised by one person and a dependency on the part of the other are factors to consider in determining whether a person is under the charge of another: </w:t>
      </w:r>
      <w:r>
        <w:rPr>
          <w:rFonts w:ascii="arial" w:eastAsia="arial" w:hAnsi="arial" w:cs="arial"/>
          <w:i/>
          <w:color w:val="000000"/>
          <w:sz w:val="20"/>
          <w:lang w:val="en-US" w:eastAsia="en-US" w:bidi="ar-SA"/>
        </w:rPr>
        <w:t>Peterson</w:t>
      </w:r>
      <w:r>
        <w:rPr>
          <w:rFonts w:ascii="arial" w:eastAsia="arial" w:hAnsi="arial" w:cs="arial"/>
          <w:color w:val="000000"/>
          <w:sz w:val="20"/>
          <w:lang w:val="en-US" w:eastAsia="en-US" w:bidi="ar-SA"/>
        </w:rPr>
        <w:t>, at paras. 40-43.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What is included in the concept "necessaries of life" is determined by the circumstances of each case: </w:t>
      </w:r>
      <w:r>
        <w:rPr>
          <w:rFonts w:ascii="arial" w:eastAsia="arial" w:hAnsi="arial" w:cs="arial"/>
          <w:i/>
          <w:color w:val="000000"/>
          <w:sz w:val="20"/>
          <w:lang w:val="en-US" w:eastAsia="en-US" w:bidi="ar-SA"/>
        </w:rPr>
        <w:t>R. v. Lewis</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(1903), 7 C.C.C. 261</w:t>
        </w:r>
      </w:hyperlink>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6 O.L.R. 132</w:t>
        </w:r>
      </w:hyperlink>
      <w:r>
        <w:rPr>
          <w:rFonts w:ascii="arial" w:eastAsia="arial" w:hAnsi="arial" w:cs="arial"/>
          <w:color w:val="000000"/>
          <w:sz w:val="20"/>
          <w:lang w:val="en-US" w:eastAsia="en-US" w:bidi="ar-SA"/>
        </w:rPr>
        <w:t xml:space="preserve"> (C.A.), at p. 136, </w:t>
      </w:r>
      <w:r>
        <w:rPr>
          <w:rFonts w:ascii="arial" w:eastAsia="arial" w:hAnsi="arial" w:cs="arial"/>
          <w:i/>
          <w:color w:val="000000"/>
          <w:sz w:val="20"/>
          <w:lang w:val="en-US" w:eastAsia="en-US" w:bidi="ar-SA"/>
        </w:rPr>
        <w:t>R. v. Pertab</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27 C.R. (6th) 126</w:t>
        </w:r>
      </w:hyperlink>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[2004] O.J. No. 5109</w:t>
        </w:r>
      </w:hyperlink>
      <w:r>
        <w:rPr>
          <w:rFonts w:ascii="arial" w:eastAsia="arial" w:hAnsi="arial" w:cs="arial"/>
          <w:color w:val="000000"/>
          <w:sz w:val="20"/>
          <w:lang w:val="en-US" w:eastAsia="en-US" w:bidi="ar-SA"/>
        </w:rPr>
        <w:t xml:space="preserve"> (S.C.J.), at para. 35. In determining whether the duty to provide medical aid as a necessary of life is triggered, consideration must be given to the severity of the injury and the knowledge that it occurred: </w:t>
      </w:r>
      <w:r>
        <w:rPr>
          <w:rFonts w:ascii="arial" w:eastAsia="arial" w:hAnsi="arial" w:cs="arial"/>
          <w:i/>
          <w:color w:val="000000"/>
          <w:sz w:val="20"/>
          <w:lang w:val="en-US" w:eastAsia="en-US" w:bidi="ar-SA"/>
        </w:rPr>
        <w:t>R. v. Alexander</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2011 ONSC 980</w:t>
        </w:r>
      </w:hyperlink>
      <w:r>
        <w:rPr>
          <w:rFonts w:ascii="arial" w:eastAsia="arial" w:hAnsi="arial" w:cs="arial"/>
          <w:color w:val="000000"/>
          <w:sz w:val="20"/>
          <w:lang w:val="en-US" w:eastAsia="en-US" w:bidi="ar-SA"/>
        </w:rPr>
        <w:t>,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Once the duty is engaged, the Crown must prove first that the accused's acts or omissions which led to the failure to provide necessaries of life were a marked departure from the conduct of a reasonably prudent person in similar circumstances, and second that it was objectively foreseeable that the failure to provide necessaries would lead to a risk of danger to the life or permanent endangerment to the health of the person under the charge of the accused: </w:t>
      </w:r>
      <w:r>
        <w:rPr>
          <w:rFonts w:ascii="arial" w:eastAsia="arial" w:hAnsi="arial" w:cs="arial"/>
          <w:i/>
          <w:color w:val="000000"/>
          <w:sz w:val="20"/>
          <w:lang w:val="en-US" w:eastAsia="en-US" w:bidi="ar-SA"/>
        </w:rPr>
        <w:t>R. v. Naglik</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[1993] 3 S.C.R. 122</w:t>
        </w:r>
      </w:hyperlink>
      <w:r>
        <w:rPr>
          <w:rFonts w:ascii="arial" w:eastAsia="arial" w:hAnsi="arial" w:cs="arial"/>
          <w:color w:val="000000"/>
          <w:sz w:val="20"/>
          <w:lang w:val="en-US" w:eastAsia="en-US" w:bidi="ar-SA"/>
        </w:rPr>
        <w:t>, at para. 148.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The above test is objective and onerous: </w:t>
      </w:r>
      <w:r>
        <w:rPr>
          <w:rFonts w:ascii="arial" w:eastAsia="arial" w:hAnsi="arial" w:cs="arial"/>
          <w:i/>
          <w:color w:val="000000"/>
          <w:sz w:val="20"/>
          <w:lang w:val="en-US" w:eastAsia="en-US" w:bidi="ar-SA"/>
        </w:rPr>
        <w:t>Alexander</w:t>
      </w:r>
      <w:r>
        <w:rPr>
          <w:rFonts w:ascii="arial" w:eastAsia="arial" w:hAnsi="arial" w:cs="arial"/>
          <w:color w:val="000000"/>
          <w:sz w:val="20"/>
          <w:lang w:val="en-US" w:eastAsia="en-US" w:bidi="ar-SA"/>
        </w:rPr>
        <w:t xml:space="preserve">, at para. 9. The concept of a "duty" is indicative of a uniform societal minimum level of care: </w:t>
      </w:r>
      <w:r>
        <w:rPr>
          <w:rFonts w:ascii="arial" w:eastAsia="arial" w:hAnsi="arial" w:cs="arial"/>
          <w:i/>
          <w:color w:val="000000"/>
          <w:sz w:val="20"/>
          <w:lang w:val="en-US" w:eastAsia="en-US" w:bidi="ar-SA"/>
        </w:rPr>
        <w:t>Naglik</w:t>
      </w:r>
      <w:r>
        <w:rPr>
          <w:rFonts w:ascii="arial" w:eastAsia="arial" w:hAnsi="arial" w:cs="arial"/>
          <w:color w:val="000000"/>
          <w:sz w:val="20"/>
          <w:lang w:val="en-US" w:eastAsia="en-US" w:bidi="ar-SA"/>
        </w:rPr>
        <w:t xml:space="preserve">, at p. 141. The personal characteristics of the accused, falling short of capacity to appreciate the risks, are not a relevant consideration: </w:t>
      </w:r>
      <w:r>
        <w:rPr>
          <w:rFonts w:ascii="arial" w:eastAsia="arial" w:hAnsi="arial" w:cs="arial"/>
          <w:i/>
          <w:color w:val="000000"/>
          <w:sz w:val="20"/>
          <w:lang w:val="en-US" w:eastAsia="en-US" w:bidi="ar-SA"/>
        </w:rPr>
        <w:t>Naglik</w:t>
      </w:r>
      <w:r>
        <w:rPr>
          <w:rFonts w:ascii="arial" w:eastAsia="arial" w:hAnsi="arial" w:cs="arial"/>
          <w:color w:val="000000"/>
          <w:sz w:val="20"/>
          <w:lang w:val="en-US" w:eastAsia="en-US" w:bidi="ar-SA"/>
        </w:rPr>
        <w:t xml:space="preserve">, at p. 148. The objective basis of liability includes an assessment of whether the person in charge could have acted other than as he or she did: </w:t>
      </w:r>
      <w:r>
        <w:rPr>
          <w:rFonts w:ascii="arial" w:eastAsia="arial" w:hAnsi="arial" w:cs="arial"/>
          <w:i/>
          <w:color w:val="000000"/>
          <w:sz w:val="20"/>
          <w:lang w:val="en-US" w:eastAsia="en-US" w:bidi="ar-SA"/>
        </w:rPr>
        <w:t>Naglik</w:t>
      </w:r>
      <w:r>
        <w:rPr>
          <w:rFonts w:ascii="arial" w:eastAsia="arial" w:hAnsi="arial" w:cs="arial"/>
          <w:color w:val="000000"/>
          <w:sz w:val="20"/>
          <w:lang w:val="en-US" w:eastAsia="en-US" w:bidi="ar-SA"/>
        </w:rPr>
        <w:t xml:space="preserve">, at pp. 142-143; </w:t>
      </w:r>
      <w:r>
        <w:rPr>
          <w:rFonts w:ascii="arial" w:eastAsia="arial" w:hAnsi="arial" w:cs="arial"/>
          <w:i/>
          <w:color w:val="000000"/>
          <w:sz w:val="20"/>
          <w:lang w:val="en-US" w:eastAsia="en-US" w:bidi="ar-SA"/>
        </w:rPr>
        <w:t>Peterson</w:t>
      </w:r>
      <w:r>
        <w:rPr>
          <w:rFonts w:ascii="arial" w:eastAsia="arial" w:hAnsi="arial" w:cs="arial"/>
          <w:color w:val="000000"/>
          <w:sz w:val="20"/>
          <w:lang w:val="en-US" w:eastAsia="en-US" w:bidi="ar-SA"/>
        </w:rPr>
        <w:t>,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first issue concerns whether Ms. Raymond was under the charge of Ms. Turley.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This issue was not conceded by defence counsel but it was not pressed in argument. Ms. Turley was one of the adults at the Turley residence who assumed responsibility for the care of Ms. Raymond and provided active and consistent care to Ms. Raymond from the time Ms. Turley arrived home at around 2:00 a.m. until she went to bed between 4:00 and 5:00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Ms. Raymond was unable by reason of her level of intoxication to withdraw herself from Ms. Turley's charge or provide herself with necessaries of life. I agree with the Crown that Ms. Raymond was under the charge of Ms. Turley from the time Ms. Turley began to care for Ms. Raymond around 2:00 a.m. until the time the paramedics arrived shortly after 6:00 a.m. As a person in her charge, Ms. Turley owed Ms. Raymond a duty to provide her with necessaries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Accordingly, the next issue is whether the duty to provide medical aid arose while Ms. Raymond was under Ms. Turley's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second issue to be addressed is whether Ms. Turley's failure to obtain medical care constitutes a marked departure from the conduct of a reasonably prudent person in similar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parties agree Ms. Turley did not obtain medical aid for Ms. Raymond prior to 6:00 a.m. on July 26,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Crown submits the level of care provided by Ms. Turley was insufficient, given Ms. Turley's knowledge Ms. Raymond had taken Ecstasy and the symptoms of distress Ms. Raymond exhibited. The Crown says once Ms. Raymond was taken to Spencer Turley's bedroom to lie down, her symptoms differed from those of simple alcohol intoxication. The Crown says symptoms including incontinence and seizure, coupled with the knowledge that Ms. Raymond had consumed an unregulated street drug, would have caused a reasonably prudent person to obtain medical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Crown says Ms. Turley's failure to obtain medical care in the circumstances amounts to a marked departure from the conduct of a reasonable person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Crown argues the conduct of other guests present at the Turley residence that evening does not provide a proper model of the objective standard against which Ms. Turley's conduct is to be judged. The Crown says the assessment of the need or lack thereof for medical care is based on the knowledge that Ms. Raymond had taken Ecstasy but only on partial observations of her symptoms made by the other guests who were not with Shannon throughout the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Crown says that because Ms. Turley took charge of Ms. Raymond, and because of the allegation that she limited the number of people who were allowed to enter Spencer Turley's bedroom, Ms. Turley prevented others from acting.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Further, based on what some guests may have known and witnessed regarding Ms. Raymond's state, their assessment may fall short of the objective standard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Crown says Ms. Turley should be judged against the standard of the reasonably prudent caregiver in the circumstances. I disagree with the Crown on this point. Ms. Turley provided care to Ms. Raymond on an impromptu basis. The relationship of the party is not akin to that of a caregiver or long-term caregiver arrangement. The standard of the reasonably prudent person is appropriate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defence says the Crown has failed to prove the mental element of the charge, which the defence submits is onerous. The defence argues that the duty to act was not triggered because the severity of Shannon's symptoms Ms. Turley was aware of, combined with Ms. Turley's knowledge that Ms. Raymond had taken Ecstasy, did not amount to circumstances in which the reasonable and prudent person would obtain medical care. The defence further submits there is no evidence Ms. Turley's conduct constituted a marked departure from a minimum community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It is the position of the defence that Ms. Turley did not witness and was not notified of the seizure-like symptoms Ms. Korman and Ms. Dunn apparently described. The defence says even if Ms. Turley had been informed of any seizure-like symptoms, there was no evidence there was in fact a seizure and the Crown concedes that the Court cannot take judicial notice of what constitutes a seizure.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The defence distinguishes the facts of this case from authorities such as the </w:t>
      </w:r>
      <w:r>
        <w:rPr>
          <w:rFonts w:ascii="arial" w:eastAsia="arial" w:hAnsi="arial" w:cs="arial"/>
          <w:i/>
          <w:color w:val="000000"/>
          <w:sz w:val="20"/>
          <w:lang w:val="en-US" w:eastAsia="en-US" w:bidi="ar-SA"/>
        </w:rPr>
        <w:t>Alexander</w:t>
      </w:r>
      <w:r>
        <w:rPr>
          <w:rFonts w:ascii="arial" w:eastAsia="arial" w:hAnsi="arial" w:cs="arial"/>
          <w:color w:val="000000"/>
          <w:sz w:val="20"/>
          <w:lang w:val="en-US" w:eastAsia="en-US" w:bidi="ar-SA"/>
        </w:rPr>
        <w:t xml:space="preserve"> case, in which an infant sustained severe burn injuries to 40% of his body, causing him to scream in pain for an extended period of time, vomit a blackish substance, and his skin to mostly peel off entirely, portions of which his mother had placed in the garbage can: </w:t>
      </w:r>
      <w:r>
        <w:rPr>
          <w:rFonts w:ascii="arial" w:eastAsia="arial" w:hAnsi="arial" w:cs="arial"/>
          <w:i/>
          <w:color w:val="000000"/>
          <w:sz w:val="20"/>
          <w:lang w:val="en-US" w:eastAsia="en-US" w:bidi="ar-SA"/>
        </w:rPr>
        <w:t>Alexander</w:t>
      </w:r>
      <w:r>
        <w:rPr>
          <w:rFonts w:ascii="arial" w:eastAsia="arial" w:hAnsi="arial" w:cs="arial"/>
          <w:color w:val="000000"/>
          <w:sz w:val="20"/>
          <w:lang w:val="en-US" w:eastAsia="en-US" w:bidi="ar-SA"/>
        </w:rPr>
        <w:t xml:space="preserve">, at para. 86. In </w:t>
      </w:r>
      <w:r>
        <w:rPr>
          <w:rFonts w:ascii="arial" w:eastAsia="arial" w:hAnsi="arial" w:cs="arial"/>
          <w:i/>
          <w:color w:val="000000"/>
          <w:sz w:val="20"/>
          <w:lang w:val="en-US" w:eastAsia="en-US" w:bidi="ar-SA"/>
        </w:rPr>
        <w:t>Alexander</w:t>
      </w:r>
      <w:r>
        <w:rPr>
          <w:rFonts w:ascii="arial" w:eastAsia="arial" w:hAnsi="arial" w:cs="arial"/>
          <w:color w:val="000000"/>
          <w:sz w:val="20"/>
          <w:lang w:val="en-US" w:eastAsia="en-US" w:bidi="ar-SA"/>
        </w:rPr>
        <w:t xml:space="preserve"> the circumstances were held to be clear to any reasonable person or parent that the infant required medical help: </w:t>
      </w:r>
      <w:r>
        <w:rPr>
          <w:rFonts w:ascii="arial" w:eastAsia="arial" w:hAnsi="arial" w:cs="arial"/>
          <w:i/>
          <w:color w:val="000000"/>
          <w:sz w:val="20"/>
          <w:lang w:val="en-US" w:eastAsia="en-US" w:bidi="ar-SA"/>
        </w:rPr>
        <w:t>Alexander</w:t>
      </w:r>
      <w:r>
        <w:rPr>
          <w:rFonts w:ascii="arial" w:eastAsia="arial" w:hAnsi="arial" w:cs="arial"/>
          <w:color w:val="000000"/>
          <w:sz w:val="20"/>
          <w:lang w:val="en-US" w:eastAsia="en-US" w:bidi="ar-SA"/>
        </w:rPr>
        <w:t>, at para. 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The conduct of Ms. Turley is to be measured against an objective societal minimum standard in determining what Ms. Turley should have done. I must determine the conduct of the reasonably prudent person when engaging in the activity of caring for Ms. Raymond in the specific circumstances that prevailed: </w:t>
      </w:r>
      <w:r>
        <w:rPr>
          <w:rFonts w:ascii="arial" w:eastAsia="arial" w:hAnsi="arial" w:cs="arial"/>
          <w:i/>
          <w:color w:val="000000"/>
          <w:sz w:val="20"/>
          <w:lang w:val="en-US" w:eastAsia="en-US" w:bidi="ar-SA"/>
        </w:rPr>
        <w:t>Naglik</w:t>
      </w:r>
      <w:r>
        <w:rPr>
          <w:rFonts w:ascii="arial" w:eastAsia="arial" w:hAnsi="arial" w:cs="arial"/>
          <w:color w:val="000000"/>
          <w:sz w:val="20"/>
          <w:lang w:val="en-US" w:eastAsia="en-US" w:bidi="ar-SA"/>
        </w:rPr>
        <w:t>, at p. 148.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Whether a duty to provide medical aid is triggered depends on the severity of the injury and knowledge that it occurred: </w:t>
      </w:r>
      <w:r>
        <w:rPr>
          <w:rFonts w:ascii="arial" w:eastAsia="arial" w:hAnsi="arial" w:cs="arial"/>
          <w:i/>
          <w:color w:val="000000"/>
          <w:sz w:val="20"/>
          <w:lang w:val="en-US" w:eastAsia="en-US" w:bidi="ar-SA"/>
        </w:rPr>
        <w:t>Alexander</w:t>
      </w:r>
      <w:r>
        <w:rPr>
          <w:rFonts w:ascii="arial" w:eastAsia="arial" w:hAnsi="arial" w:cs="arial"/>
          <w:color w:val="000000"/>
          <w:sz w:val="20"/>
          <w:lang w:val="en-US" w:eastAsia="en-US" w:bidi="ar-SA"/>
        </w:rPr>
        <w:t xml:space="preserve">, at para. 14. As Hill J. commented in </w:t>
      </w:r>
      <w:r>
        <w:rPr>
          <w:rFonts w:ascii="arial" w:eastAsia="arial" w:hAnsi="arial" w:cs="arial"/>
          <w:i/>
          <w:color w:val="000000"/>
          <w:sz w:val="20"/>
          <w:lang w:val="en-US" w:eastAsia="en-US" w:bidi="ar-SA"/>
        </w:rPr>
        <w:t>Pertab</w:t>
      </w:r>
      <w:r>
        <w:rPr>
          <w:rFonts w:ascii="arial" w:eastAsia="arial" w:hAnsi="arial" w:cs="arial"/>
          <w:color w:val="000000"/>
          <w:sz w:val="20"/>
          <w:lang w:val="en-US" w:eastAsia="en-US" w:bidi="ar-SA"/>
        </w:rPr>
        <w:t>, at para.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accept that parents and those with similar legal duties are not required by law to rush a child or an elderly dependent under their charge to a doctor, clinic, or hospital emergency ward whenever sickness or the prospect of injury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That being so, there are also circumstances where a person in charge should seek precautionary medical examination regardless of the symptoms or lack thereof, depending on the triggering incident or event: </w:t>
      </w:r>
      <w:r>
        <w:rPr>
          <w:rFonts w:ascii="arial" w:eastAsia="arial" w:hAnsi="arial" w:cs="arial"/>
          <w:i/>
          <w:color w:val="000000"/>
          <w:sz w:val="20"/>
          <w:lang w:val="en-US" w:eastAsia="en-US" w:bidi="ar-SA"/>
        </w:rPr>
        <w:t>Pertab</w:t>
      </w:r>
      <w:r>
        <w:rPr>
          <w:rFonts w:ascii="arial" w:eastAsia="arial" w:hAnsi="arial" w:cs="arial"/>
          <w:color w:val="000000"/>
          <w:sz w:val="20"/>
          <w:lang w:val="en-US" w:eastAsia="en-US" w:bidi="ar-SA"/>
        </w:rPr>
        <w:t>, at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The question is whether Ms. Turley's conduct amounted to more than mere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went beyond failing to meet the minimum standard of care giving accepted by society to constitute a marked departure from the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As set out by Hill J. in </w:t>
      </w:r>
      <w:r>
        <w:rPr>
          <w:rFonts w:ascii="arial" w:eastAsia="arial" w:hAnsi="arial" w:cs="arial"/>
          <w:i/>
          <w:color w:val="000000"/>
          <w:sz w:val="20"/>
          <w:lang w:val="en-US" w:eastAsia="en-US" w:bidi="ar-SA"/>
        </w:rPr>
        <w:t>Pertab</w:t>
      </w:r>
      <w:r>
        <w:rPr>
          <w:rFonts w:ascii="arial" w:eastAsia="arial" w:hAnsi="arial" w:cs="arial"/>
          <w:color w:val="000000"/>
          <w:sz w:val="20"/>
          <w:lang w:val="en-US" w:eastAsia="en-US" w:bidi="ar-SA"/>
        </w:rPr>
        <w:t>, at para. 34, the standard is onerous and offers a range of discretion: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Generally, an omission in duty is criminalized only if a </w:t>
      </w:r>
      <w:r>
        <w:rPr>
          <w:rFonts w:ascii="arial" w:eastAsia="arial" w:hAnsi="arial" w:cs="arial"/>
          <w:i/>
          <w:color w:val="000000"/>
          <w:sz w:val="20"/>
          <w:lang w:val="en-US" w:eastAsia="en-US" w:bidi="ar-SA"/>
        </w:rPr>
        <w:t>marked</w:t>
      </w:r>
      <w:r>
        <w:rPr>
          <w:rFonts w:ascii="arial" w:eastAsia="arial" w:hAnsi="arial" w:cs="arial"/>
          <w:color w:val="000000"/>
          <w:sz w:val="20"/>
          <w:lang w:val="en-US" w:eastAsia="en-US" w:bidi="ar-SA"/>
        </w:rPr>
        <w:t xml:space="preserve"> departure exists from the standard or conduct of a reasonably prudent parent in the circumstances where it is objectively foreseeable that the failure to seek medical attention would lead to a risk of danger to life or a risk of permanent endangerment of the child's health. An error in judgment or a failing on the part of a parent in accessing medical attention for a person in a position of dependency not amounting to a marked departure from the relevant standard imposed by the circumstances does not attract liability. Accordingly, a range of discretion is accorded a parent respecting discharge of the duty to provide a child medical attention unreviewable by the criminal law but constrained by the minimum threshold of the marked departure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In this case, Ms. Turley knew Ms. Raymond had been drinking and was told she had taken Ecstasy. There is no evidence of the public's knowledge of the danger associated with Ecstasy ingestion in 2008, although I do have the evidence of the toxicologist with respect to the ingestion of Ecstasy in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Ms. Turley witnessed or was informed of various symptoms of distress including vomiting, complaint of not feeling well, complaint of a headache, complaint of being hot, an inability to walk without assistance, complaint of being tired and wanting to lay down and sleep, incontinence, moaning and snoring.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Crown contends that the offence was committed when the seizure-like symptoms occurred and Ms. Turley did not obtain medical evidence. The Crown says Ms. Turley witnessed or had knowledge of the seizure-like symptoms. The defence says there is no evidence to establish that Ms. Turley had any knowledge of any seizure-like symptoms described by Ms. Korman and Ms. Dunn.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There is no evidence that Ms. Turley saw or was aware of the seizure-like behaviour or symptoms. Even if this Court could, which it will not, take judicial notice of what constitutes a seizure, the evidence of Ms. Korman and Ms. Dunn in support of there being a seizure or seizure-like symptoms is unreliable. There is no medical evidence to lend support that Ms. Raymond had a seizure, and in fact the autopsy report indicates her tongue was unremarkable, contrary to Ms. Korman's evidence that Ms. Raymond was biting her tongue and it was fat.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It is clear from the type of care Ms. Turley provided to Ms. Raymond that Ms. Turley associated Shannon Raymond's symptoms with alcohol intoxication. She placed Ms. Raymond on her side, propped her up with pillows, lay down next to her at one point to comfort her and assisted Ms. Raymond to calm down to allow her to sleep it off. Once on the futon, Ms. Raymond did calm down and she did fall asleep. Ms. Turley stayed with Ms. Raymond to ensure she was okay almost the entire time Ms. Raymond slept.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A reasonable person in the circumstances of Ms. Turley, having regard to all the circumstances, would conclude Ms. Raymond's calm state and ability to sleep was an encouraging sign that Ms. Raymond was sleeping off her state of intoxication, that she was improving rather than getting worse, that alcohol intoxication was the probable cause of her distress and she would be better in the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Though Ms. Turley is the person on trial in this case, the assessments of the other guests at the Turley residence provide some assistance with respect to the conduct of a reasonably prudent person in the circumstances. Beyond the debate of whether to call Shannon Raymond's mother to deal with her intoxicated daughter, the general assessment was that this was just a typical teen who drank too much and who took Ecstasy, and who would sleep it off and be better in the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 agree with the defence that having regard to the extent of the care provided by Ms. Turley to Shannon Raymond, in the circumstances of this case, the Crown has not proven beyond a reasonable doubt the failure to obtain medical aid for Ms. Raymond was a marked departure from what a reasonably prudent person would do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Though I do not need to deal with the third issue, I intend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Crown argues the symptoms Ms. Raymond exhibited once inside Spencer Turley's bedroom were not consistent with simple alcohol intoxication, and therefore it was objectively foreseeable that the failure to provide medical aid would lead to a risk of danger to the life or permanent endangerment to the health of Ms. Raymond.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Crown says the fact that Ms. Raymond did not stabilize was a further indication that the risks associated with not obtaining medical aid were objectively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Crown submits the extent of care provided by Ms. Turley demonstrates the seriousness of the symptoms Ms. Turley faced. The Crown points to the length of time Ms. Turley spent with Ms. Raymond as evidence of the extent of the care. The Crown argues that in light of the seriousness of the symptoms, the degree of care, specifically the failure to obtain medical care, was insufficient. In the Crown's submission, viewed objectively, it was foreseeable that the failure to obtain medical aid for an individual who had taken Ecstasy, an uncontrolled street drug, and who was exhibiting symptoms of distress would lead to a risk of danger to the life or a risk of permanent endangerment to the health of Ms. Raymond.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defence says it was not objectively foreseeable that Ms. Turley's failure to call 9-1-1 or seek medical aid would risk or endanger the life or health of Ms. Raymond.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defence notes that an abundance of people knew Ms. Raymond had taken Ecstasy that night and observed her at various stages of the night. They all had access to cell phones, and yet not one of them called for help. The defence notes at least one of those individuals had first aid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Defence counsel points to the evidence of Dr. Martz that Ecstasy related deaths are rare. He further notes the public knowledge of the dangers of Ecstasy in 2012 after a string of deaths associated with a bad batch of Ecstasy is very different from the level of knowledge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consideration is whether a reasonably prudent person in the circumstances would consider a failure to obtain medical aid risky or dangerous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Crown is not required to prove Ms. Turley should have reasonably foreseen that there was a risk Ms. Raymond would die if Ms. Turley did not get her medical aid, but the Crown must show on an objective standard that the behaviour of Ms. Turley was dangerous and it carried with it a risk for serious endangerment to Ms. Raymond's life or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In my view, in all the circumstances of this case, a reasonable and prudent person without specialized medical training would not perceive that the failure to obtain medical aid was a risk to Ms. Raymond's life or serious endangerment to her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 want to deal with one other matter before concluding.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Crown asks the Court to infer that Ms. Turley did not call for assistance, possibly because she wanted to be seen as the "cool mom". There is absolutely no basis on the evidence to make this speculative inference which the Crown seeks.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Further, the Crown asks the Court to infer that Ms. Turley did not call for assistance, possibly because she wanted to avoid an investigation of the source of the Ecstasy that might lead to her son. There is absolutely no basis on the evidence to suggest or conclude Spencer Turley supplied Shannon Raymond with the Ecstasy she took at Nicole Geib's residence and on the party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In conclusion, on the evening of July 25, 2008, Ms. Raymond made the decision to drink alcohol and experiment with a toxic, illicit substance. Tragically, this young teenager died of MDMA intoxication the following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 have been asked to decide the narrow issue of whether Ms. Turley failed in her duty to Shannon Raymond. I find Ms. Turley did what any reasonable prudent person or parent would do. Ms. Turley put her own needs aside and provided attentive care to Shannon Raymond at a level which I find to be sufficient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It is a tragedy; Ms. Raymond paid the ultimate price of losing her life, however, in light of the issues and the evidence before me there is no basis in criminal law to place any blame for this tragedy on Ms. Turley.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 answer the questions raised in the issues as follows: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Ms. Raymond under the charge of Ms. Turley? Yes.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Ms. Turley's failure to obtain medical care for Ms. Raymond a marked departure from the conduct of a reasonably prudent person in similar circumstances? No.</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it objectively foreseeable that the failure to obtain medical care would lead to a risk of danger to the life or risk of permanent endangerment to the health of Ms. Raymond?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Having considered the totality of the evidence presented in this courtroom at this trial, I conclude that the Crown has failed to meet its burden of proving beyond a reasonable doubt all the essential elements of the offence of failing to provide the necessaries of life and therefore I find you, Ms. Turley, not guilty.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S.S. STROMBERG-STEIN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7" style="position:absolute;z-index:251760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
          <w:headerReference w:type="default" r:id="rId17"/>
          <w:footerReference w:type="even" r:id="rId18"/>
          <w:footerReference w:type="default" r:id="rId19"/>
          <w:headerReference w:type="first" r:id="rId20"/>
          <w:footerReference w:type="first" r:id="rId2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2" w:history="1">
        <w:r>
          <w:rPr>
            <w:rFonts w:ascii="arial" w:eastAsia="arial" w:hAnsi="arial" w:cs="arial"/>
            <w:b/>
            <w:bCs/>
            <w:i/>
            <w:color w:val="0077CC"/>
            <w:kern w:val="32"/>
            <w:sz w:val="28"/>
            <w:szCs w:val="32"/>
            <w:u w:val="single"/>
            <w:shd w:val="clear" w:color="auto" w:fill="FFFFFF"/>
            <w:lang w:val="en-US" w:eastAsia="en-US" w:bidi="ar-SA"/>
          </w:rPr>
          <w:t>Scott v. Collins, [2007] B.C.J. No. 1182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Brooke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April 25, 2007.</w:t>
      </w:r>
    </w:p>
    <w:p>
      <w:pPr>
        <w:spacing w:before="120" w:line="260" w:lineRule="atLeast"/>
        <w:jc w:val="center"/>
        <w:rPr>
          <w:lang w:val="en-US" w:eastAsia="en-US" w:bidi="ar-SA"/>
        </w:rPr>
      </w:pPr>
      <w:r>
        <w:rPr>
          <w:rFonts w:ascii="arial" w:eastAsia="arial" w:hAnsi="arial" w:cs="arial"/>
          <w:color w:val="000000"/>
          <w:sz w:val="20"/>
          <w:lang w:val="en-US" w:eastAsia="en-US" w:bidi="ar-SA"/>
        </w:rPr>
        <w:t>Released: June 1, 2007.</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S66544</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[2007] B.C.J. No. 1182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2007 BCSC 781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157 A.C.W.S. (3d) 853</w:t>
      </w:r>
    </w:p>
    <w:p>
      <w:pPr>
        <w:spacing w:before="120" w:line="260" w:lineRule="atLeast"/>
        <w:rPr>
          <w:lang w:val="en-US" w:eastAsia="en-US" w:bidi="ar-SA"/>
        </w:rPr>
      </w:pPr>
      <w:r>
        <w:rPr>
          <w:rFonts w:ascii="arial" w:eastAsia="arial" w:hAnsi="arial" w:cs="arial"/>
          <w:color w:val="000000"/>
          <w:sz w:val="20"/>
          <w:lang w:val="en-US" w:eastAsia="en-US" w:bidi="ar-SA"/>
        </w:rPr>
        <w:t>Between Helen Scott, Plaintiff, and John A. Collins, John C. Collins, Marie A. Collins, David Stephens, Canadian Western Trust Company, 1057029 Alberta Ltd., Pinehurst Developments Inc. and Eddie Anmar,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(21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28" style="position:absolute;z-index:25165926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 w:name="Keywords"/>
      <w:bookmarkEnd w:id="3"/>
      <w:r>
        <w:rPr>
          <w:rFonts w:ascii="arial" w:eastAsia="arial" w:hAnsi="arial" w:cs="arial"/>
          <w:b/>
          <w:color w:val="000000"/>
          <w:sz w:val="20"/>
          <w:lang w:val="en-US" w:eastAsia="en-US" w:bidi="ar-SA"/>
        </w:rPr>
        <w:t>Civil procedure — Injunctions — Circumstances when granted — Preservation of property — The court declined to set aside a prior order cancelling a certificate of pending litigation, but did issue an injunction restraining the defendant from disposing of his assets, as the risk of dissipation was so great, and the allegations of fraud in the real estate transaction so serious, that the plaintiff's ability to secure her claims had to be protected.</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Real property law — Registration of documents — Lis pendens (certificate of pending litigation) — The court declined to set aside a prior order cancelling a certificate of pending litigation, but did issue an injunction restraining the defendant from disposing of his assets, as the risk of dissipation was so great, and the allegations of fraud in the real estate transaction so serious, that the plaintiff's ability to secure her claims had to be protected.</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4" w:name="Case Summary"/>
            <w:bookmarkEnd w:id="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plaintiff sought to set aside or vary a prior order cancelling the certificate of pending litigation she had filed against a certain Kelowna property, based on the "preservation of property" rule -- Alternatively, she sought a stay of the execution of the order, or an injunction restraining the defendant from disposing of his assets, including the property -- The plaintiff also sought to amend her statement of claim so as to add a defendant -- the plaintiff had originally sold the property to the defendant in exchange for a condominium property being conveyed to her -- It turned out that the condo property was far less than had been represented, and the plaintiff had commenced an action in fraudulent misrepresentation and breach of contract -- The court had cancelled the certificate after finding that her claim was for rescission of an executed contract, but rescission with restitution in integrum was not available since she could not restore the condominium units to the defendant -- HELD: An injunction issued restraining the defendant from disposing of his assets -- The court was not persuaded that she had made out a triable case for an interest in the property -- Such interest as she had, she had conveyed to the defendant -- The court was not persuaded that a preservation order pursuant to Rule 46 was available to the plaintiff based on her claims for rescission, constructive trust or vendor's lien -- However, the risk of dissipation was so great, and the allegations of fraud so serious, that the ability of the plaintiff to secure her claims had to be protected. </w:t>
            </w:r>
            <w:r>
              <w:rPr>
                <w:lang w:val="en-US" w:eastAsia="en-US" w:bidi="ar-SA"/>
              </w:rPr>
              <w:cr/>
            </w:r>
          </w:p>
          <w:p>
            <w:pPr>
              <w:rPr>
                <w:lang w:val="en-US" w:eastAsia="en-US" w:bidi="ar-SA"/>
              </w:rPr>
            </w:pPr>
          </w:p>
        </w:tc>
      </w:tr>
    </w:tbl>
    <w:p>
      <w:pPr>
        <w:jc w:val="both"/>
        <w:rPr>
          <w:lang w:val="en-US" w:eastAsia="en-US" w:bidi="ar-SA"/>
        </w:rPr>
      </w:pPr>
      <w:bookmarkStart w:id="5" w:name="Legislation Cited"/>
      <w:bookmarkEnd w:id="5"/>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29" style="position:absolute;z-index:25171046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46(1)</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Land Title Act, </w:t>
      </w:r>
      <w:hyperlink r:id="rId23" w:history="1">
        <w:r>
          <w:rPr>
            <w:rFonts w:ascii="arial" w:eastAsia="arial" w:hAnsi="arial" w:cs="arial"/>
            <w:i/>
            <w:color w:val="0077CC"/>
            <w:sz w:val="20"/>
            <w:u w:val="single"/>
            <w:shd w:val="clear" w:color="auto" w:fill="FFFFFF"/>
            <w:lang w:val="en-US" w:eastAsia="en-US" w:bidi="ar-SA"/>
          </w:rPr>
          <w:t>R.S.B.C. 1996, c. 250, s. 252</w:t>
        </w:r>
      </w:hyperlink>
      <w:r>
        <w:rPr>
          <w:lang w:val="en-US" w:eastAsia="en-US" w:bidi="ar-SA"/>
        </w:rPr>
        <w:cr/>
      </w:r>
    </w:p>
    <w:p>
      <w:pPr>
        <w:keepNext/>
        <w:spacing w:before="240" w:line="340" w:lineRule="atLeast"/>
        <w:rPr>
          <w:lang w:val="en-US" w:eastAsia="en-US" w:bidi="ar-SA"/>
        </w:rPr>
      </w:pPr>
      <w:bookmarkStart w:id="6" w:name="Counsel_0"/>
      <w:bookmarkEnd w:id="6"/>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30" style="position:absolute;z-index:25176166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D.D. Kermode, Q.C..</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G.J. Hardwick.</w:t>
      </w:r>
      <w:r>
        <w:rPr>
          <w:lang w:val="en-US" w:eastAsia="en-US" w:bidi="ar-SA"/>
        </w:rPr>
        <w:cr/>
      </w:r>
    </w:p>
    <w:p>
      <w:pPr>
        <w:spacing w:after="240"/>
        <w:rPr>
          <w:lang w:val="en-US" w:eastAsia="en-US" w:bidi="ar-SA"/>
        </w:rPr>
      </w:pPr>
      <w:bookmarkStart w:id="7" w:name="Judgment_0"/>
      <w:bookmarkEnd w:id="7"/>
      <w:r>
        <w:pict>
          <v:line id="_x0000_s1031" style="position:absolute;z-index:25180774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8" w:name="BROOKE J. (orally)"/>
            <w:bookmarkEnd w:id="8"/>
            <w:r>
              <w:rPr>
                <w:rFonts w:ascii="arial" w:eastAsia="arial" w:hAnsi="arial" w:cs="arial"/>
                <w:b/>
                <w:color w:val="000000"/>
                <w:sz w:val="30"/>
                <w:lang w:val="en-US" w:eastAsia="en-US" w:bidi="ar-SA"/>
              </w:rPr>
              <w:t>BROOKE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Thank you. These are Reasons on the chambers application heard March 20, 2007, between Ms. Scott and Mr. Collins. The plaintiff seeks to set aside or vary the order I made on February 12, 2007, cancelling the certificate of pending litigation filed by the plaintiff against certain lands in or near Kelowna, which I will hereinafter call the "Timberline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grounds her application on Rule 46(1), the "preservation of property" rule, and alternatively the plaintiff seeks to stay the execution of the order of February 12, 2007, and in the further alternative, the plaintiff seeks an injunction restraining the defendant, John C. Collins, from disposing of his assets, including his interest in the Timberline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Complicating the matter somewhat is the fact that the Timberline property is subject to a foreclosure proceeding in which an order nisi was granted on December 11, 2006, and I believe a six-month redemption period fixed.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injunction sought by the plaintiff permits the defendant, John C. Collins, to refinance the mortgage or sell the Timberline property, provided that the net proceeds after the payment of taxes, commissions and the mortgage balance, and costs be paid into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Finally, the plaintiff seeks to amend the statement of claim and to add a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intended amendments include a claim for a declaration of constructive trust. Briefly, by way of background, the plaintiff sold the Timberline property to the defendant, John C. Collins, in consideration of John C. Collins causing a certain condominium property in Edmonton to be conveyed to her. The transaction closed and the titles passed. The plaintiff conveyed her interest shortly after closing, and the defendant, John C. Collins, charged his interest with a mortgage.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is said that it quickly became apparent that the condominium property had a market value far less than had been represented and that, in fact, its value was little more than the value of the encumbrances that were assumed by the plaintiff. In due course, foreclosure proceedings were commenced and completed, and the equity of redemption of the plaintiff, or those claiming through her, was extinguished. This action was then commenced, and alleged fraudulent misrepresentation and breach of contract.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plaintiff filed a claim of pending litigation, asserting a claim of vendor's lien to the Timberline property. The defendants applied for an order cancelling the claim of pending litigation pursuant to s. 252 of the </w:t>
      </w:r>
      <w:r>
        <w:rPr>
          <w:rFonts w:ascii="arial" w:eastAsia="arial" w:hAnsi="arial" w:cs="arial"/>
          <w:b/>
          <w:i/>
          <w:color w:val="000000"/>
          <w:sz w:val="20"/>
          <w:lang w:val="en-US" w:eastAsia="en-US" w:bidi="ar-SA"/>
        </w:rPr>
        <w:t>Land Title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 and having regard to the delay, the presumed prejudice to the defendants, and the apparent weakness of the plaintiff's claim to an interest in the Timberline property, the claim of pending litigation was ordered cancelled. However, the date for cancellation was stayed to afford the plaintiff an opportunity to seek a Mareva injunction, or to take such further or other steps as counsel might advise.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thrust of my Reasons for ordering cancellation was that the plaintiff's claim was for rescission of an executed contract, but rescission with </w:t>
      </w:r>
      <w:r>
        <w:rPr>
          <w:rFonts w:ascii="arial" w:eastAsia="arial" w:hAnsi="arial" w:cs="arial"/>
          <w:i/>
          <w:color w:val="000000"/>
          <w:sz w:val="20"/>
          <w:lang w:val="en-US" w:eastAsia="en-US" w:bidi="ar-SA"/>
        </w:rPr>
        <w:t>restitutio in integrum</w:t>
      </w:r>
      <w:r>
        <w:rPr>
          <w:rFonts w:ascii="arial" w:eastAsia="arial" w:hAnsi="arial" w:cs="arial"/>
          <w:color w:val="000000"/>
          <w:sz w:val="20"/>
          <w:lang w:val="en-US" w:eastAsia="en-US" w:bidi="ar-SA"/>
        </w:rPr>
        <w:t xml:space="preserve"> was not available since the plaintiff could not restore the condominium units to the defendant. Upon the hearing of this application, judgment was reserved and the stay continued.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evidence filed, both in support of and in opposition to the plaintiff's claim, is at least strongly suggestive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fraud on the part of some of the defendants, and the egregious pursuit of self-help remedies seemingly on behalf of the plaintiff. For the purpose of this application, these questions need not be decided, and my observations should not be considered as conclusory or conclusive.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While I have no doubt that I may reconsider and vary or set aside my order of February 12, 2007, I am not persuaded that should be done. I am not at all persuaded that the plaintiff may succeed in her claims in rem of vendor's lien, or as the amended statement of claim seeks, in constructive or resulting trust.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short, I do not accept that the plaintiff has made out a triable case for an interest in the Timberline property. Such interest as she had she conveyed to the defendant, John C. Collins. This is not a case where it can be said there was a total failure of consideration, such as where counterfeit or bogus money is used, or a bogus account is used, or the title bargained for cannot be raised, for example, if John C. Collins had no beneficial interest in the condominiums.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plaintiff's complaint is not that Mr. Collins had </w:t>
      </w:r>
      <w:r>
        <w:rPr>
          <w:rFonts w:ascii="arial" w:eastAsia="arial" w:hAnsi="arial" w:cs="arial"/>
          <w:color w:val="000000"/>
          <w:sz w:val="20"/>
          <w:u w:val="single"/>
          <w:lang w:val="en-US" w:eastAsia="en-US" w:bidi="ar-SA"/>
        </w:rPr>
        <w:t>no</w:t>
      </w:r>
      <w:r>
        <w:rPr>
          <w:rFonts w:ascii="arial" w:eastAsia="arial" w:hAnsi="arial" w:cs="arial"/>
          <w:color w:val="000000"/>
          <w:sz w:val="20"/>
          <w:lang w:val="en-US" w:eastAsia="en-US" w:bidi="ar-SA"/>
        </w:rPr>
        <w:t xml:space="preserve"> interest but that the value of that interest was fraudulently misrepresented. Thus, I question there was ever a basis for a certificate of pending litigation to protect an asserted interest in rem. However, I need not decide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am, therefore, not persuaded that a preservation order pursuant to Rule 46 is available to the plaintiff, based upon the plaintiff's claims for rescission, constructive trust or vendor's lien.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am, however, satisfied that an injunction should go in the form of order attached as Schedule "A" to the notice of motion of the plaintiff. I find that the risk of dissipation of the defendant's assets is so great, and the allegations of fraud so serious, that the ability of the plaintiff to secure her claims must be protected.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Moreover, the injunctive relief is granted in the context that the Timberline property is subject to an order nisi for foreclosure, and to the extent that there is any equity remaining after the Canadian Western Trust Mortgage has been paid out, that equity will be preserved for the parties. Here, of course, I include the defendants as well as the plaintiff and this action may continue accordingly.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 wish to emphasize the interlocutory nature of the order and that I do not presume to have finally decided any </w:t>
      </w:r>
      <w:r>
        <w:rPr>
          <w:rFonts w:ascii="arial" w:eastAsia="arial" w:hAnsi="arial" w:cs="arial"/>
          <w:i/>
          <w:color w:val="000000"/>
          <w:sz w:val="20"/>
          <w:lang w:val="en-US" w:eastAsia="en-US" w:bidi="ar-SA"/>
        </w:rPr>
        <w:t>lis</w:t>
      </w:r>
      <w:r>
        <w:rPr>
          <w:rFonts w:ascii="arial" w:eastAsia="arial" w:hAnsi="arial" w:cs="arial"/>
          <w:color w:val="000000"/>
          <w:sz w:val="20"/>
          <w:lang w:val="en-US" w:eastAsia="en-US" w:bidi="ar-SA"/>
        </w:rPr>
        <w:t xml:space="preserve"> between the parties. The stay of my order of February 12, 2007, will continue until a copy of this order has been filed in the Land Title Office when the stay will be discharged.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Leave is given to the plaintiff to amend her statement of claim to plead constructive trust and to add Gerald Collins as a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Costs are in the cause.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order, as I have indicated, attached as Schedule "A" to the notice of motion is granted.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Thank you.</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BROOKE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8169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0" w:history="1">
        <w:r>
          <w:rPr>
            <w:rFonts w:ascii="arial" w:eastAsia="arial" w:hAnsi="arial" w:cs="arial"/>
            <w:b/>
            <w:bCs/>
            <w:i/>
            <w:color w:val="0077CC"/>
            <w:kern w:val="32"/>
            <w:sz w:val="28"/>
            <w:szCs w:val="32"/>
            <w:u w:val="single"/>
            <w:shd w:val="clear" w:color="auto" w:fill="FFFFFF"/>
            <w:lang w:val="en-US" w:eastAsia="en-US" w:bidi="ar-SA"/>
          </w:rPr>
          <w:t>SeaQuest (1993) Adventurecraft Inc. v. Gray Line of Victoria Ltd., [2008] B.C.J. No. 1714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F.W. Cole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15, 22, 29 and September 2, 2008, by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written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9,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S041662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1714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1219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171 A.C.W.S. (3d) 553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SeaQuest (1993) Adventurecraft Inc., Plaintiff, and Gray Line of Victoria Ltd., Gray Line of Vancouver Holdings Ltd., Greyhound Travel Services, Greyhound Lines Inc., Gordon Barr, Phillip Broderick, Wayne McArthur, Cheryl Farmer, Paul Docherty, Mike Cafferky, Brian Veitch, and Gary Gale,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3"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 w:name="Keywords_0"/>
      <w:bookmarkEnd w:id="9"/>
      <w:r>
        <w:rPr>
          <w:rFonts w:ascii="arial" w:eastAsia="arial" w:hAnsi="arial" w:cs="arial"/>
          <w:b/>
          <w:color w:val="000000"/>
          <w:sz w:val="20"/>
          <w:lang w:val="en-US" w:eastAsia="en-US" w:bidi="ar-SA"/>
        </w:rPr>
        <w:t>Civil litigation — Civil procedure — Costs — Particular orders — Payable forthwith — Special orders — For reprehensible or inefficient conduct — Unproved allegations of fraud — Determination of costs — Special costs awarded to the defendants — The defendants were substantially successful — Special costs were awarded where there was outrageous, scandalous or reprehensible conduct on the part of a party — The conduct of the plaintiff was reprehensible deserving of rebuke — As the claims against all of the defendants except for the two Gray Line defendants were dismissed, costs were payable forthwith.</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 w:name="Case Summary_0"/>
            <w:bookmarkEnd w:id="1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costs. The defendants brought a motion seeking the dismissal of the action against them or various alternative relief and special costs or alternatively costs against the plaintiff in any event of the cause. Success on the motion was divided with the defendants being substantially successful.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 w:name="Holdings of Court"/>
            <w:bookmarkEnd w:id="11"/>
            <w:r>
              <w:rPr>
                <w:rFonts w:ascii="arial" w:eastAsia="arial" w:hAnsi="arial" w:cs="arial"/>
                <w:color w:val="000000"/>
                <w:sz w:val="20"/>
                <w:lang w:val="en-US" w:eastAsia="en-US" w:bidi="ar-SA"/>
              </w:rPr>
              <w:t>HELD: Special costs awarded to the defendants.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Special costs were awarded where there was outrageous, scandalous or reprehensible conduct on the part of a party. The conduct of the plaintiff was not scandalous or outrageous. However, the conduct of the plaintiff, namely the failure of the plaintiff to prosecute the action, the failure of the plaintiff to provide the necessary documents and the serious and numerous allegations of fraud and impropriety was reprehensible conduct deserving of rebuke. As the claims against all of the defendants except for the two Gray Line defendants were dismissed, costs were payable forthwith.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 w:name="Legislation Cited_0"/>
      <w:bookmarkEnd w:id="1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4"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Rules, Rule 57(3)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 w:name="Counsel_1"/>
      <w:bookmarkEnd w:id="1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5"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J.C. Kleefeld.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H.J.S. Harris and R.S. Padda.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 w:name="Judgment_1"/>
      <w:bookmarkEnd w:id="14"/>
      <w:r>
        <w:pict>
          <v:line id="_x0000_s1036" style="position:absolute;z-index:2518087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 w:name="F.W. COLE J."/>
            <w:bookmarkEnd w:id="15"/>
            <w:r>
              <w:rPr>
                <w:rFonts w:ascii="arial" w:eastAsia="arial" w:hAnsi="arial" w:cs="arial"/>
                <w:b/>
                <w:color w:val="000000"/>
                <w:sz w:val="30"/>
                <w:lang w:val="en-US" w:eastAsia="en-US" w:bidi="ar-SA"/>
              </w:rPr>
              <w:t>F.W. COLE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my written reasons given July 4, 2008, (</w:t>
      </w:r>
      <w:hyperlink r:id="rId31" w:history="1">
        <w:r>
          <w:rPr>
            <w:rFonts w:ascii="arial" w:eastAsia="arial" w:hAnsi="arial" w:cs="arial"/>
            <w:i/>
            <w:color w:val="0077CC"/>
            <w:sz w:val="20"/>
            <w:u w:val="single"/>
            <w:shd w:val="clear" w:color="auto" w:fill="FFFFFF"/>
            <w:lang w:val="en-US" w:eastAsia="en-US" w:bidi="ar-SA"/>
          </w:rPr>
          <w:t>2008 BCSC 873</w:t>
        </w:r>
      </w:hyperlink>
      <w:r>
        <w:rPr>
          <w:rFonts w:ascii="arial" w:eastAsia="arial" w:hAnsi="arial" w:cs="arial"/>
          <w:color w:val="000000"/>
          <w:sz w:val="20"/>
          <w:lang w:val="en-US" w:eastAsia="en-US" w:bidi="ar-SA"/>
        </w:rPr>
        <w:t>), I invited submissions with respect to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in their notice of motion, asked for the following relief:</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 herein be dismissed against all of the Defendants.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Order of the Honourable Madame Justice Brown pronounced April 5, 2004 staying the proceedings against the defendants Gray Line of Victoria Ltd. and Gray Line of Vancouver Holdings Ltd. be set aside and this action be dismissed against all of the Defendants.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further alternative:</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Writ of Summons filed against the Defendants Greyhound Travel Services, Greyhound Lines Inc., Gordon Barr, Phillip Broderick, Cheryl Farmer, and Paul Docherty has expired and cannot be renewed; and</w:t>
      </w:r>
    </w:p>
    <w:p>
      <w:pPr>
        <w:numPr>
          <w:numId w:val="5"/>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 be dismissed against the Defendants Gray Line of Victoria Ltd., Gray Line of Vancouver Holdings Ltd., Wayne McArthur, Mike Cafferky, Brian Veitch and Gary Gale.</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further alternative,</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plaintiff is guilty of contempt of court for violation of the Order of the Honourable Madame Justice Ross dated May 3, 2004;</w:t>
      </w:r>
    </w:p>
    <w:p>
      <w:pPr>
        <w:numPr>
          <w:numId w:val="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of committal of the directors and officers of the plaintiff as punishment for its contempt of court; and/or</w:t>
      </w:r>
    </w:p>
    <w:p>
      <w:pPr>
        <w:numPr>
          <w:numId w:val="9"/>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imposing a fine on the plaintiff and/or the directors and officers of the plaintiff as punishment for the plaintiff's contempt of court.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further alternative, an order against the plaintiff for security for costs in relation to any arbitration or court proceedings concerning its claims against the Defendants or any of them.</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 or, alternatively, costs payable forthwith by the plaintiff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argues that success was divided and therefore parties should bear their own costs. In the alternative, they argue that the parties should bear or receive their costs as the case may be for each portion of the motion, such costs to be assessed on Scale B. The defendants argue that there should be special costs due to the plaintiff's conduct in these proceedings, and more particularly, in respect to their allegations of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my reasons for judgment I made the following orders: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 against all the defendants is dismissed for want of prosecution, except as against the defendants Gray Line of Victoria Ltd. and Gray Line of Vancouver Holdings Ltd.;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writ filed against the defendants Barr, Broderick, Farmer and Docherty has expired and cannot be renewed;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 against the remaining defendants is stayed until the plaintiff posts security for costs in the amount of $75,000;</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 preliminary motion, I dismissed the defendants' application to find the plaintiff in contempt of court. This was based on the fact that the defendants did not prove proper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was successful in their application to have the defendants' application for contempt dismissed. They were also partially successful in that the action was not dismissed against the defendant Gray Line of Victoria Ltd. and Gray Line of Vancouver Holdings Ltd. They were successful in opposing the application to not have the arbitration proceedings dismissed as well as not having Madam Justice Brown's order of April 5, 2004 set aside against Gray Line of Victoria Ltd. and Gray Line of Vancouver Holdings Ltd. I am satisfied, however, that the substantive matter of having all the plaintiff's actions against all the defendants dismissed save and except for Gray Line of Victoria Ltd. and Gray Line of Vancouver Holdings Ltd. and receiving an order for security for costs, that they were substantially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general, the court will award special costs under Rule 57(3) where there is outrageous, scandalous, or reprehensible conduct on the part of a party: </w:t>
      </w:r>
      <w:r>
        <w:rPr>
          <w:rFonts w:ascii="arial" w:eastAsia="arial" w:hAnsi="arial" w:cs="arial"/>
          <w:b/>
          <w:i/>
          <w:color w:val="000000"/>
          <w:sz w:val="20"/>
          <w:lang w:val="en-US" w:eastAsia="en-US" w:bidi="ar-SA"/>
        </w:rPr>
        <w:t>Young v. Young</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[1993] 4 S.C.R. 3</w:t>
        </w:r>
      </w:hyperlink>
      <w:r>
        <w:rPr>
          <w:rFonts w:ascii="arial" w:eastAsia="arial" w:hAnsi="arial" w:cs="arial"/>
          <w:color w:val="000000"/>
          <w:sz w:val="20"/>
          <w:lang w:val="en-US" w:eastAsia="en-US" w:bidi="ar-SA"/>
        </w:rPr>
        <w:t xml:space="preserve"> at para. 251.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Leung v. Leung</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(1993), 77 B.C.L.R. (2d) 314</w:t>
        </w:r>
      </w:hyperlink>
      <w:r>
        <w:rPr>
          <w:rFonts w:ascii="arial" w:eastAsia="arial" w:hAnsi="arial" w:cs="arial"/>
          <w:color w:val="000000"/>
          <w:sz w:val="20"/>
          <w:lang w:val="en-US" w:eastAsia="en-US" w:bidi="ar-SA"/>
        </w:rPr>
        <w:t xml:space="preserve"> p (S.C.), Mr. Justice Esson, C.J.S.C. as he then was, stated at paras.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concept of special costs was introduced to our rules in the 1990 amendments. It has been held that entitlement to special costs is to be determined on the same principles formerly applied to awarding solicitor-client costs. The test for awarding such costs was stated thus by Lambert, J.A. in </w:t>
      </w:r>
      <w:r>
        <w:rPr>
          <w:rFonts w:ascii="arial" w:eastAsia="arial" w:hAnsi="arial" w:cs="arial"/>
          <w:b/>
          <w:i/>
          <w:color w:val="000000"/>
          <w:sz w:val="20"/>
          <w:lang w:val="en-US" w:eastAsia="en-US" w:bidi="ar-SA"/>
        </w:rPr>
        <w:t>Stiles v. British Columbia (Workers' Compensation Board)</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(1989), 38 B.C.L.R. (2d) 307</w:t>
        </w:r>
      </w:hyperlink>
      <w:r>
        <w:rPr>
          <w:rFonts w:ascii="arial" w:eastAsia="arial" w:hAnsi="arial" w:cs="arial"/>
          <w:color w:val="000000"/>
          <w:sz w:val="20"/>
          <w:lang w:val="en-US" w:eastAsia="en-US" w:bidi="ar-SA"/>
        </w:rPr>
        <w:t xml:space="preserve"> at 311: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solicitor-and-client costs should not be awarded unless there is some form of reprehensible conduct, either in the circumstances giving rise to the cause of action, or in the proceedings, which makes such costs desirable as a form of chastisement. The words 'scandalous' and 'outrageous' have also been used.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nothing in the conduct of Mr. Leung in relation to this matter which I would call "scandalous" or "outrageous". But "reprehensible" is a word of wide meaning. It can include conduct which is scandalous, outrageous or constitutes misbehaviour; but it also includes milder forms of misconduct. It means simply "deserving of reproof or rebuke".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Ip v. Insurance Corp. of British Columbia</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(1994), 89 B.C.L.R. (2d) 251</w:t>
        </w:r>
      </w:hyperlink>
      <w:r>
        <w:rPr>
          <w:rFonts w:ascii="arial" w:eastAsia="arial" w:hAnsi="arial" w:cs="arial"/>
          <w:color w:val="000000"/>
          <w:sz w:val="20"/>
          <w:lang w:val="en-US" w:eastAsia="en-US" w:bidi="ar-SA"/>
        </w:rPr>
        <w:t xml:space="preserve"> (S.C.) the court held that the defendant's failure to raise even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fraud resulted in an order for special costs, stating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allegation of fraud, wilful misstatements, or other such claims made against a person casts a serious pall over his or her reputation in the community. Very careful consideration must be given by the defendant before making such serious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Here, a statement of claim was filed on March 23, 2004 and contains 28 explicit allegations of fraud, 9 explicit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2 explicit claims for breach of fiduciary duty, 2 claims of general tortuous conduct, 3 instances of alleged breach of contract, and an allegation that the defendants breached an alleged duty of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Some of the allegations relate to the manipulation of accounting data and switching of signature pages on an agreement signed by the parties. I found those allegations were of a "very serious nature". I also found that the plaintiff had failed to prosecute the claim with diligence. In fact, four of the defendants, Barr, Broderick, Farmer and Docherty had not even been served with the writ and statement of claim, and thus not in a position to defend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It has been recognized by our Court of Appeal that allegations of impropriety against high level officials "are bound to be harmful" to those individual's reputation: </w:t>
      </w:r>
      <w:r>
        <w:rPr>
          <w:rFonts w:ascii="arial" w:eastAsia="arial" w:hAnsi="arial" w:cs="arial"/>
          <w:b/>
          <w:i/>
          <w:color w:val="000000"/>
          <w:sz w:val="20"/>
          <w:lang w:val="en-US" w:eastAsia="en-US" w:bidi="ar-SA"/>
        </w:rPr>
        <w:t>Hannan v. Methanex Corp</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(1998), 46 B.C.L.R. (3d) 230</w:t>
        </w:r>
      </w:hyperlink>
      <w:r>
        <w:rPr>
          <w:rFonts w:ascii="arial" w:eastAsia="arial" w:hAnsi="arial" w:cs="arial"/>
          <w:color w:val="000000"/>
          <w:sz w:val="20"/>
          <w:lang w:val="en-US" w:eastAsia="en-US" w:bidi="ar-SA"/>
        </w:rPr>
        <w:t xml:space="preserve"> (C.A.) at para. 69. I am satisfied that all of the individual defendants were relatively high level executives. Because the plaintiff has not pursued this claim, the allegations against all defendants have remained unproven for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argues that the defendants have not filed a statement of defence. That is correct, but they have not filed a statement of defence because they are still waiting for the plaintiff to provide binders of documents supporting the plaintiff's claim. Those documents were agreed to be produced by the plaintiff on August 11, 2004. A subsequent letter requesting a response to the defendants' request for documents was sent on September 1, 2004. No documents were provided nor was any reply given to the defendants'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am satisfied based on all the evidence that the failure of the plaintiff to prosecute this action, the failure to provide the necessary documents, and the serious and numerous allegations of fraud and other allegations of impropriety is conduct deserving of rebuke and I order that the plaintiff pay to the defendants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plaintiff says that costs should not be payable forthwith because they say that the plaintiff may ultimately prevail: </w:t>
      </w:r>
      <w:r>
        <w:rPr>
          <w:rFonts w:ascii="arial" w:eastAsia="arial" w:hAnsi="arial" w:cs="arial"/>
          <w:b/>
          <w:i/>
          <w:color w:val="000000"/>
          <w:sz w:val="20"/>
          <w:lang w:val="en-US" w:eastAsia="en-US" w:bidi="ar-SA"/>
        </w:rPr>
        <w:t>Stiles v. Workers' Compensation Board of British Columbia</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(1989), 38 B.C.L.R. (2d) 307</w:t>
        </w:r>
      </w:hyperlink>
      <w:r>
        <w:rPr>
          <w:rFonts w:ascii="arial" w:eastAsia="arial" w:hAnsi="arial" w:cs="arial"/>
          <w:color w:val="000000"/>
          <w:sz w:val="20"/>
          <w:lang w:val="en-US" w:eastAsia="en-US" w:bidi="ar-SA"/>
        </w:rPr>
        <w:t xml:space="preserve"> (C.A.). That case, however, dealt with an interlocutory injunction. This case involves all of the defendants having the claims against them dismissed save and except for the two Gray Line defendants. Therefore, in my view, the defendants are entitled to their costs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F.W. COLE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7" style="position:absolute;z-index:2518179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 w:history="1">
        <w:r>
          <w:rPr>
            <w:rFonts w:ascii="arial" w:eastAsia="arial" w:hAnsi="arial" w:cs="arial"/>
            <w:b/>
            <w:bCs/>
            <w:i/>
            <w:color w:val="0077CC"/>
            <w:kern w:val="32"/>
            <w:sz w:val="28"/>
            <w:szCs w:val="32"/>
            <w:u w:val="single"/>
            <w:shd w:val="clear" w:color="auto" w:fill="FFFFFF"/>
            <w:lang w:val="en-US" w:eastAsia="en-US" w:bidi="ar-SA"/>
          </w:rPr>
          <w:t>Sorenson v. Ziegler, [2002] B.C.J. No. 1713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Penticton,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2 - 5 and 8 - 10,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23,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Penticton Registry No. 16884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1713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1096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115 A.C.W.S. (3d) 341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Darwin M. Sorenson, plaintiff, and Arnold J. Ziegler, Scott Milliken, W. Makepeace, R. Carbonneau, J. LaGrange,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8"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 w:name="Keywords_1"/>
      <w:bookmarkEnd w:id="16"/>
      <w:r>
        <w:rPr>
          <w:rFonts w:ascii="arial" w:eastAsia="arial" w:hAnsi="arial" w:cs="arial"/>
          <w:b/>
          <w:color w:val="000000"/>
          <w:sz w:val="20"/>
          <w:lang w:val="en-US" w:eastAsia="en-US" w:bidi="ar-SA"/>
        </w:rPr>
        <w:t>Torts — Abuse of legal procedure — Malicious prosecution — Evidence and proof — Abuse of process.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 w:name="Case Summary_1"/>
            <w:bookmarkEnd w:id="1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action by Sorenson against Ziegler and others for damages for assault, malicious prosecution, abuse of process, compensation for stolen goods and Charter violations. Sorenson leased premises where he operated a flea market. He was ordered to deliver possession of the premises. A writ of possession was issued and a bailiff attended to execute the writ with the assistance of the defendant, Milliken, an RCMP officer. Sorenson maintained that the writ was illegal and resisted its execution. Sorenson was pepper sprayed after throwing gas on the bailiff and Milliken. While in custody, a scuffle ensued between Sorenson and the defendant RCMP officers, Carbonneau and Makepeace. Sorenson received minor injuries as a result. Sorenson argued that he was attacked. He requested that Carbonneau attend at his home to retrieve $10,000 that he had hidden in a drawer. Carbonneau and the bailiff attended the home but no money was found. Sorenson argued that this was a warrantless search and that Carbonneau stole the money and a stamp collection. Sorenson appeared in Provincial Court the day after his arrest. Sorenson argued that his right to appear before a justice was violated. Sorenson faced nine charges as a result of the incident, and was acquitted of mischief and uttering a threat. Sorenson claimed that the charges for which he was acquitted were malicious prosecution.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 w:name="Holdings of Court_0"/>
            <w:bookmarkEnd w:id="18"/>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Milliken's use of the pepper spray was the use of necessary force in enforcing the law. There was no evidence to support Sorenson's claim for the theft of money and stamps. The search for the $10,000 was not a warrantless search, as it was performed at the request of Sorenson. Sorenson appeared before a justice within 24 hours in accordance with his rights under the Charter and the Criminal Code. There was no evidence to support Sorenson's claim of malicious prosecution or abuse of process.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 w:name="Legislation Cited_1"/>
      <w:bookmarkEnd w:id="1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9"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41, 41(18).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 ss. 7,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Commercial Tenancy Act, R.S.B.C. 1979, c.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Criminal Code, ss. 2, 25(1), 25(1)(a), 25(1)(b), 25(1)(c), 25(1)(d), 503.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Highway Act, R.S.B.C. 1996, c. 188, s. 57(1).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 w:name="Counsel_2"/>
      <w:bookmarkEnd w:id="2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0"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Darwin M. Sorenson, acted on his own behalf. K.S. Webb, for the defendants, Arnold J. Ziegler, Scott Milliken, W. Makepeace, R. Carbonneau, J. LaGrange.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 w:name="Judgment_2"/>
      <w:bookmarkEnd w:id="21"/>
      <w:r>
        <w:pict>
          <v:line id="_x0000_s1041" style="position:absolute;z-index:25180979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2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 w:name="GILL J."/>
            <w:bookmarkEnd w:id="22"/>
            <w:r>
              <w:rPr>
                <w:rFonts w:ascii="arial" w:eastAsia="arial" w:hAnsi="arial" w:cs="arial"/>
                <w:b/>
                <w:color w:val="000000"/>
                <w:sz w:val="30"/>
                <w:lang w:val="en-US" w:eastAsia="en-US" w:bidi="ar-SA"/>
              </w:rPr>
              <w:t>GILL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Mr. Sorenson, is presently 62 years of age. In 1996, he operated a buy and sell business in Oliver, B.C. Others described it as a flea market. The defendants are or were RCMP officers in Oliver.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claims arise out of events which occurred on November 12, 1996. As I understand the nature of the claims advanced, Mr. Sorenson alleges that he was assaulted by certain of the defendants. The statement of claim describes what occurred as an assault and torture. He alleges the torts of malicious prosecution and abuse of process. Although the statement of claim refers to a wrongful destraint of goods, Mr. Sorenson is not pursuing this claim. He does, however, allege that money and stamps were stolen. Finally, he seeks a civil remedy for violations of the Charter of Rights and Freedoms. The nature of the alleged violations is not entirely clear, but include violations of ss. 7 and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During argument, Mr. Sorenson agreed that Constable LaGrange had been no more than a witness to certain events and that the action against her cannot succeed. It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stated, the claims of the plaintiff arise out of events which occurred on November 12, 1996. On that day, he was arrested. Mr. Sorenson was charged with eight offences which were alleged to have occurred on November 12. He was convicted of six, being unlawfully obstructing Mr. Fugeta, a bailiff, in the lawful execution of process against land and goods, threatening Mr. Fugeta, resisting Constable Milliken in his execution of his duty, throwing fuel gas on Constable Milliken, threatening Sergeant Ziegler and storing firearms and ammunition in a careless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will begin with the events which gave rise to Mr. Sorenson's arrest. He leased premises located on Highway 97 in Oliver. On July 30, 1996, a petition was issued by the property owners, Jose and Maria Da Costa. They sought orders pursuant to the Commercial Tenancy Act, R.S.B.C. 1979, c. 54. Notice had previously been given to Mr. Sorenson by counsel for his landlords that he was in default of the lease made September 1,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evidence offered in support of the landlords' position included an affidavit from Mr. Swetlishoff, director of planning for the Regional District of Okanagan-Similkameen, deposing that the zoning of the property did not permit it to be used as a commercial flea market, yard sale or auction site, an affidavit from Mr. Keir, area manager for the Ministry of Transportation and Highways, which stated that Mr. Sorenson had been asked to comply with s. 57(1) of the Highway Act, </w:t>
      </w:r>
      <w:hyperlink r:id="rId44" w:history="1">
        <w:r>
          <w:rPr>
            <w:rFonts w:ascii="arial" w:eastAsia="arial" w:hAnsi="arial" w:cs="arial"/>
            <w:i/>
            <w:color w:val="0077CC"/>
            <w:sz w:val="20"/>
            <w:u w:val="single"/>
            <w:shd w:val="clear" w:color="auto" w:fill="FFFFFF"/>
            <w:lang w:val="en-US" w:eastAsia="en-US" w:bidi="ar-SA"/>
          </w:rPr>
          <w:t>R.S.B.C. 1996, c. 188</w:t>
        </w:r>
      </w:hyperlink>
      <w:r>
        <w:rPr>
          <w:rFonts w:ascii="arial" w:eastAsia="arial" w:hAnsi="arial" w:cs="arial"/>
          <w:color w:val="000000"/>
          <w:sz w:val="20"/>
          <w:lang w:val="en-US" w:eastAsia="en-US" w:bidi="ar-SA"/>
        </w:rPr>
        <w:t>, and letters from neighbours complaining about the state of the property and the hazard created by customers of Mr. Sorenson who parked on the roadway. The lease provided that the lessee would not contravene the uses permitted by the Regional District, would use the land only for the storage of building materials and construction related equipment, would not disturb, annoy, endanger or interfere with neighbours and would not violate any provincial or federal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September 26, 1996, Master Bishop ordered Mr. Sorenson to deliver up possession of the property by October 15, 1996. A Writ of Possession was issued on November 8, 1996, directing the sheriff to enter the land and cause the petitioners to have possession and to seize and sell sufficient of the plaintiff's goods to realize the costs of execution.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November 12, 1996, Mr. Fugeta, a bailiff, attended at the property to execute the Writ of Possession. It is the position of Mr. Sorenson that this should not have occurred. His reasoning relates to an appeal from the decision of Master Bishop and an order made by Mr. Justice Wilkinson.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Shortly after Mr. Sorenson filed his Notice of Appeal, the Da Costas took the position that, for various reasons, the appeal should not be permitted to proceed. On October 28, 1996, the matter came before Wilkinson J. He ordered that if $1,014 was paid by cash or certified cheque to solicitors for the petitioners by 4:00 p.m. on November 6, the appeal would be heard on November 26. If not paid, the appeal would be struck. In the course of his ruling, Wilkinson J. made the following comments to Mr. Sorenson: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thousand and fourteen dollars is not paid, precisely, and exactly, and when, and where I have outlined, then the appeal will be struck out.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I should be doing, sir, is granting that application, because in my view it probably is frivolous and vexatious, and the appeal should be tossed out at this stage. I am, out of kindness to you, giving you this one last chance to leave it alive. Now, on Wednesday afternoon, four o'clock, next week, your appeal will be tossed out as being without merit, unless you have paid this thousand and fourteen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Given these comments, it must have been abundantly clear to Mr. Sorenson that strict compliance with the order was essential. The plaintiff agrees that he did not deliver cash or a certified cheque, but nevertheless suggests that some other form of payment was 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any event, what Mr. Sorenson described as critical to his position is the fact that an appointment to settle the order of Wilkinson J. had been taken out for November 14. Mr. Sorenson testified that it was his understanding that matters would not be finally resolved until the 14th and Mr. Fugeta was not entitled to act on the Writ of Possession before that date. I assume that Mr. Sorenson was unaware of the provisions of Rule 41 and particularly, Rule 41(18), which provides that an order shall be settled by the Registrar, who may refer the draft to the judge or master who made the order. I assume he did not appreciate that the duty of the Registrar is to distill the judge's reasons into a form of order and thus, the only question on the 14th would have been whether the draft order prepared by counsel for the Da Costas accurately reflected what had been ordered on October 28. His belief that a final resolution would not occur until November 14 was erroneous, as was his belief that Mr. Fugeta was two days early. He was also wrong in assuming as he did that the RCMP would explain to Mr. Fugeta that he was not yet entitled to act on the Writ of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Sorenson also testified that there was some uncertainty about whether the payment date was November 6 or November 9. In his reasons, Wilkinson J. stated that payment was to be made by Wednesday, November 6, which he described as nine days from now. As reference was made not only to the date, but to the day of the week and the fact that it was nine days hence, I do not accept that there was any uncertainty about when payment was required to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turn next to Mr. Fugeta's actions. Mr. Fugeta has been a bailiff for 32 years and a court bailiff for 10. He testified that when he arrived at the property on November 12, he waited for customers to leave, then approached Mr. Sorenson and advised him that he had a writ to evict him from the property. In response, Mr. Sorenson referred to a hearing on the following Thursday and although it seemed as if Mr. Sorenson was going to show him documentation, he did not do so. Mr. Fugeta attempted to give Mr. Sorenson the Writ of Possession but he threw it back, stating that it was illegal. Threats were also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Fugeta then left the property. He spoke to counsel for the landlords and was told the November 14 hearing was irrelevant. He went to the RCMP to advise that he required assistance to keep the peace. Constable Milliken came to the property in his police vehicle. Both arrived at approximately the same time. Mr. Fugeta testified that Constable Milliken spoke to the plaintiff about the court order. Mr. Sorenson went inside and when he came out, he had a gas can. Constable Milliken asked him several times to set the can down, but the plaintiff did not comply. He deliberately threw gas at Constable Milliken, and when Mr. Fugeta was attempting to assist, also threw gas at him. Constable Milliken sprayed Mr. Sorenson with pepper spray and what Mr. Fugeta described as a confusing series of events then occurred. He observed the plaintiff run around a large vehicle parked on the property, cross the highway and run into an orchard, then run back across the highway. At some point, Constable Carbonneau arrived. Mr. Sorenson suddenly calmed down and said "I'll go with him". He left in the police cruiser.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was Mr. Fugeta's evidence that in his many years as a bailiff, he had never encountered a situation like this. He testified that he avoids difficult situations, one of the reasons being that he had open heart surgery in approximately 1993. I would add that Mr. Fugeta is not a physically imposing man and in my view, it is most unlikely that he dealt with Mr. Sorenson in a confrontational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evidence of Mr. Sorenson as to what occurred after Mr. Fugeta's arrival at the property and prior to his arrest differs from that of Mr. Fugeta and Constable Milliken. Mr. Sorenson asserts, for example, that he did not intentionally throw gas at any one. Rather, gas spilled when Constable Milliken grabbed his arm. These proceedings cannot, however, be a retrial of the criminal charges and there is no useful purpose in detailing what each witness had to say as it relates to the charges on which Mr. Sorenson was convicted. Further, as Mr. Sorenson was convicted of obstructing and threatening Mr. Fugeta, throwing gas on Constable Milliken and obstructing him in the execution of his duty, there cannot be an issue as to whether Constable Milliken was justified in arresting Mr. Sorenson.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November 12, 1996, and throughout these proceedings, Mr. Sorenson has also questioned the validity of the Writ of Possession. The only reason that he has offered is the appointment to settle the order. There is therefore no basis for a conclusion that the writ was defective and although Mr. Sorenson does not accept what follows, he was arrested because he refused to accept the authority of an order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Against that background, I turn to the balance of the evidence beginning with the evidence of Mr. Sorenson.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testified that he was planning on going hunting on November 12. When Mr. Fugeta indicated that he was a bailiff, Mr. Sorenson showed him the appointment to settle the order of Wilkinson J. As he understood that Mr. Fugeta was not entitled to be on the property until at least November 14, he felt that the solution was to get the RCMP and he suggested they be called.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was Mr. Sorenson's evidence that when Mr. Fugeta returned with Constable Milliken, he was filling his lamps as he was still intent on going hunting. That is why he was holding a gas can when he came out of the house. He told Constable Milliken about the appointment to settle, but it had no impact. Constable Milliken told Mr. Sorenson to give him the gas can and when Constable Milliken grabbed his arm, the gas spilled. Constable Milliken became angry and pepper sprayed the plaintiff. In an attempt to retreat, Mr. Sorenson walked backwards towards a semi-trailer and called out "he's assaulting me". Still attempting to retreat, he ran across the highway and was almost hit by a passing vehicle. Corporal Carbonneau then arrived and Mr. Sorenson indicated he was prepared to go with him. He voluntarily got into the police car and was driven to the detachment. Upon his arrival, he was permitted to wash off the pepper spray and was then placed in a cell. He asked to see a justice of the peace.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to the alleged assault, Mr. Sorenson testified that certain of the defendants came to his cell for no apparent reason. Although he agreed that at an earlier time he had ripped his jeans into strips, he denied that anything had been put down the toilet. He denied that he was told that he was to be moved to cell #2 because of concerns about flooding.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Sorenson said that when Staff Sergeant Makepeace and Corporal Carbonneau came to his cell, the door opened and Staff Sergeant Makepeace took a swing at his head. The swing was so powerful that it propelled Staff Sergeant Makepeace forward, allowing Mr. Sorenson to get him into a headlock. As Mr. Sorenson tried to defend himself, he was beaten. Someone dropped on his back with their knees. He was screaming in pain and his bowels let loose. It felt as if his arms were being ripped from their sockets. One police officer was holding and wrenching each arm to put on the handcuffs.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was Mr. Sorenson's testimony that as he was moved down the hall, the police officers kept dropping him intentionally, laughing as they did so. He described the events as being like a big joke at his expense. Throughout this time, he was screaming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When he was alone in cell #2, he crawled on his hands and knees to the toilet and tried to clean himself. He was forced to lie on the cold cement floor, although he managed to crawl towards the heat vent. He did not sleep. Mr. Sorenson described himself as in shock and in horrible pain. No one offered to get medical assistance despite the fact that his injuries were visible. These injuries included abrasions to his shoulder and above his eye and cuts and bruising on his legs. It was not until the sheriffs arrived the next morning that anyone gave him assistance. They helped him to put on coveralls and took him to the emergency 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Sorenson testified that the emotional trauma lasted for a long time. He often woke up screaming. He says his arms have never healed.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medical evidence offered by the plaintiff consisted of a report dated November 14, 1996, prepared by Dr. Raison, a family physician, and an Emergency/Short Stay Record from the Penticton Regional Hospital. The latter indicates that Mr. Sorenson was admitted on the morning of November 13, 1996, accompanied by a sheriff. He was seen by Dr. Nodwell, who made the following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examination:</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Bright and alert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Head and neck are normal</w:t>
      </w:r>
    </w:p>
    <w:p>
      <w:pPr>
        <w:spacing w:before="120"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Superficial abrasion right shoulder, joint is normal</w:t>
      </w:r>
    </w:p>
    <w:p>
      <w:pPr>
        <w:spacing w:before="120"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Respiratory system is clear, heart sounds are normal</w:t>
      </w:r>
    </w:p>
    <w:p>
      <w:pPr>
        <w:spacing w:before="120"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Abdomen - superficial abrasion L abdomen</w:t>
      </w:r>
    </w:p>
    <w:p>
      <w:pPr>
        <w:spacing w:before="120"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Bowel sounds are normal</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Ribs are normal</w:t>
      </w:r>
      <w:r>
        <w:rPr>
          <w:rFonts w:ascii="arial" w:eastAsia="arial" w:hAnsi="arial" w:cs="arial"/>
          <w:sz w:val="20"/>
          <w:lang w:val="en-US" w:eastAsia="en-US" w:bidi="ar-SA"/>
        </w:rPr>
        <w:cr/>
      </w:r>
    </w:p>
    <w:p>
      <w:pPr>
        <w:spacing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Superficial scrapes lower legs</w:t>
      </w:r>
    </w:p>
    <w:p>
      <w:pPr>
        <w:spacing w:before="120"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Deep tendon reflexes are normal</w:t>
      </w:r>
    </w:p>
    <w:p>
      <w:pPr>
        <w:spacing w:before="120"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Back - some paraspinous muscle tenderness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Minor injuries</w:t>
      </w:r>
      <w:r>
        <w:rPr>
          <w:rFonts w:ascii="arial" w:eastAsia="arial" w:hAnsi="arial" w:cs="arial"/>
          <w:sz w:val="20"/>
          <w:lang w:val="en-US" w:eastAsia="en-US" w:bidi="ar-SA"/>
        </w:rPr>
        <w:cr/>
      </w:r>
    </w:p>
    <w:p>
      <w:pPr>
        <w:spacing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Tylenol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report of Dr. Raison indicates that Mr. Sorenson was assessed at the request of the Crown on November 14. Dr. Raison found no basis to conclude that he was mentally unfit and did not recommend a forensic assessment. Dr. Raison noted "multiple abrasions and scratches from his recent scuffle with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Friends of the plaintiff testified that they visited the plaintiff in the holding facility in Penticton on November 13. Mr. Quintal described Mr. Sorenson as looking depressed and confused. He had multiple bruises on his face and legs. Mr. Heintz described seeing a beaten man covered in feces. Mr. Sorenson had bruising on his arms and legs, scrapes on his shins and feces in his 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turn next to the defendants and witnesses for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Constable Milliken testified that he went to the plaintiff's property on November 12 because Mr. Fugeta had requested the assistance of the RCMP. He arrived at approximately 2:15 p.m. He told the plaintiff why he was there. Mr. Sorenson responded that the court order was not valid and he was going to court on Thursday. Constable Milliken accepted Mr. Fugeta's statement that the proceedings on Thursday were unrelated. He asked the plaintiff several times to put down the can of gas he was holding and told him that if he did not cooperate, he would be arrested for obstruction.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was Constable Milliken's evidence that when he reached for the plaintiff to arrest him, Mr. Sorenson started backing away. It was not until after gas from the can was thrown on him that he pepper sprayed the plaintiff. He did so three or four times. Constable Milliken described his coat, vest and face as being wet with gas. It eventually soaked through to his shirt.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Mr. Sorenson was backing away, they moved along the side of the semi-trailer which was parked parallel to the highway, then on to the highway itself. Constable Milliken's attempt to arrest Mr. Sorenson ended with the arrival of Corporal Carbonneau, at which time Mr. Sorenson indicated that he would go voluntarily.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After transporting Mr. Sorenson to the detachment, Constable Milliken went home to change his clothes. He returned that evening to prepare a report to Crown counsel. Because of a commotion in the cells at approximately 7:30 p.m., he went into that area. He saw Staff Sergeant Makepeace straddling the plaintiff, who was face down on the floor, trying to put him in handcuffs. Corporal Carbonneau was holding his legs. The plaintiff was screaming that they were hurting him. Constable Milliken then immobilized the plaintiff's head and he was handcuffed. Constable Milliken has no memory of how the plaintiff got from one cell to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Corporal Carbonneau was a constable in Oliver in 1996. When he arrived at the plaintiff's residence on November 12, he saw the plaintiff running and holding a red fuel can that he was splashing behind him. Mr. Sorenson was calling for help. Constable Milliken was ordering the plaintiff to stop and put down the can. Mr. Sorenson became cooperative after Corporal Carbonneau's arrival and was arrested, placed in a police vehicle and driven to the detachment by Constable Milliken.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evening, Corporal Carbonneau was doing paperwork at the detachment when he was asked by Staff Sergeant Makepeace to help move the plaintiff to another cell as he was attempting to flood the cell in which he was being held. Initially, they entered the cell together, but Staff Sergeant Makepeace left momentarily and Corporal Carbonneau then spoke to the plaintiff. He described Mr. Sorenson as angry and agitated. He attempted to calm him down and asked him to cooperate with them. It had been Corporal Carbonneau's assumption that his assistance was requested because he seemed to have some rapport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When Staff Sergeant Makepeace returned to the cell and told Mr. Sorenson that he was going to be moved and would be handcuffed if he did not cooperate, Mr. Sorenson jumped onto the bunk. He stood holding his arms in front of his body as if ready to fight. Staff Sergeant Makepeace got up on the bunk and a struggle ensued. Corporal Carbonneau pulled on the plaintiff's leg and they all toppled to the floor. Ultimately, with the assistance of Constable Milliken, Mr. Sorenson was handcuffed. Throughout all of this, Corporal Carbonneau kept asking the plaintiff to cooperate. Mr. Sorenson was dragged to cell #2 by Staff Sergeant Makepeace and Constable Milliken.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Turning to the evidence of Staff Sergeant Makepeace, he was a corporal in the Oliver detachment on November 12 and was working from 3:00 p.m. to midnight. At approximately 7:30 p.m., he was told by the jail guard, Mr. Goodrich, that the plaintiff was trying to flood his cell and he could not shut the water off. Staff Sergeant Makepeace knew that Mr. Sorenson had previously been ripping his jeans into one inch strips, as he had dealt with the plaintiff on that matter. He was also aware that Mr. Sorenson had been trying to tear the mattress, which had been replaced with one which could not be torn.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Staff Sergeant Makepeace decided to move the plaintiff to cell #2 where the water could be shut off. He asked Corporal Carbonneau to assist because of his rapport with the plaintiff and left it to him to ask for the plaintiff's cooperation while he went to check on the water shut-off in the other cell.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When Staff Sergeant Makepeace returned to the plaintiff's cell, he told Mr. Sorenson that if he did not cooperate, he would be handcuffed. Mr. Sorenson then climbed onto the bunk and assumed a fighting stance. In an attempt to control the plaintiff, he got up on the bunk and reached for his throat. Mr. Sorenson tried to get him into a headlock and a struggle ensued.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When Mr. Sorenson was on his stomach on the floor of the cell, Staff Sergeant Makepeace had his right leg on the plaintiff's back. He realized that Mr. Sorenson had defecated. Staff Sergeant Makepeace attempted to get handcuffs on Mr. Sorenson's right wrist, but his arms were held tightly under his chest and it was not until Constable Milliken came into the cell block and assisted by immobilizing the plaintiff's head that he was able to be placed into handcuffs. Staff Sergeant Makepeace was aware that Corporal Carbonneau was doing something at the plaintiff's feet, but could not see what that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He and Constable Milliken tried to lift the plaintiff but he would not get to his feet. Instead, he went limp and they were forced to drag a dead weight down the hall. In cell #2, the handcuffs were moved to the front. As they left that cell, the plaintiff was still screaming.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Staff Sergeant Makepeace made notes in the prisoner log, including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836"/>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1817</w:t>
            </w:r>
          </w:p>
        </w:tc>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Rattling door standing up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836"/>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1826</w:t>
            </w:r>
          </w:p>
        </w:tc>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Ripped pants into strips. Pants, shirt &amp; socks removed and states the strips make great garrots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836"/>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1830</w:t>
            </w:r>
          </w:p>
        </w:tc>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Returned to cells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836"/>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1928</w:t>
            </w:r>
          </w:p>
        </w:tc>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Requested prisoner move to drunk tank as shut off would not work in cell #1. Prisoner refused. Advised he would be handcuffed &amp; he still refused. Carbonneau, Milliken, LaGrange &amp; Makepeace required to subdue. Handcuffed in rear. Taken to drunk tank &amp; handcuffs moved to front. Screaming continued.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836"/>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2027</w:t>
            </w:r>
          </w:p>
        </w:tc>
        <w:tc>
          <w:tcPr>
            <w:tcW w:w="819"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Walking &amp; singing, muttering 225</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2104</w:t>
            </w:r>
          </w:p>
        </w:tc>
        <w:tc>
          <w:tcPr>
            <w:tcW w:w="819"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Standing &amp; muttering #225</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2223</w:t>
            </w:r>
          </w:p>
        </w:tc>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Walking in cell (225)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Sorenson was prisoner number 225)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was the evidence of Staff Sergeant Makepeace that he checked the plaintiff over the course of the evening because he was concerned. He did not note any injury which, in his view, required medical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Constable LaGrange came on shift at 6:00 p.m. on November 12. She gave evidence that shortly after she arrived, she heard yelling in the cell area. She and Constable Milliken, who had been preparing a report, went to the cells. She saw the plaintiff on his stomach on the floor. Staff Sergeant Makepeace was sitting on Mr. Sorenson's back trying to handcuff him and telling him to stop fighting. She believed that Corporal Carbonneau was holding the plaintiff's legs. When the plaintiff was handcuffed, Corporal Carbonneau and Staff Sergeant Makepeace took him to cell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Constable LaGrange did not make notes of these events because she believed it to be no more than a prisoner resisting being moved. Her shift ended at 3:00 a.m. on November 13. As it was part of her duty to check all prisoners, she assumed that she checked on Mr. Sorenson before she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refer next to the evidence of Sergeant Ziegler, who was called as a witness by the plaintiff. He was not at the plaintiff's property on November 12 and was not on shift or at the detachment when the alleged assault occurred. He had limited dealings with the plaintiff after his arrest. He testified as to a conversation with Mr. Sorenson and a threat made by Mr. Sorenson which resulted in his conviction for threatening.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Sergeant Ziegler had been called to the plaintiff's home on an earlier occasion. He testified that because of concerns about an ongoing domestic dispute, Mr. Sorenson's daughter had been removed from the home and taken to social services. (Mr. Sorenson described this as a kidnapping.) Sergeant Ziegler had also arrested the plaintiff in 1995. The reason was not described in detail, but related to the removal of topsoil. Mr. Sorenson was acquitted of whatever charge was laid.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Goodrich, who was working as a jail guard on November 12, was called as a witness for the defence. He retired some years ago and is presently 71 years of age. He testified that as a guard, his duties included monitoring prisoners four times each hour. His observations of Mr. Sorenson were recorded in a prisoner log. As he worked from 3:00 p.m. until midnight, he made many entries. Some of the relevant notations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836"/>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1744</w:t>
            </w:r>
          </w:p>
        </w:tc>
        <w:tc>
          <w:tcPr>
            <w:tcW w:w="819"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Blanket removed from cell by Const. Reuter, prisoner appeared to be trying to tear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1747</w:t>
            </w:r>
          </w:p>
        </w:tc>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Rattling cell door back &amp; forth, says it will be a long nite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836"/>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1814</w:t>
            </w:r>
          </w:p>
        </w:tc>
        <w:tc>
          <w:tcPr>
            <w:tcW w:w="819"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Rattling his door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1822</w:t>
            </w:r>
          </w:p>
        </w:tc>
        <w:tc>
          <w:tcPr>
            <w:tcW w:w="819"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Tearing his pants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1925</w:t>
            </w:r>
          </w:p>
        </w:tc>
        <w:tc>
          <w:tcPr>
            <w:tcW w:w="819"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Running toilet continuously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1952</w:t>
            </w:r>
          </w:p>
        </w:tc>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Walking around in cell #2, whistling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836"/>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2040</w:t>
            </w:r>
          </w:p>
        </w:tc>
        <w:tc>
          <w:tcPr>
            <w:tcW w:w="819"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225 chanting, "mister jailer I'm coming home to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2051</w:t>
            </w:r>
          </w:p>
        </w:tc>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225 pacing in cell &amp; chanting something about what he is going to do to "mister jailer"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836"/>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2254</w:t>
            </w:r>
          </w:p>
        </w:tc>
        <w:tc>
          <w:tcPr>
            <w:tcW w:w="819"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225 standing on toilet, pulling on ventilator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2119</w:t>
            </w:r>
          </w:p>
        </w:tc>
        <w:tc>
          <w:tcPr>
            <w:tcW w:w="819"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225 pacing in cell, chanting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2240</w:t>
            </w:r>
          </w:p>
        </w:tc>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225 walking in cell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log, it is noted that Mr. Sorenson was provided with a high risk mattress at 1840. Mr. Goodrich testified that it appeared that Mr. Sorenson had been attempting to tear the regular mattress.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turn now to the claims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alleges, first, that he was assaulted by Constable Milliken when he was pepper sprayed. The defence relies on s. 25(1) of the Criminal Code which provides: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one who is required or authorized by law to do anything in the administration or enforcement of the law</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private person,</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peace officer or public officer,</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aid of a peace officer or public officer, or</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virtue of his office,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is, if he acts on reasonable grounds, justified in doing what he is required or authorized to do and in using as much force as is necessary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Anderson v. Port Moody (City) Police Department, </w:t>
      </w:r>
      <w:hyperlink r:id="rId45" w:history="1">
        <w:r>
          <w:rPr>
            <w:rFonts w:ascii="arial" w:eastAsia="arial" w:hAnsi="arial" w:cs="arial"/>
            <w:i/>
            <w:color w:val="0077CC"/>
            <w:sz w:val="20"/>
            <w:u w:val="single"/>
            <w:shd w:val="clear" w:color="auto" w:fill="FFFFFF"/>
            <w:lang w:val="en-US" w:eastAsia="en-US" w:bidi="ar-SA"/>
          </w:rPr>
          <w:t>[2000] B.C.J No. 1628</w:t>
        </w:r>
      </w:hyperlink>
      <w:r>
        <w:rPr>
          <w:rFonts w:ascii="arial" w:eastAsia="arial" w:hAnsi="arial" w:cs="arial"/>
          <w:color w:val="000000"/>
          <w:sz w:val="20"/>
          <w:lang w:val="en-US" w:eastAsia="en-US" w:bidi="ar-SA"/>
        </w:rPr>
        <w:t xml:space="preserve"> (S.C.), Dillon J. commented on s. 25(1) at para.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The defendants have relied upon section 25(1) of the Criminal Code to justify the use of force in the assault. This section provides relief from liability for assault but not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Noel (Committee of) v. Royal Canadian Mounted Police </w:t>
      </w:r>
      <w:hyperlink r:id="rId46" w:history="1">
        <w:r>
          <w:rPr>
            <w:rFonts w:ascii="arial" w:eastAsia="arial" w:hAnsi="arial" w:cs="arial"/>
            <w:i/>
            <w:color w:val="0077CC"/>
            <w:sz w:val="20"/>
            <w:u w:val="single"/>
            <w:shd w:val="clear" w:color="auto" w:fill="FFFFFF"/>
            <w:lang w:val="en-US" w:eastAsia="en-US" w:bidi="ar-SA"/>
          </w:rPr>
          <w:t>(1995), 9 B.C.L.R. (3d) 21</w:t>
        </w:r>
      </w:hyperlink>
      <w:r>
        <w:rPr>
          <w:rFonts w:ascii="arial" w:eastAsia="arial" w:hAnsi="arial" w:cs="arial"/>
          <w:color w:val="000000"/>
          <w:sz w:val="20"/>
          <w:lang w:val="en-US" w:eastAsia="en-US" w:bidi="ar-SA"/>
        </w:rPr>
        <w:t xml:space="preserve"> at 34 (S.C.). Section 25(1) absolves of blame anyone who does something which he is authorized by law to do and empowers that person to use as much force as is necessary for the purpose of doing it: Eccles v. Bourque </w:t>
      </w:r>
      <w:hyperlink r:id="rId47" w:history="1">
        <w:r>
          <w:rPr>
            <w:rFonts w:ascii="arial" w:eastAsia="arial" w:hAnsi="arial" w:cs="arial"/>
            <w:i/>
            <w:color w:val="0077CC"/>
            <w:sz w:val="20"/>
            <w:u w:val="single"/>
            <w:shd w:val="clear" w:color="auto" w:fill="FFFFFF"/>
            <w:lang w:val="en-US" w:eastAsia="en-US" w:bidi="ar-SA"/>
          </w:rPr>
          <w:t>(1973), 14 C.C.C. (2d) 279</w:t>
        </w:r>
      </w:hyperlink>
      <w:r>
        <w:rPr>
          <w:rFonts w:ascii="arial" w:eastAsia="arial" w:hAnsi="arial" w:cs="arial"/>
          <w:color w:val="000000"/>
          <w:sz w:val="20"/>
          <w:lang w:val="en-US" w:eastAsia="en-US" w:bidi="ar-SA"/>
        </w:rPr>
        <w:t xml:space="preserve"> at 280-281 (B.C.C.A.). There is a limitation upon the amount of force that can be used. The officer cannot use force that is intended or likely to cause death or grievous bodily harm: Criminal Code, section 25(3); R. v. Bottrell </w:t>
      </w:r>
      <w:hyperlink r:id="rId48" w:history="1">
        <w:r>
          <w:rPr>
            <w:rFonts w:ascii="arial" w:eastAsia="arial" w:hAnsi="arial" w:cs="arial"/>
            <w:i/>
            <w:color w:val="0077CC"/>
            <w:sz w:val="20"/>
            <w:u w:val="single"/>
            <w:shd w:val="clear" w:color="auto" w:fill="FFFFFF"/>
            <w:lang w:val="en-US" w:eastAsia="en-US" w:bidi="ar-SA"/>
          </w:rPr>
          <w:t>(1981), 60 C.C.C. (2d) 211</w:t>
        </w:r>
      </w:hyperlink>
      <w:r>
        <w:rPr>
          <w:rFonts w:ascii="arial" w:eastAsia="arial" w:hAnsi="arial" w:cs="arial"/>
          <w:color w:val="000000"/>
          <w:sz w:val="20"/>
          <w:lang w:val="en-US" w:eastAsia="en-US" w:bidi="ar-SA"/>
        </w:rPr>
        <w:t xml:space="preserve"> at 217-218. This is not in issue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my view, the defendant is entitled to rely on s. 25(1).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Turning next to what occurred in the cells, the evidence of Mr. Sorenson is that three of the defendants came to his cell and attacked him. He denied that anything was said to him before he was punched and, in fact, says that there was no reason to move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Although not convicted, Mr. Sorenson was also charged with committing mischief by rendering property inoperative, namely by plugging the toilet and flooding the RCMP cell. In his view, the charge was a cover-up. He says that the defendants knew that they had assaulted him and made up a story about why he had to be 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do not accept that there was no reason to move the plaintiff. Moments before he was moved, Mr. Goodrich noted in the prisoner log that the toilet was running continuously. Mr. Sorenson does not dispute that it was, but says that the button used to flush the toilet was stuck. It was not, however, only the running toilet that lead Staff Sergeant Makepeace to conclude that Mr. Sorenson should be moved. It was also the fact that Mr. Sorenson had been ripping his jeans into one inch strips and trying to rip the mattress. Both acts were admitted by Mr. Sorenson. His explanation about why he was ripping his jeans is not plausible. His testimony was that the jeans were not suitable for wearing to court the next morning and he ripped them so that he would be provided with other clothing. He did not explain why they were ripped into narrow strips. He did, however, agree that he said they made great garrotes.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Given Mr. Sorenson's behaviour, as well as his general attitude, there was good reason to conclude that a continuously running toilet was part of an attempt at an act of mischief. I accept the evidence of the defendants that they were intending to move the plaintiff because of a concern that he was attempting to flood his cell.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Sorenson also offered a theory as to why the defendants would have assaulted him. It is his allegation that Sergeant Ziegler had animosity towards him and had conspired with others to rid the town of Mr. Sorenson. Mr. Sorenson believes he was an unacceptable person in the community because of his flea market. He suggested that Sergeant Ziegler directed his officers to teach him a lesson and they complied with his direction. As I understand Mr. Sorenson's argument, that is also the basis of his claim against Sergeant Ziegler.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reject the assertion that Sergeant Ziegler ordered the defendants to assault the plaintiff. What Mr. Sorenson refuses to accept is that while some may have been unhappy about his flea market, as is evidenced by a photo and caption which appeared in the Oliver Chronicle on June 26, 1996, the court concluded that he was in breach of his lease and ordered that he vacate the property. Unless that order was successfully appealed, his right to occupy the property was at an end. It was Mr. Sorenson's failure to comply with the order of Wilkinson J. that ended his appeal. What occurred on November 12 was not planned, except insofar as Mr. Fugeta planned to act on the Writ of Possession and remove the plaintiff and his goods from the property. But Mr. Sorenson was not arrested because of any conspiracy or plans made by others. As stated, he was arrested because he refused to accept the authority of an order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Counsel for the defendants submitted that the plaintiff is not credible. A number of reasons were given, some of which have already been addressed. It was said that all of the defendants told a consistent story, and to accept the testimony of the plaintiff, one would have to conclude that not only did they all lie, but that Mr. Goodrich fabricated the entries in the log. It was argued that even the medical evidence presented by the plaintiff does not support his description of the severity of the injuries he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do not accept any suggestion that the entries made by Mr. Goodrich in the log were fabricated. Mr. Sorenson was moved at approximately 7:30 p.m. The log records that 20 minutes later, he was walking around whistling and not long after, was chanting.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Nodwell found superficial abrasions on the plaintiff's shoulder and abdomen and superficial scrapes on the lower leg. Mr. Sorenson testified that there were significant and visible injuries above his right eye and on his right shoulder and that because of his embarrassment at having feces in his clothing, he did not permit Dr. Nodwell to examine him below the waist.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a general sense, Mr. Sorenson's evidence was that the evidence of others that he had committed any criminal offence was untrue. For example, he denied saying anything threatening to Mr. Fugeta and stated that Mr. Fugeta's evidence that he was told to watch out for his family was a fabrication. Mr. Sorenson denied that Constable Milliken told him he must comply with the court order or asked him several times to put down the can of gas. That was the evidence of both Mr. Fugeta and Constable Milliken. Although Constable LaGrange was called as a defence witness at Mr. Sorenson's criminal trial, he says she lied at 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It is difficult to know how to best describe Mr. Sorenson's testimony. He seemingly believes that everyone conspired to do him harm and presumably credits each with the ability to have cleverly crafted a false story which is consistent with the story told by others. I do not accept that events transpired as Mr. Sorenson described. To do so would, in my view, require an acceptance of Mr. Sorenson's belief.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His claim for assault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THEFT OF CASH AND STAMPS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Sorenson alleges that Corporal Carbonneau removed $10,000 in cash from his home. He testified that shortly after he was placed in a cell, he asked Corporal Carbonneau to go to his home to retrieve funds which he kept in a sock in his dresser drawer. Corporal Carbonneau agreed to do so, but when he returned, told Mr. Sorenson that the money was not there. Mr. Sorenson does not believe Corporal Carbonneau.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It was Corporal Carbonneau's evidence that he was told by Mr. Sorenson that he had $10,000 in cash in a sock in the second drawer of his dresser. Although he was not convinced that Mr. Sorenson was being truthful, he felt that in the circumstances he had an obligation to go and look. There were, in fact, many pairs of socks in the second drawer. He went through each pair but found no money. Mr. Fugeta was there while he searched.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Fugeta testified that he was present when Corporal Carbonneau went through the dresser, although he was not told what he was looking for. Mr. Fugeta assisted by holding a flashlight as there was no electricity in the house. He did not see Corporal Carbonneau remove any cash.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unhesitatingly accept Corporal Carbonneau's evidence that he did not find any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Sorenson also alleges that albums containing valuable stamps were removed from his home or delivered to and retained by the defendant. There is no evidence to support this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Corporal Carbonneau testified that as he advised the plaintiff by letter dated June 8, 1997, a bag was left at the detachment which contained, amongst other things, a small box of stamps. Mr. Sorenson was told that the stamps could be picked up at the detachment. The plaintiff never came for them and on June 15, 1998, they were retrieved by Mr. Fugeta.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As to what happened to the plaintiff's goods and chattels, Mr. Fugeta received an inquiry from Mr. Sorenson's counsel, Mr. Pennington, soon after the event. By letter dated November 27, 1996, Mr. Fugeta advised Mr. Pennington that all items removed from the house were being stored in a mini-storage in Osoyoos and all items which had been displayed outside were stored in Oliver.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It is clear that there was a large volume of goods on the property. Movers, as well as Mr. Fugeta and his assistant, were involved in their removal. Mr. Fugeta described the house as filthy. His testimony was that the packers even swept what was on the floor. Everything was put in containers and where in the house the goods were from was noted.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Sorenson testified that he was unable to retrieve his goods because he could not afford the storage fees. What ultimately happened to them is not entirely clear. On November 3, 1999, an advertisement ran in the Osoyoos Times stating that the goods stored November 12, 1996, at the Osoyoos Mini-Storage would be sold at auction on November 13, 1999, to recover storage fees of $5,035. Mr. Heintz testified that he attended the auction. The goods were not sold as it was necessary to bid on the lot and no one did so. But as family photos belonging to Mr. Sorenson were later given to Mr. Heintz by a seller at a flea market who knew Mr. Sorenson, the items removed from the house were presumably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During argument, Mr. Sorenson did not address the question of why it should be concluded that a defendant in these proceedings, as opposed to the bailiffs or movers, removed albums of stamps from the plaintiff's home. As was noted by defence counsel, Mr. Sorenson's evidence about the stamps was sparse and he did not give evidence as to where in the house they were kept.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my view, Mr. Sorenson's allegations as regards the stamps are based on no more than suspicion. His claims as regards these chattels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CHARTER BREACHES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Sorenson seeks a civil remedy for alleged breaches of the Charter. The statement of claim refers to ss. 7 and 8 of the Charter and during argument, Mr. Sorenson made reference to what he described as a warrantless search of his home and the fact that he was not brought before a justice of the peace after his arrest on November 12. No reference was made to any jurisprudence relating to constitutional torts.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warrantless search referred to by the plaintiff was the search conducted by Corporal Carbonneau for the cash in the sock. Corporal Carbonneau was asked to conduct this search. It was not an infringement of Mr. Sorenson's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As to Mr. Sorenson's assertion that a justice of the peace was not called to the detachment, I assume he is alleging that his detention was wrongful although he did not refer to any provisions of the Criminal Code or otherwise describe how his rights were violated.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Sorenson was arrested at approximately 3:00 p.m. on November 12. He was advised of his Charter rights at the scene and again at the RCMP detachment. He wished to speak with a lawyer and was permitted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Sorenson appeared in Provincial Court on November 13. The booking sheet shows that he was booked out of the cells in Oliver at approximately 10:00 a.m. and placed in the custody of the sheriffs. Before his court attendance, he was taken to the Penticton Regional Hospital. The hospital records indicate that he was admitted at 11:07 a.m. and wished to be seen by a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Sorenson was represented by counsel when he appeared in Provincial Court on November 13. On that date, the matter was put over until the 15th. On November 15, the Crown sought Mr. Sorenson's detention. Although the reasons of the court are not in evidence, he was not released and it may have been of some relevance that he also had outstanding charges relating to an incident which had occurred in March, 1996, in the Lower Mainland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Staff Sergeant Makepeace testified that it was his view that Mr. Sorenson did not appreciate the seriousness of his conduct. As he believed it was serious, he felt that the question of Mr. Sorenson's release should be dealt with by a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Section 503 of the Criminal Code requires that an accused be taken before a justice, as that term is defined in s. 2, without unreasonable delay and, in any event, within 24 hours after his arrest. That occurred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therefore do not accept that there is a factual basis for Mr. Sorenson's assertions that his rights were violated.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MALICIOUS PROSECUTION AND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Reference has already been made to the fact that Mr. Sorenson was convicted of six offences arising out of his conduct on November 12, 1996. The information charging these offences was sworn February 25, 1997. There were nine counts in that information. Mr. Sorenson was found not guilty on three. He was acquitted of uttering a threat to Mr. Thomas on September 26, 1996. Mr. Thomas, who was counsel for the Da Costas, did not testify in these proceedings. Mr. Sorenson was also acquitted of threatening Staff Sergeant Makepeace and of committing mischief by plugging the toilet and flooding the RCMP cell.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Nelles v. Ontario, </w:t>
      </w:r>
      <w:hyperlink r:id="rId49" w:history="1">
        <w:r>
          <w:rPr>
            <w:rFonts w:ascii="arial" w:eastAsia="arial" w:hAnsi="arial" w:cs="arial"/>
            <w:i/>
            <w:color w:val="0077CC"/>
            <w:sz w:val="20"/>
            <w:u w:val="single"/>
            <w:shd w:val="clear" w:color="auto" w:fill="FFFFFF"/>
            <w:lang w:val="en-US" w:eastAsia="en-US" w:bidi="ar-SA"/>
          </w:rPr>
          <w:t>[1989] 2 S.C.R. 170</w:t>
        </w:r>
      </w:hyperlink>
      <w:r>
        <w:rPr>
          <w:rFonts w:ascii="arial" w:eastAsia="arial" w:hAnsi="arial" w:cs="arial"/>
          <w:color w:val="000000"/>
          <w:sz w:val="20"/>
          <w:lang w:val="en-US" w:eastAsia="en-US" w:bidi="ar-SA"/>
        </w:rPr>
        <w:t>, the necessary elements of the tort of malicious prosecution were delineated. A plaintiff must establish that the proceedings were initiated by the defendant, that they were terminated in favour of the plaintiff, that there was an absence of reasonable and probable cause for the defendant's conduct and that there was malice, or a primary purpose other than that of carrying the law into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Where there has been a conviction, an action for malicious prosecution cannot succeed. Therefore only the three charges on which the plaintiff was acquitted could form the basis of a claim of malicious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Given the limited evidence regarding the alleged threat to Mr. Thomas, it would be impossible to conclude that the tort of malicious prosecution had been established in respect of that charge. Accordingly, the plaintiff's assertion that the tort of malicious prosecution has been committed can relate only to the charges of mischief and threatening Staff Sergeant Makepeace.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Sergeant Ziegler testified that the ultimate decision regarding all charges was made by Crown counsel, although the report to Crown counsel contained recommendations. As to the mischief charge, it was his evidence that a plumber had to be called in and clothing was removed from the toilet. I have already referred to the other evidence relating to the running toilet. There was no evidence that flooding actually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Staff Sergeant Makepeace testified about what he perceived to be a threat. Mr. Sorenson agreed that he had said something to the effect that he would be getting out in 24 hours, but denied making any threats. He conceded he may have referred indirectly to taking some action, but testified that any reference to doing something was a reference to action through the court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Despite the fact that there are meritorious defence arguments that proceedings were not initiated by the defendants and there was reasonable and probable cause, I intend to discuss only malice. In Nelles, Lamer C.J. commented on the meaning of malice. He said, at para.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The required element of malice is for all intents, the equivalent of "improper purpose". It has according to Fleming, a "wider meaning than spite, ill-will or a spirit of vengeance, and includes any other improper purpose, such as to gain a private collateral advantage" (Fleming, op. cit., at p. 609). To succeed in an action for malicious prosecution against the Attorney General or Crown Attorney, the plaintiff would have to prove both the absence of reasonable and probable cause in commencing the prosecution, and malice in the form of a deliberate and improper use of the office of the Attorney General or Crown Attorney, a use inconsistent with the status of "minister of justice". In my view this burden on the plaintiff amounts to a requirement that the Attorney General or Crown Attorney perpetrated a fraud on the process of criminal justice and in doing so has perverted or abused his office and the process of criminal justice. In fact, in some cases this would seem to amount to criminal conduct. (See for example breach of trust, s. 122, conspiracy re: false prosecution s. 465(1)(b), obstructing justice s. 139(2)and (3) of the Criminal Code, R.S.C., 1985, c. C-46).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It would be difficult to demonstrate that a fraud has been perpetrated on the process of criminal justice in regards to two counts in an Information when a plaintiff has been convicted of six offences. I assume that Mr. Sorenson's claim is based on his assertion that the charge of mischief was a cover-up intended to provide an explanation for an assault. I have already addressed and rejected that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Turning to the tort of abuse of process, the plaintiff must prove that a defendant has used the legal process for a collateral and improper purpose. Given that the defendants are RCMP officers and the plaintiff has been convicted of many criminal offences, I have difficulty understanding the basis of this claim. Again, Mr. Sorenson did not specifically address how the legal process was misused. If it relates to his theory that the defendants wished to rid the town of both Mr. Sorenson and his flea market, I have already dealt with that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Sorenson has not proven malicious prosecution or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summary, the plaintiff's action is dismissed. Submissions on costs have not been made. If necessary, a further hearing should be arranged.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2" style="position:absolute;z-index:2518190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6" w:history="1">
        <w:r>
          <w:rPr>
            <w:rFonts w:ascii="arial" w:eastAsia="arial" w:hAnsi="arial" w:cs="arial"/>
            <w:b/>
            <w:bCs/>
            <w:i/>
            <w:color w:val="0077CC"/>
            <w:kern w:val="32"/>
            <w:sz w:val="28"/>
            <w:szCs w:val="32"/>
            <w:u w:val="single"/>
            <w:shd w:val="clear" w:color="auto" w:fill="FFFFFF"/>
            <w:lang w:val="en-US" w:eastAsia="en-US" w:bidi="ar-SA"/>
          </w:rPr>
          <w:t>Suomalainen v. Jernigan, [2004] B.C.J. No. 698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Ehrcke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23 - 25,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8,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S016230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698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465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 C.E.L.R. (3d) 176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130 A.C.W.S. (3d) 180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Vesa Pekka Suomalainen, plaintiff, and Steven Jernigan, Falcon Coronet LLC,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(55 paras.)</w:t>
      </w:r>
    </w:p>
    <w:p>
      <w:pPr>
        <w:jc w:val="both"/>
        <w:rPr>
          <w:rFonts w:ascii="arial" w:eastAsia="arial" w:hAnsi="arial" w:cs="arial"/>
          <w:sz w:val="20"/>
          <w:lang w:val="en-US" w:eastAsia="en-US" w:bidi="ar-SA"/>
        </w:rPr>
      </w:pPr>
      <w:bookmarkStart w:id="23" w:name="Counsel_3"/>
      <w:bookmarkEnd w:id="2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3"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Christopher J. Andison, for the plaintiff. Nancy J. Wilhelm-Morden,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 w:name="Judgment_3"/>
      <w:bookmarkEnd w:id="24"/>
      <w:r>
        <w:pict>
          <v:line id="_x0000_s1044" style="position:absolute;z-index:25171353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 w:name="EHRCKE J."/>
            <w:bookmarkEnd w:id="25"/>
            <w:r>
              <w:rPr>
                <w:rFonts w:ascii="arial" w:eastAsia="arial" w:hAnsi="arial" w:cs="arial"/>
                <w:b/>
                <w:color w:val="000000"/>
                <w:sz w:val="30"/>
                <w:lang w:val="en-US" w:eastAsia="en-US" w:bidi="ar-SA"/>
              </w:rPr>
              <w:t>EHRCKE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Vesa Pekka Suomalainen and the defendant Steven Jernigan are neighbours in the Green Lake Estate development at Whistler, British Columbia. The plaintiff seeks an injunction requiring the defendants to make certain modifications to their property to correct certain "deficiencies" that the plaintiff maintains contravene a Statutory Building Scheme binding each of the lots on the development. The defendants deny that their property is in contravention of the requirements of the Building Scheme and in addition, counterclaim seeking an injunction against the plaintiff to remedy certain alleged deficiencies on the plaintiff's property. All parties submit that this matter should be resolved on a summary trial pursuant to Rule 18A of the Supreme Court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is the owner of the property at 8433 Golden Bear Place, Whistler, British Columbia. He and his wife purchased their lot in the spring of 1999 and erected a house on it over the course of the next year. The lot immediately to the east of the plaintiff's lot, 8435 Golden Bear Place, was purchased by the defendant Steven Jernigan and his wife in September 1997. They incorporated the defendant Falcon Coronet LLC, an offshore company, and transferred their lot to the company for estate planning purposes in September 1998. Construction of the defendants' home was largely complete by the time the plaintiff and his wife purchased their lot, although some landscaping was still left to be done. Both the plaintiff's home and the defendants' home are located on adjacent single family lots within the strata housing development known as Green Lakes Estate, Phase III. The plaintiff's lot is designated as SL10 and the defendants' lot as SL11.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properties are bordered to the north by River of Golden Dreams Park which separates the properties from the River of Golden Dreams at a point where it flows into Green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lot and the defendants' lot are and have at all material times been subject to a number of restrictions registered against their titles including a Statutory Building Scheme, an Environmental Setback Restrictive Covenant, and a Training Berm Statutory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Building Scheme is registered against title to all lots within the development and provides specific restrictions with regard to what improvements may be made on those properties. The Training Berm Statutory Right of Way runs across the northernmost end of both the defendants' and plaintiff's lots. It is a charge registered against the properties by the Resort Municipality of Whistler and the Province of British Columbia with a view to protecting the properties adjacent to the River of Golden Dreams from potential flooding of the river. The Environmental Setback Covenant also runs across the northern end of both the plaintiff's and the defendants' lots, but extends somewhat further south onto the two lots than does the Training Berm Statutory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STATUTORY BUILDING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Statutory Building Scheme which was registered against the properties on April 29, 1996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sale of any of the Lots is subject to the restrictions enumerated in the Schedule of Restrictions attached or annexed hereto as Exhibit "A" and the Design Guidelines annexed hereto as Exhibit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also states that "the Restrictions shall be for the benefit of all the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Exhibit "A" to the Statutory Building Scheme contains 19 paragraphs. It is set out in full below, as the issues in this case turn largely on the construction of that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EXHIBIT "A"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SCHEDULE OF RESTRICTIONS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NOTHING CONTAINED IN EXHIBIT "A" OR EXHIBIT "B" SHALL EXEMPT AN OWNER FROM COMPLYING WITH THE TERMS AND CONDITIONS OF THE ENCUMBRANCES REGISTERED AGAINST THE LOTS OR MUNICIPAL BYLAWS AND REGULATIONS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building, fence, or other structure shall be erected on the premises and no existing building, fence, or other structure (collectively or individually referenced to as "Improvements") shall be added to or extended without the prior written approval of Green Lake Projects Inc. (the "Company"). Complete plans and specifications (in duplicate) of any proposed Improvements to any existing building, fence, or other structure, together with detailed plans showing the location on the premises, shall be submitted to the Company before construction is started and the Company shall have power to approve or reject the construction. If the plans and specifications shall be approved, one copy thereof shall be retained by the Company.</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work of construction of all Improvements shall be carried out diligently and continuously from commencement of construction until those Improvements shall be completed as to external appearance, including finished painting, within eight (8) months from the date of approval of plans by the Company, unless prevented by causes beyond the owner's control.</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shall comply with the design guidelines (the "Design Guidelines") for the development annexed hereto as Exhibit "B" including the Site Development Guidelines, Building Design Guidelines and Landscape Design Guidelines set out therein, as modified from time to time by the Company in its sole discretion.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building materials, crates, packing cases, contractor's sheds, equipment, or other unsightly object or material shall be placed on any street, utility lane, or adjoining property nor left on the premises otherwise than during the time that construction work is actually in progress and no excavation shall be made unless in connection with the erection of an approved structure.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portion of the premises lying between the building line of the main dwelling residence situate on the Lot and the lot line adjoining any street, shall be landscaped within a period not exceeding one (1) year of substantial completion of the Improvements, unless prevented by causes beyond the owner's control.</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trailer or mobile home shall be maintained on the premises as a residence nor may any trailer, truck, or bus be stored anywhere on the premises other than in an enclosed garage or other suitable enclosed space.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fence, hedge, or boundary wall situated anywhere on the premises shall have a height exceeding five (5) feet above the finished graded surface of the ground, but in the sole discretion of the Company, the Company may specify a different height.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 shall have the right to appoint a committee of owners of the Lots or other organization comprised principally of owners of the Lots for the time and on the conditions that it may designate, to exercise the rights and powers reserved to it in this Schedule of Restrictions, and in that case the Company shall incur no liability for any act or omission of that committee or other organization, but the Company may elect to waive any rights and powers reserved without incurring any liability to the owners.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underside of the slab of any building shall be no more than one metre higher than the elevation of the adjacent road.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contained in this Schedule of Restrictions shall be construed as imposing any liability upon the Company for damage resulting from structural defects in any structure erected on the premises with the Company's approval nor any responsibility in connection with the site selected for any structure by the owners nor for the determination of lot boundaries.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poultry, swine, sheep, cows, cattle or other livestock shall be kept on the premises nor shall the premises be used for boarding of pets.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dwelling or other building shall be erected on the premises with a front, rear, or side yard of lesser depth or width than that which is specified in that behalf in any zoning by-law or other by-law of the Municipality (save and except as varied by the Municipality) respecting front, rear, or side yards and the Company reserves the right, at its absolute discretion, to require a front, rear, or side yard of greater depth or width than the minimum called for by the Municipal by-law, where, in its judgment, this appears necessary or desirable having regard to topography, drainage, view of adjacent properties, or any other factor.</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billboards, placards or signs of any kind shall be erected or displayed by the owner on the premises or any part thereof, or on any residence or building or in any window or door of any residence or building on the premises.</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Wherever or whenever the approval or consent of the Company is required to be obtained that approval or consent may be given by the officer, agent, person, or persons that may from time to time be nominated or appointed in writing by the Company for that purpose and that power of appointment or right of nomination may be delegated by the Company, and these appointees or nominees shall have the right to withhold approval of, or their consent to, and may reject, any matter or thing being submitted for approval or consent.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Restrictions and stipulations herein contained shall not be deemed to be exclusive either of the requirements of the By-Laws of the Municipality or of the obligations or liabilities imposed by statute or the common law on owners or occupiers of land, all of which shall be duly observed and complied with.</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 hereby reserves the right from time to time to impose additional restrictions, stipulations, or conditions on adjoining or neighbouring lands which may hereafter be brought within the Company's building estate or scheme.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electric, gas, telephone, and television or cablevision conduits and the equipment incidental thereof throughout the development in which the premises are situate are buried underground and it is an express term of this instrument that each owner is to make its own arrangements with the British Columbia Hydro and Power Authority, the British Columbia Telephone Company, Centra Gas British Columbia Inc. and the television and cablevision supplier that may from time to time be servicing the development, for the supply of light and power, telephone, and television or cablevision service by means of underground connections to any buildings an owner he may erect upon its respective Lot and is to pay the cost thereof.</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television or radio antennas aerial shall be erected on the premises or attached to the exterior of any building on the premises or any part thereof.</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Whenever the word "premises" is used in this schedule or elsewhere in this instrument it shall mean the lands described as the Lots or the Lot in the attached declaration, and whenever the word "owner" or "owners" is used herein it shall mean the registered owner or owners of the Lot or the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Design Guidelines attached to the Building Scheme are marked as Exhibit "B", and the relevant portions are set out below:</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DESIGN GUIDELINES FOR GREEN LAKE ESTATES AT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NICKLAUS NORTH GOLF &amp; COUNTRY CLUB</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EXHIBIT "B"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INTRODUCTION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Set in the scenic Whistler Valley, Green Lake Estates at Nicklaus North Golf &amp; Country Club is surrounded by the Pacific Coastal Mountain range. Located on the south shore of Green Lake, the site affords panoramic views of Wedge, Whistler Mountain and Armchair Glacier. The project is situated 3 km north of Whistler Village on the Sea to Sky Highway and lies within the Resort Municipality of Whistler. The 110.8 hectare site is relatively level and is covered by wetlands, grasslands and woodlands.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development on the site is primarily composed of a championship level 18 hole "Jack Nicklaus" designed golf course with residential lots laid out along and between the fairways. Two parks, Fitzsimmons Fan and Dream River Park, have been created; along with a series of nature trails which link the residential lots and golf course to the parks, Green Lake shoreline, Lost Lake and the Whistler Village. The Nicklaus North Golf &amp; Country Club Plan shows all the various components of the project. A concise description of the components is contained in the plan's legend.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DEVELOPMENT OBJECTIVES, GUIDELINES &amp; REGULATIONS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design concept for the "Green Lake Golf Course and Residential Development" is based on the sites natural assets (mountain views, lakeshore and watercourses). The housing lots have been carefully incorporated in and around the golf course to create a design which is of mutual benefit to both residential and recreation development. Maintaining a good relationship between these two components of the project, while working with the sites natural features is the prime objective governing all development. To that end, the Developer has created Design Guidelines to ensure residential development which:</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Respects the specific lot and surrounding site conditions (natural and man made).</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Makes a logical response to site potentials and constraints (views, natural privacy screening, solar exposure etc.).</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Reduces the visual impact of the proposed built environment on the natural condition.</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 a building technology and aesthetic which is appropriate to the area and its climate.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Design Guidelines have been registered as a Section 216 Covenant and form part of the title to the development.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They will be administered by a qualified Design Coordinator who will:</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Review the proposed development (building and landscaping), to ensure that it conforms to the guidelines.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Issue approval if the proposal is acceptable. (Note - approval must be given before the lot Owner can make application to obtain a building permit from the Municipality).</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Inspect construction during (if necessary) and after completion of the building to ensure it complies with the design guidelines.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Inspect completed landscaping to ensure it complies with the design guidelines.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Neither the Developer nor the Design Coordinator shall be liable for damages by reason of mistake in judgment,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non-feasance or otherwise arising out of or in connection with the approval or disapproval or failure to approve any plans and/or specifications. Every party who submits plans and/or specifications to the Developer or to the Design Coordinator agrees, by submission of same, not to bring action or suit against the Developer or the Design Coordinator to recover any damages or other relief.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All residential development must conform to the Resort Municipality of Whistler Zoning and Parking Bylaw No. 303 1983 as amended.* The Municipality has also written a Zoning Amendment Bylaw (No. 961, 1993) specifically for development at Green Lake Estates. The Owner/Designer must review all bylaws effecting their lot. Conformance to the Zoning Bylaw regulations will be checked by the Municipality.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and Zoning Amendment Bylaw 1162, 1995.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PLAN REVIEW &amp; APPROVAL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Resource Material and Design Information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Once a bare land strata lot has been purchased, the Owner should obtain the following information from the Developer.</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Site Information Plan (Specific to each bare land strata lot)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 site plan of the Owners lot showing all pertinent design information.</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Design Information Package - including: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Appendix 'A' Development Approval Checklists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Appendix 'B' Plan Review and Approval Process Flow Chart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Appendix 'C' Preload Design and Geotechnical Report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Appendix 'D' Recommended Plant List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Owner should also obtain the following information from the Resort Municipality of Whistler (RMOW)</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Zoning and Parking Bylaw Regulation No. 303 1983 as amended and Zoning Amendment Bylaw No. 961, 1993</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Builders Information Package. The package provides guidelines set by the RMOW and outlines their approval process. Contact the RMOW Building Department (Telephone - whistler 932-5535, Vancouver direct - 688-6018)</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Zoning Amendment Bylaw No. 1162, 1995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Development Approval Checklist &amp; Submission Process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"Development Approval Checklists" detail the information and drawings to be submitted for review by the Design Coordinator (see Design Information Package Appendix 'A'). The cost of all required drawings will be assumed by the Owner. The "Plan Review and Approval Process Flow Chart" (Appendix 'B') will help the Owner to understand the sequence of events involved in the submission and approval process.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After reviewing the information listed in Section 3.1, the Owner/Designer should inspect the site and consult with the Design Coordinator to assess any special concerns regarding their particular lot or proposed development. This preliminary consultation should streamline the approval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DESIGN GUIDELINES FOR RESIDENTIAL DEVELOPMENT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section contains three sub-sections: Site Development Guidelines, Building Design Guidelines, and Landscape Design Guidelines.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SITE DEVELOPMENT GUIDELINES</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4.1.1 Building Site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Owner/Designer shall review the "Site Information Plan" and inspect the site to assess its specific potentials and constraints (natural features and man made conditions). It is the Owner/Designer's responsibility to identify the location of easements and rights-of-way (R.O.W.) and to comply with the setback requirements established by the Resort Municipality of Whistler.</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Building siting should respond to the following:</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Topography, lot shape, easements, right of ways and all required setbacks.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Geologic/soil conditions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Hydrology/flood plain elevation and planned or existing draining systems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Existing vegetation and/or tree preservation zones (natural treed roughs)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Views into and out of the site (view corridors or lines)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Solar exposure</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Access and circulation around and within the site for vehicles, pedestrians and recreational pursuits (skiers, joggers, etc.)</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Seasonal consideration (snow management and storage, etc.)</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Parking and driveway entrance location (see sec. 4.1.8)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4.1.4 Grading and Drainage</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New construction and regrading within the lot must not interrupt the subdivision drainage patterns or cause discharge of water onto adjacent lots. Run-off from roofs, ground pavement and snow storage areas must be collected and directed to natural or improved drainage systems within the lot.</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Site Information Plans show the established Floodproofing elevation for the main floor of the proposed development on the site and the required site drainage patterns, in accordance with the Section 215 Flood Protection Covenant registered on title.</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Regrading within the lot must be shown on the site plan for the proposed development. Regrading must create minimal cut and fill situations. All cut and fill must be blended into the existing site conditions. No slope greater than 3H:1V is permitted.</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Retaining walls are not permitted unless approved by the Design Coordinator.</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Relationship to Neighbours &amp; Streetscape</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design and siting for a proposed building project must respond to the existing and/or future planned development on adjacent lots. The proposed project must take into consideration its effect on privacy, view lines and overshadowing of the neighbouring properties. Balconies, decks and large windows should be located away from the interior side property lines.</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Proposed building projects should be designed to create a harmonious yet interesting streetscape. Varying front yard setbacks and garage locations are encouraged. The rooflines and level of eaves on adjacent lots must be considered, to avoid dramatic height changes between the proposed building and the rest of the buildings along the street. The same consideration applies to building projects facing onto the golf course.</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building design can be repeated within a three lot radius.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LANDSCAPE DESIGN GUIDELINES</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Landscape Regulations</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Green Lake Vegetation and Habitat Management Plan shows all areas of public landscaping. The "Site Information Plan" indicates all landscaping rights of ways or planting buffers and environmental setbacks which effect each lot. These areas must be shown on the proposed Landscape Plan submitted for approval. Existing vegetation and planting installed or preserved by the Developer in these areas must not be removed or damaged at any time. Removal of existing vegetation on the lot must be approved by the Design Coordinator.</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Owner/Builder of single family homes must complete the front yard landscaping within two (2) months of substantial completion of the building. This requirement also applies to street side yards on corner lots. The Owner/Builder of multi-family buildings must complete the landscaping of the front, side and rear yards (including common areas on the lot) within two (2) months of substantial completion of the final unit in the project. The Design Coordinator may allow an extension of the two month time period, based on seasonal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Planning Concepts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proposed Landscape Design for a site should integrate new planting with existing vegetation on the lot and the planting buffers around it. The design should visually connect the site landscaping with planting along the street and the manicured rough of the golf course (if the lot is adjacent to it). "Wall like" planting along the property lines adjacent to the street or golf course will not be approved.</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grouping of trees and shrubs is encouraged to avoid a scattered appearance. Ornamental planting (except in protected areas) and expansive finely manicured lawns are not encouraged. Planting in "snow dump" areas must be able to survive the impact of heavy snow build-up.</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proposed site planting should block the sun or interrupt major view lines from adjacent lots. Exterior living spaces within the site should be designed to receive as much sunlight as possible throughout the day. Deciduous trees should be placed on the south west side of the house and outdoor living areas to provide summer shade and to limit unnecessary solar heat gain. Similarly, evergreen trees should not be planted where they would block desirable solar heat gain in the winter.</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4.3.3 Plant Materials</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plant species indigenous to the Whistler area is encouraged. A recommended plant list is included in Design Information Package Appendix 'D'. Appropriate ground cover materials are also listed in Appendix 'D'. Proposed planting should complement the house colours and the landscaping of neighbouring lots. A blend of coniferous and deciduous plant material is encouraged.</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Detached house projects should include at least two (2) trees and ten (10) shrubs in their frontyard landscaping plan, plus one (1) tree and five (5) shrubs in street side yards. Multi-family projects shall have two (2) trees and ten (10) shrubs per unit in their overall Landscaping plan. Trees must be at least 2" (50 mm) calliper and 6 feet (1.8 m) high. Shrubs should be a 2-5 gallon container size.</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Variation in planting schemes between lots or units in multi-family projects is encouraged to create individuality.</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Fencing, Screening and Garden Structures</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Fencing is prohibited except around the rear yard of lots which back onto other lots.</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Wood fencing is preferred. Metal fences or concrete block walls are not permitted. The fence and house should be coordinated in design, construction details, finish materials, and colour. Fence design and construction materials must be approved by the Design Coordinator.</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Privacy screening and enclosures for child play areas, hot tubs, etc. may be constructed adjacent to the house and must not extend beyond the building envelope.</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Gazebos, wooden swings and play structures are permitted in the rear yard, but they should not be highly visible to the golf course or adjacent lots.</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Compost units and vegetable gardens are not encouraged as they attract wildlife. Their location must be shown on the proposed Landscaping Plan and approved by the Design Coordinator.</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highly visible clothesline structures are permitted.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ENVIRONMENTAL SETBACK COVENANT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addition to the Statutory Building Scheme, an Environmental Setback Covenant pursuant to what was then s. 215 of the Land Title Act [now s. 219] is registered against both the plaintiff's and the defendants' lots. That Covenant is between the developer Green Lake Projects Inc. and the Resort Municipality of Whistler, but its provisions run with the land and bind subsequent owners. The Covenant provides that the land subject to the Covenant, which, as already described, includes the northern portion of both the defendants' and plaintiff's lots, shall only be used in a manner consistent with the provisions in Schedule "B", which includes the following restriction: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Covenant Area shall not be built upon nor shall any buildings, structures, equipment, chattels, furniture or improvements be placed or erected on the Covenant Area. Any landscaping or vegetation within the Covenant Area between the environmental setback line and the property line for each strata lot comprising of the Lands shall be maintained with a "naturalistic character". New plant material shall be selected from the following plant list: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Schedule then goes on to specify what types of plant material may be acceptable for planting in the Covenant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TRAINING BERM STATUTORY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Also registered against both the plaintiff's and defendants' lots along the northernmost edge is a Training Berm Statutory Right of Way in favour of the Resort Municipality of Whistler and the Province of British Columbia. The Training Berm itself is a raised area between the river and the homes in the development to minimize the risk of damage from flooding. The terms of the Training Berm Statutory Right of Way include a provision that nothing should be done which "might injure, damage or obstruct the Training Berm or impair the operation of the Training Berm".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ALLEGED DEFICIENCIES ON THE DEFENDANTS'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alleges there are a number of deficiencies on the defendants' property that contravene the Building Scheme and Design Guidelines, the Environmental Setback Covenant and the Training Berm Statutory Right of Way. His pleadings include a claim for damages, but it is clear from his oral argument that what he primarily seeks is a mandatory injunction requiring the defendants to correct the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first alleged deficiency relates to a structure that has been erected around and over a hot tub on the patio of the defendants' property. The plaintiff contends that this structure is in violation of clause 15 of the restrictions in the Building Scheme in that it violates the Environmental Setback Covenant and municipal bylaws. He also submits that the hot tub structure violates the specific provisions of the Design Guidelines. He maintains that it does not comply with the setback requirements contained in clause 4.1.1, that it obstructs the view from the plaintiff's lot thereby violating clause 4.1.5, and that it extends beyond the building envelope and is highly visible to the plaintiff's adjacent lot in contravention of clause 4.3.4.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Next the plaintiff objects to a number of trees planted along the property line between the plaintiff's and defendants' lots, and in particular the eight northernmost such trees, which he submits are in violation of clauses 4.1.5 and 4.3.2. of the Design Guidelines in that they interrupt major view lines from the plaintiff's lot. He also maintains that some of the trees are located in an area where they violate the Environmental Setback Covenant and the Training Berm Statutory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Finally, the plaintiff submits that the defendants have carried out landscaping activities in the area of the Training Berm Statutory Right of Way and that this both constitutes a violation of the terms of the Right of Way and is also an actionable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argue that the plaintiff has no standing to seek a remedy from this Court for any alleged violation of the Environmental Setback Covenant or the Training Berm Statutory Right of Way. The defendants argue that these are matters strictly between the defendants and the Resort Municipality of Whistler. If indeed there are violations, it is up to the Resort Municipality of Whistler to determine what those violations are and what, if any, action they will take to remedy them. With respect to the hot tub structure, they argue that the structure is not an enclosure within the meaning of clause 4.3.4 of the Design Guidelines and that it is not "highly visible". With respect to both the trees and the hot tub structure, the defendants argue that they do not interrupt major view lines and that in any event the phrase "major view line" is too vague to be enforceable as a restrictive covenant.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With respect to the claim for nuisance, the defendants argue that nuisance is not actionable per se but is only actionable upon proof of actual damage. In the present case, no actual damage has been established. Finally, the defendants submit that if any order is made in favour of the plaintiff, it should only be against the corporate defendant, as it is the registered owner of the property. The personal defendant, Steven Jernigan, not being an owner, should have the action against him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DOES THE PLAINTIFF HAVE STANDING TO ENFORCE THE ENVIRONMENTAL SETBACK COVENANT AND THE TRAINING BERM STATUTORY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Notwithstanding that they are registered against title, restrictive covenants are contracts that cover the relationship between the owner of land and the other party, in this case, the Resort Municipality of Whistler. As such, they are not enforceable by third parties. See for example Nancy Green's Olympic Lodge Ltd. Partnership v. Blackcomb Development Ltd., </w:t>
      </w:r>
      <w:hyperlink r:id="rId57" w:history="1">
        <w:r>
          <w:rPr>
            <w:rFonts w:ascii="arial" w:eastAsia="arial" w:hAnsi="arial" w:cs="arial"/>
            <w:i/>
            <w:color w:val="0077CC"/>
            <w:sz w:val="20"/>
            <w:u w:val="single"/>
            <w:shd w:val="clear" w:color="auto" w:fill="FFFFFF"/>
            <w:lang w:val="en-US" w:eastAsia="en-US" w:bidi="ar-SA"/>
          </w:rPr>
          <w:t>[1986] B.C.J. No. 1479</w:t>
        </w:r>
      </w:hyperlink>
      <w:r>
        <w:rPr>
          <w:rFonts w:ascii="arial" w:eastAsia="arial" w:hAnsi="arial" w:cs="arial"/>
          <w:color w:val="000000"/>
          <w:sz w:val="20"/>
          <w:lang w:val="en-US" w:eastAsia="en-US" w:bidi="ar-SA"/>
        </w:rPr>
        <w:t xml:space="preserve"> (S.C.) where Macdonell J. held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restrictions themselves, it is true that they run with the land under s. 215 of the Land Titles Act. However, they can be varied, both under the Act and in the agreement itself. These are contractual matters between the parties and it is my view that a third party has no right to enforce the restrictive covenant, as it is for the benefit only of the covenanting parties and not for the public at large. It cannot, in my view, be described as a building scheme. This being the case, the petitioner has no status to enforce the restrictive covenant, even if the respondent was in breach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Similarly, municipal bylaws must be enforced, if at all, by the municipality, and not by an affected private person: see Orpen v. Roberts, </w:t>
      </w:r>
      <w:hyperlink r:id="rId58" w:history="1">
        <w:r>
          <w:rPr>
            <w:rFonts w:ascii="arial" w:eastAsia="arial" w:hAnsi="arial" w:cs="arial"/>
            <w:i/>
            <w:color w:val="0077CC"/>
            <w:sz w:val="20"/>
            <w:u w:val="single"/>
            <w:shd w:val="clear" w:color="auto" w:fill="FFFFFF"/>
            <w:lang w:val="en-US" w:eastAsia="en-US" w:bidi="ar-SA"/>
          </w:rPr>
          <w:t>[1925] S.C.R. 364</w:t>
        </w:r>
      </w:hyperlink>
      <w:r>
        <w:rPr>
          <w:rFonts w:ascii="arial" w:eastAsia="arial" w:hAnsi="arial" w:cs="arial"/>
          <w:color w:val="000000"/>
          <w:sz w:val="20"/>
          <w:lang w:val="en-US" w:eastAsia="en-US" w:bidi="ar-SA"/>
        </w:rPr>
        <w:t xml:space="preserve">; and Scholton v. Chemainus Health Care Centre </w:t>
      </w:r>
      <w:hyperlink r:id="rId59" w:history="1">
        <w:r>
          <w:rPr>
            <w:rFonts w:ascii="arial" w:eastAsia="arial" w:hAnsi="arial" w:cs="arial"/>
            <w:i/>
            <w:color w:val="0077CC"/>
            <w:sz w:val="20"/>
            <w:u w:val="single"/>
            <w:shd w:val="clear" w:color="auto" w:fill="FFFFFF"/>
            <w:lang w:val="en-US" w:eastAsia="en-US" w:bidi="ar-SA"/>
          </w:rPr>
          <w:t>(1995), 29 M.P.L.R. (2d) 249</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Nevertheless, the plaintiff maintains that in the particular circumstances of this case, the requirements of the Environmental Setback Covenant and the Training Berm Statutory Right of Way are effectively incorporated in the Statutory Building Scheme by virtue of clause 15 of the Building Scheme, which provides:</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Restrictions and stipulations herein contained shall not be deemed to be exclusive either of the requirements of the By-Laws of the Municipality or of the obligations or liabilities imposed by statute or the common law on owners or occupiers of land, all of which shall be duly observed and complied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maintain that clause 15 of the Building Scheme is merely a recital of the obvious fact that the terms of the Building Scheme do not exempt owners from other obligations and liabilities that are imposed outside the Building Scheme by statute and common law. The defendants say that when clause 15 is read in the context of the entire Building Scheme, it cannot reasonably be concluded that it was the intention to incorporate all of statutory and common law by reference into the Building Scheme itself so as to make breaches of statutory and common law actionable by any of the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my view the defendants' argument must succeed on this point. The language used in clause 15 is exceedingly general. If it had been the intention to make a violation of a particular statutory right of way or restrictive covenant itself a breach of the statutory building scheme, the drafters would have made specific reference to the particular restrictive covenant or right of way in question. This point may be illustrated by comparing the general language used in clause 15 with the more specific language in clause 12 that refers specifically to setback requirements contained in the zoning bylaws of the Municipality. If clause 15 had already incorporated all laws of general application into the Building Scheme, then clause 12 would be quite superfluous.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my view, it was never the intention of the drafters of the Building Scheme to confer upon individual owners a private right to enforce perceived breaches of the Environmental Setback Covenant or the Training Berm Statutory Right of Way. It is the Municipality that has the expertise and experience to investigate alleged breaches and take appropriate action. A contrary view would invite endless litigation among neighbours for perceived breaches, whether real or imagined.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Accordingly, the plaintiff's argument that an injunction should be granted requiring the defendants, as he puts it, to "restore the Training Berm to its original elevation and remove all trees, shrubs and other non-conforming plantings from this area"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remains open, of course, for the Resort Municipality of Whistler to take action in this regard if it deems it appropriate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HOT TUB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house was built by a contractor, Paul Suter. In his affidavit he deposes that he constructed the defendants' house according to plans that were approved by David Anthony, the Design Coordinator on behalf of the developer, and in accordance with a building permit that was issued by the Resort Municipality of Whistler in November 1997. The building plans that were approved by the Municipality and the developer did not include any landscaping aspects. Construction of the defendants' home was completed in December 1998 when the Jernigans moved in. At that time, little or no landscaping had been done in the backyard, which is at the north end of the lot. Mr. Suter deposes in his affidavit that the defendant Jernigan approached him in the spring of 1999 and showed him landscaping plans that had been prepared by another company, Resort Plan International Inc. Those plans included a raised stone patio to be built adjacent to the north end of the house and a hot tub to be located on the northwest section of the patio.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Jernigan engaged Mr. Suter's company to construct the patio. Mr. Jernigan also advised Mr. Suter that although not specifically provided for in the landscaping plans, he wished to have a gazebo-like structure to enclose the hot tub.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According to Mr. Suter, he reviewed the landscape plans and told Mr. Jernigan that if the hot tub was constructed in the location shown in the landscape plans, it would encroach the Environmental Setback Covenant area and would therefore be in contravention of the Covenant. He advised Mr. Jernigan to change the location of the hot tub structure to avoid the encroachment problem, but Mr. Jernigan instructed him to go ahead with the original plans, which Mr. Suter and his company ultimately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Clause 3 of Schedule of Restrictions in the Statutory Building Scheme provides that "the owner shall comply with the design guidelines". Clause 4.3.4. of the Guidelines provides, among other things, that "privacy screening and enclosures for child play areas, hot tubs, etc. may be constructed adjacent to the house and must not extend beyond the building envelope. Gazebos, wooden swings and play structures are permitted in the rear yard, but they should not be highly visible to the golf course or adjacent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Accordingly, if the hot tub structure can properly be characterized as a privacy screening or enclosure for the hot tub, then it must not extend beyond the building envelope. Also, if the structure is properly characterized as a gazebo, then it should not be highly visible to the adjacent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am satisfied that the hot tub structure, which from the photographs appears to consist of a number of heavy posts supporting a large metal clad roof, can properly be described as privacy screening or enclosure for the hot tub which it contains. The defendants argued that it is not a privacy screening or enclosure because it does not have walls. It is, however, an elaborate structure that hides the hot tub from the view of anyone looking down from above, for example from the second or third floor of the plaintiff's home. The structure also shields users of the hot tub from the sun or rain in the summer, and protects the hot tub from falling snow in the winter. I am satisfied that on a proper construction of the language used in clause 4.3.4 of the Guidelines, it is the kind of structure that is captured by the phrase "privacy screening and enclosures for ... hot tubs". Interestingly, the defendant Steven Jernigan at paragraph 22 of his affidavit sworn February 17, 2004 himself described the structure as a "hot tub enclosure".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Accordingly, the Design Guidelines require that this structure must not extend beyond the building envelope, and that requirement, in turn, is a mandatory requirement of the Statutory Building Scheme pursuant to clause 3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defendants argue that there is no sufficient evidence to conclude that the structure was built beyond the building envelope. I do not agree. The plan shown at Exhibit K to the affidavit of the plaintiff sworn September 26, 2003 shows the location of the hot tub structure in relation to the defendants' house and its position on the defendants' lot. It is clear from that plan and from the affidavit of David MacPhail, Manager of Building Inspections for the Resort Municipality of Whistler, that the hot tub structure is built largely on the area covered by the Environmental Setback Covenant. In his affidavit, Mr. MacPhail deposes at paragraphs 20-23:</w:t>
      </w:r>
      <w:r>
        <w:rPr>
          <w:rFonts w:ascii="arial" w:eastAsia="arial" w:hAnsi="arial" w:cs="arial"/>
          <w:sz w:val="20"/>
          <w:lang w:val="en-US" w:eastAsia="en-US" w:bidi="ar-SA"/>
        </w:rPr>
        <w:cr/>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some point after obtaining the Occupancy Permit, further alterations and improvements were made to the residence on the Defendants' Property and the lot itself. Those alterations included:</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construction of a raised patio in the backyard;</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construction of a covered gazebo like structure on the patio and the installation of a hot tub within that structure;</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addition of an enclosed generator shed on the eastern side of the residence;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and</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enclosing of a balcony on the south side of the residence.</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(The "Changes")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Building Permit obtained in relation to the Defendants' Property did not encompass or contemplate any of the Changes. At no time did the owner of the Defendants' Property seek or obtain a Building Permit which included the Changes, or any of them. The Changes were effected without proper authorization and in contravention of Municipal by-laws.</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Apart from being constructed without the necessary Municipal approval and an appropriate building permit, the patio and covered hot tub expressly violate the specific terms of the Environmental Set Back Covenant. Accordingly, had the owner of the Defendants' Property applied for a building permit which included the covered hot tub and patio as currently constructed, it would not have been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Schedule "B" of the Environmental Setback Covenant specifically provides "the Covenant Area shall not be built upon nor shall any buildings, structures, equipment, chattels, furniture or improvements be placed or erected on the Covenant Area." Since the building envelope defines the area of the lot on which a building may be erected, it follows that anything that is within the covenant area cannot be within the building envelope. Accordingly, I am satisfied on a balance of probabilities that the hot tub structure violates the requirement that it "must not extend beyond the building envelope."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addition, I find that the structure could also be described as a gazebo within the meaning of clause 4.3.4 of the Building Guidelines and that it infringes the provision that gazebos "should not be highly visible to ... adjacent lots." Accordingly, I conclude that the location of the hot tub structure is in contravention of the Statutory Building Scheme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argues that the eight northernmost trees planted by the plaintiff along the line dividing the defendants' and plaintiff's lots are in violation of clauses 4.1.5 and 4.3.2 of the Design Guidelines in that they block major view lines from the plaintiff's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defendants' response is that those provisions of the Guidelines were not meant to be mandatory. In the alternative, if they purport to be mandatory, then they are not enforceable. Finally, they submit that on the facts of this case, the trees do not block a "major view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As to the first point, the defendants argue that on a proper construction, these provisions of the Design Guidelines set out what is desirable, not what is required. Clause 4.3.3 of the Guidelines, for example, talks about certain kinds of plantings which are "encouraged". More particularly, where clause 4.3.2 states, "No proposed site planting should block the sun or interrupt major view lines from adjacent lots", it is significant that the word "should" is used rather than "must". The defendants rely on Beatty v. First Exploration Fund 1987 &amp; Co. </w:t>
      </w:r>
      <w:hyperlink r:id="rId60" w:history="1">
        <w:r>
          <w:rPr>
            <w:rFonts w:ascii="arial" w:eastAsia="arial" w:hAnsi="arial" w:cs="arial"/>
            <w:i/>
            <w:color w:val="0077CC"/>
            <w:sz w:val="20"/>
            <w:u w:val="single"/>
            <w:shd w:val="clear" w:color="auto" w:fill="FFFFFF"/>
            <w:lang w:val="en-US" w:eastAsia="en-US" w:bidi="ar-SA"/>
          </w:rPr>
          <w:t>(1988), 25 B.C.L.R. (2d) 377</w:t>
        </w:r>
      </w:hyperlink>
      <w:r>
        <w:rPr>
          <w:rFonts w:ascii="arial" w:eastAsia="arial" w:hAnsi="arial" w:cs="arial"/>
          <w:color w:val="000000"/>
          <w:sz w:val="20"/>
          <w:lang w:val="en-US" w:eastAsia="en-US" w:bidi="ar-SA"/>
        </w:rPr>
        <w:t xml:space="preserve"> (S.C.) in which, in a different context, Hinds J. at p. 389 interpreted the word "should" as being permissive, not mandatory.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defendants' next argument is that the phrase "major view lines" is so imprecise and vague as to be unenforceable. The defendants refer to s. 221(2) of the Land Title Act,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 which provides that:</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registration of a restrictive covenant is not a determination by the registrar of its essential nature or enforceability.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defendants rely on Mt. Matheson Conservation Society v. 573132 B.C. Ltd. </w:t>
      </w:r>
      <w:hyperlink r:id="rId61" w:history="1">
        <w:r>
          <w:rPr>
            <w:rFonts w:ascii="arial" w:eastAsia="arial" w:hAnsi="arial" w:cs="arial"/>
            <w:i/>
            <w:color w:val="0077CC"/>
            <w:sz w:val="20"/>
            <w:u w:val="single"/>
            <w:shd w:val="clear" w:color="auto" w:fill="FFFFFF"/>
            <w:lang w:val="en-US" w:eastAsia="en-US" w:bidi="ar-SA"/>
          </w:rPr>
          <w:t>(2002), 3 R.P.R. (4th) 146</w:t>
        </w:r>
      </w:hyperlink>
      <w:r>
        <w:rPr>
          <w:rFonts w:ascii="arial" w:eastAsia="arial" w:hAnsi="arial" w:cs="arial"/>
          <w:color w:val="000000"/>
          <w:sz w:val="20"/>
          <w:lang w:val="en-US" w:eastAsia="en-US" w:bidi="ar-SA"/>
        </w:rPr>
        <w:t xml:space="preserve"> (B.C.S.C.), </w:t>
      </w:r>
      <w:hyperlink r:id="rId61" w:history="1">
        <w:r>
          <w:rPr>
            <w:rFonts w:ascii="arial" w:eastAsia="arial" w:hAnsi="arial" w:cs="arial"/>
            <w:i/>
            <w:color w:val="0077CC"/>
            <w:sz w:val="20"/>
            <w:u w:val="single"/>
            <w:shd w:val="clear" w:color="auto" w:fill="FFFFFF"/>
            <w:lang w:val="en-US" w:eastAsia="en-US" w:bidi="ar-SA"/>
          </w:rPr>
          <w:t>2002 BCSC 1254</w:t>
        </w:r>
      </w:hyperlink>
      <w:r>
        <w:rPr>
          <w:rFonts w:ascii="arial" w:eastAsia="arial" w:hAnsi="arial" w:cs="arial"/>
          <w:color w:val="000000"/>
          <w:sz w:val="20"/>
          <w:lang w:val="en-US" w:eastAsia="en-US" w:bidi="ar-SA"/>
        </w:rPr>
        <w:t xml:space="preserve"> for the proposition that the policy of the courts is to construe the language of restrictive covenants strictly and not to give effect to restrictions the effect of which is uncertain.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defendants also rely on Stenmark et al. v. Woywitka's Building Supplies Ltd. </w:t>
      </w:r>
      <w:hyperlink r:id="rId62" w:history="1">
        <w:r>
          <w:rPr>
            <w:rFonts w:ascii="arial" w:eastAsia="arial" w:hAnsi="arial" w:cs="arial"/>
            <w:i/>
            <w:color w:val="0077CC"/>
            <w:sz w:val="20"/>
            <w:u w:val="single"/>
            <w:shd w:val="clear" w:color="auto" w:fill="FFFFFF"/>
            <w:lang w:val="en-US" w:eastAsia="en-US" w:bidi="ar-SA"/>
          </w:rPr>
          <w:t>(1978), 86 D.L.R. (3d) 89</w:t>
        </w:r>
      </w:hyperlink>
      <w:r>
        <w:rPr>
          <w:rFonts w:ascii="arial" w:eastAsia="arial" w:hAnsi="arial" w:cs="arial"/>
          <w:color w:val="000000"/>
          <w:sz w:val="20"/>
          <w:lang w:val="en-US" w:eastAsia="en-US" w:bidi="ar-SA"/>
        </w:rPr>
        <w:t xml:space="preserve"> (B.C.S.C.) where Andrews J. declined to give effect to a restrictive covenant that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lot below is not to have a house located in such a way as to block the view to the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found that the language used was void for uncertainty.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plaintiff, on the other hand, argues that the principles of interpretation of statutory building schemes are different from those pertaining to other restrictive covenants because building schemes, unlike other restrictive covenants, are for the mutual benefit of all owners. The plaintiff relies particularly 417489 B.C. Ltd. v. Scana Holdings Ltd., </w:t>
      </w:r>
      <w:hyperlink r:id="rId63" w:history="1">
        <w:r>
          <w:rPr>
            <w:rFonts w:ascii="arial" w:eastAsia="arial" w:hAnsi="arial" w:cs="arial"/>
            <w:i/>
            <w:color w:val="0077CC"/>
            <w:sz w:val="20"/>
            <w:u w:val="single"/>
            <w:shd w:val="clear" w:color="auto" w:fill="FFFFFF"/>
            <w:lang w:val="en-US" w:eastAsia="en-US" w:bidi="ar-SA"/>
          </w:rPr>
          <w:t>[1997] B.C.J. No. 1333</w:t>
        </w:r>
      </w:hyperlink>
      <w:r>
        <w:rPr>
          <w:rFonts w:ascii="arial" w:eastAsia="arial" w:hAnsi="arial" w:cs="arial"/>
          <w:color w:val="000000"/>
          <w:sz w:val="20"/>
          <w:lang w:val="en-US" w:eastAsia="en-US" w:bidi="ar-SA"/>
        </w:rPr>
        <w:t xml:space="preserve"> (S.C.), where Bauman J. held that a purposive approach to the interpretation of statutory building schemes was appropriate. The plaintiff submits that in interpreting the Building Scheme and the Design Guidelines one must keep in mind the introduction at clause 1.00 of the Guidelines, which refers specifically to the panoramic views associated with the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agree with the plaintiff that since building schemes are for the mutual benefit of all owners, they should not be subject to such strict construction as might be appropriate for other forms of restrictive covenant. It is not in the interest of the owners' generally, to construe the terms of statutory building schemes so strictly that they have no practical or enforceable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Moreover, I cannot find, as the defendants contend, that the phrase "major view lines" is so vague as to be void for uncertainty. What that phrase imports, in the context of the Building Scheme, is an objective standard: major view lines are those views that any reasonable lot owner would reasonably expect to be protected against obstruction by his neighbours.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the facts of this case, however, I agree with the defendants that the plaintiff has not established that the trees in question are in violation of the Statutory Building Scheme. The building lots in this development are blessed with beautiful views in virtually every direction. Every tree and every structure is going to impede some view or other. The particular view that the plaintiff says is obstructed by the defendants' trees is a view facing diagonally from his property across the back of the defendants' property towards the northeast. As counsel for the defendants argued, in any development, and this one in particular, different lots will have different views and some lots will have a better view to the northeast than others. If a view to the northeast had been a matter of exceptional importance to the plaintiff, then he could have sought out a building lot which was situated so that either the front or back of his house would face directly in that direction. By selecting a lot which pointed due north, he cannot reasonably expect that his view off to the side, across a neighbour's property, will be completely unimpeded. Accordingly, I conclude that the plaintiff has not established that the trees in question are in violation of the Statutory Building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defendants' counterclaim was not vigorously pressed in argument. The defendants argued that the plaintiff had constructed windows on the side of his home which looked directly into private areas of the defendants' home in violation of the Guidelines. It appears, however, that those windows have subsequently been removed and that problem no longer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other aspect of the counterclaim is that there is a drainage problem whereby water may drain from the plaintiff's property onto the defendants. I am not satisfied that the evidence establishes this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counterclaim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ACTION FOR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As set out above, the defendants argue that the plaintiff's action for nuisance should be dismissed because nuisance is not actionable per se. The plaintiff's claim relates to modifications allegedly made by the defendants to the Training Berm Statutory Right of Way. I agree with the defendants that the elements of actionable nuisance have not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To summarize, all of the claims have been dismissed except for that relating to the hot tub structure. With respect to that claim, I have concluded that the location of the hot tub structure violates the Statutory Building Scheme. It is in the nature of statutory building schemes that they impose both obligations and rights on the each of the owners of property within the building scheme. As set out by Hood J. in Hemani v. British Pacific Properties Ltd. </w:t>
      </w:r>
      <w:hyperlink r:id="rId64" w:history="1">
        <w:r>
          <w:rPr>
            <w:rFonts w:ascii="arial" w:eastAsia="arial" w:hAnsi="arial" w:cs="arial"/>
            <w:i/>
            <w:color w:val="0077CC"/>
            <w:sz w:val="20"/>
            <w:u w:val="single"/>
            <w:shd w:val="clear" w:color="auto" w:fill="FFFFFF"/>
            <w:lang w:val="en-US" w:eastAsia="en-US" w:bidi="ar-SA"/>
          </w:rPr>
          <w:t>(1992), 70 B.C.L.R. (2d) 91</w:t>
        </w:r>
      </w:hyperlink>
      <w:r>
        <w:rPr>
          <w:rFonts w:ascii="arial" w:eastAsia="arial" w:hAnsi="arial" w:cs="arial"/>
          <w:color w:val="000000"/>
          <w:sz w:val="20"/>
          <w:lang w:val="en-US" w:eastAsia="en-US" w:bidi="ar-SA"/>
        </w:rPr>
        <w:t xml:space="preserve"> (S.C.) at para. 124: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then that a building scheme creates obligations among the parties to it over and above those evidenced by each lot owner's individual contract with the common vendor. Once the building scheme is established then the community of interest necessarily requires and imports reciprocity of obligation. Each lot purchaser bears the burden of his own covenant and enjoys the benefits of the covenants of all others. It follows that he is entitled to enforce those benefits against the vendor as well as the other lot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Accordingly, the plaintiff, as an owner of a property covered by the Building Scheme, is entitled to enforce the benefits of that scheme against other owners whose property is covered by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the facts of this case, the other owner is the defendant Falcon Coronet LLC. The defendant Steven Jernigan is not an owner. Counsel for the plaintiff has not provided me any authority to demonstrate how Mr. Jernigan, not being an owner, could have an order made against him in this action. Clause 19 of the Statutory Building Scheme defines "owner" to mean the registered owner of the lot. That is the defendant Falcon Coronet LLC. Accordingly, I dismiss the action against the defendant Steven Jernigan. It is premature at this time to comment on what, if any, liability Steven Jernigan may face as a director of Falcon Coronet LLC under Rule 56(2) of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It appears that the most effective method of enforcement of a statutory building scheme is a mandatory injunction: see Gilpinville Ltd. v. Dumaresq, </w:t>
      </w:r>
      <w:hyperlink r:id="rId65" w:history="1">
        <w:r>
          <w:rPr>
            <w:rFonts w:ascii="arial" w:eastAsia="arial" w:hAnsi="arial" w:cs="arial"/>
            <w:i/>
            <w:color w:val="0077CC"/>
            <w:sz w:val="20"/>
            <w:u w:val="single"/>
            <w:shd w:val="clear" w:color="auto" w:fill="FFFFFF"/>
            <w:lang w:val="en-US" w:eastAsia="en-US" w:bidi="ar-SA"/>
          </w:rPr>
          <w:t>[1927] 1 D.L.R. 730</w:t>
        </w:r>
      </w:hyperlink>
      <w:r>
        <w:rPr>
          <w:rFonts w:ascii="arial" w:eastAsia="arial" w:hAnsi="arial" w:cs="arial"/>
          <w:color w:val="000000"/>
          <w:sz w:val="20"/>
          <w:lang w:val="en-US" w:eastAsia="en-US" w:bidi="ar-SA"/>
        </w:rPr>
        <w:t xml:space="preserve"> (N.S.S.C.). This being an equitable remedy, however, its exercise is subject to certain factors which were considered in 417489 B.C. Ltd. v. Scana Holdings Ltd., </w:t>
      </w:r>
      <w:hyperlink r:id="rId66" w:history="1">
        <w:r>
          <w:rPr>
            <w:rFonts w:ascii="arial" w:eastAsia="arial" w:hAnsi="arial" w:cs="arial"/>
            <w:i/>
            <w:color w:val="0077CC"/>
            <w:sz w:val="20"/>
            <w:u w:val="single"/>
            <w:shd w:val="clear" w:color="auto" w:fill="FFFFFF"/>
            <w:lang w:val="en-US" w:eastAsia="en-US" w:bidi="ar-SA"/>
          </w:rPr>
          <w:t>[1998] B.C.J. No. 140</w:t>
        </w:r>
      </w:hyperlink>
      <w:r>
        <w:rPr>
          <w:rFonts w:ascii="arial" w:eastAsia="arial" w:hAnsi="arial" w:cs="arial"/>
          <w:color w:val="000000"/>
          <w:sz w:val="20"/>
          <w:lang w:val="en-US" w:eastAsia="en-US" w:bidi="ar-SA"/>
        </w:rPr>
        <w:t>. In that case Mr. Justice Bauman wrote at paras. 8-11: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general considerations which are relevant on applications to enforce restrictive covenants or building schemes are discussed in V. Di Castri, The Law of Vendor and Purchaser, 3d ed., Vol. 1 (Toronto: Carswell, 1988) at pp. 12- 28, para. 423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injunction is the usual remedy sought for a breach of a restrictive covenant. Prior to a breach or a threatened breach, the person entitled to the benefit of a restrictive covenant has no cause of action...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factors for consideration are: (1) the character of interest to be protected; (2) the relative adequacy to plaintiff of injunctive relief in comparison with other remedies; (3) delay, if any, in bringing an action; (4) misconduct, if any, of the plaintiff; (5) relative hardship likely to result to defendant if injunction granted and to plaintiff if it is denied; (6) interest of third persons and of the public; and (7) practicability of framing and enforcing the order or judgment.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 summarize, when one party uses a legal right to invoke a court's equitable jurisdiction as a weapon of oppression rather than in defence of a just claim, the court may recognize circumstances that justify refusing to enforce the legal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of course so, that in cases of this sort, the court may award equitable damages in lieu of a mandatory injunction in the exercise of the court's jurisdiction under Lord Cairn's Act 1858 (Imp.) c. 27: Arbutus Park Estates Ltd. v. Fuller </w:t>
      </w:r>
      <w:hyperlink r:id="rId67" w:history="1">
        <w:r>
          <w:rPr>
            <w:rFonts w:ascii="arial" w:eastAsia="arial" w:hAnsi="arial" w:cs="arial"/>
            <w:i/>
            <w:color w:val="0077CC"/>
            <w:sz w:val="20"/>
            <w:u w:val="single"/>
            <w:shd w:val="clear" w:color="auto" w:fill="FFFFFF"/>
            <w:lang w:val="en-US" w:eastAsia="en-US" w:bidi="ar-SA"/>
          </w:rPr>
          <w:t>[1977] 1 W.W.R. 729</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Still, as Di Castri points out, an injunction is the usual remedy and upon a consideration of the factors he sets out, I have no difficulty concluding that these plaintiffs are fully entitled to the fruits of their judgment, that is: the effective enforcement of the terms of the building scheme.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Nothing in the defendant's conduct herein excites my sympathy. It has taken a calculated risk with full knowledge of the plaintiffs' position. The defendant easily could have sought declaratory or s. 35 relief before it closed the transaction or broke ground on the project. It chose to press ahead and, in doing so, it cannot thereby place itself in a better position in the contest over the remedy for its breach of the building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in that case, I conclude here that there is nothing in the conduct of the defendants to excite my sympathy. The defendants decided to go ahead with the construction of the hot tub and enclosure notwithstanding the warning of Mr. Suter that its location was in contravention of the requirements attaching to the defendants' lot, as is clear from paras. 23-28 of Mr. Suter's affidavit:</w:t>
      </w:r>
      <w:r>
        <w:rPr>
          <w:rFonts w:ascii="arial" w:eastAsia="arial" w:hAnsi="arial" w:cs="arial"/>
          <w:sz w:val="20"/>
          <w:lang w:val="en-US" w:eastAsia="en-US" w:bidi="ar-SA"/>
        </w:rPr>
        <w:cr/>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Jernigan engaged My Company to construct the patio. At that time he advised me that, although it was not specifically provided for in the Landscape Plans, he wished the hot tub to be enclosed by a gazebo like structure.</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reviewed the Landscape Plans which indicated the location of the proposed patio and hot tub. Upon my review of the Landscape Plans, I advised Mr. Jernigan that if the patio and hot tub were constructed in the location provided for in the Landscape Plans, they would significantly encroach into the Covenant area in contravention of the Covenant.</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suggested to Mr. Jernigan that if he was intent on building the patio described in the Landscape Plans, he should, if nothing else, change the location of the hot tub structure and move it back in a southerly direction toward the home such that it would not encroach into the Covenant area. I explained to Mr. Jernigan that there was more than sufficient room to set back the hot tub structure and thus avoid the encroachment problem.</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further aware that the Design Guidelines prohibited the construction of gazebo like structures in backyards such that they were readily visible from neighbourhood lots. I suggested to Mr. Jernigan that setting the hot tub structure back closer to the home would reduce its visibility from neighbouring lots and thus minimize the adverse affects (sic) of building the gazebo in the backyard, contrary to the provisions of the Design Guidelines.</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Jernigan instructed me to construct the patio and hot tub enclosure in accordance with the Landscape Plans.</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Ultimately, I acceded to Mr. Jernigan's wishes and carried out the construction of the concrete slab foundation for the stone patio and the enclosure for the hot tub....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my view the plaintiff is entitled to an order against the corporate defendant requiring it to remove the hot tub structure or alternatively move it in a southerly direction so that it no longer contravenes the requirements of the Statutory Building Scheme. This removal or relocation must be completed no later than September 10, 2004. The plaintiff also asked for an order directing that the defendants pay $20,000 into court as security returnable upon their compliance with this order. I decline to make that a term of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There shall be an order for costs in favour of the plaintiff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EHRCKE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5" style="position:absolute;z-index:251764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4" w:history="1">
        <w:r>
          <w:rPr>
            <w:rFonts w:ascii="arial" w:eastAsia="arial" w:hAnsi="arial" w:cs="arial"/>
            <w:b/>
            <w:bCs/>
            <w:i/>
            <w:color w:val="0077CC"/>
            <w:kern w:val="32"/>
            <w:sz w:val="28"/>
            <w:szCs w:val="32"/>
            <w:u w:val="single"/>
            <w:shd w:val="clear" w:color="auto" w:fill="FFFFFF"/>
            <w:lang w:val="en-US" w:eastAsia="en-US" w:bidi="ar-SA"/>
          </w:rPr>
          <w:t>Super-Save Enterprises Ltd. v. 249513 B.C. Ltd. (c.o.b. Mike's Auto Towing), [2003] B.C.J. No. 1399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Powers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April 24 and 25, 2003.</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June 10, 2003.</w:t>
      </w:r>
    </w:p>
    <w:p>
      <w:pPr>
        <w:spacing w:before="120" w:line="260" w:lineRule="atLeast"/>
        <w:jc w:val="center"/>
        <w:rPr>
          <w:lang w:val="en-US" w:eastAsia="en-US" w:bidi="ar-SA"/>
        </w:rPr>
      </w:pPr>
      <w:r>
        <w:rPr>
          <w:rFonts w:ascii="arial" w:eastAsia="arial" w:hAnsi="arial" w:cs="arial"/>
          <w:color w:val="000000"/>
          <w:sz w:val="20"/>
          <w:lang w:val="en-US" w:eastAsia="en-US" w:bidi="ar-SA"/>
        </w:rPr>
        <w:t>Kamloops Registry No. 30533</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[2003] B.C.J. No. 1399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BCSC 897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36 B.L.R. (3d) 52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123 A.C.W.S. (3d) 1038</w:t>
      </w:r>
    </w:p>
    <w:p>
      <w:pPr>
        <w:spacing w:before="120" w:line="260" w:lineRule="atLeast"/>
        <w:rPr>
          <w:lang w:val="en-US" w:eastAsia="en-US" w:bidi="ar-SA"/>
        </w:rPr>
      </w:pPr>
      <w:r>
        <w:rPr>
          <w:rFonts w:ascii="arial" w:eastAsia="arial" w:hAnsi="arial" w:cs="arial"/>
          <w:color w:val="000000"/>
          <w:sz w:val="20"/>
          <w:lang w:val="en-US" w:eastAsia="en-US" w:bidi="ar-SA"/>
        </w:rPr>
        <w:t>Between Super-Save Enterprises Ltd., plaintiff, and 249513 B.C. Ltd. dba Mike's Auto Towing and Del's Propane Ltd.,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(50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46" style="position:absolute;z-index:25166336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6" w:name="Keywords_2"/>
      <w:bookmarkEnd w:id="26"/>
      <w:r>
        <w:rPr>
          <w:rFonts w:ascii="arial" w:eastAsia="arial" w:hAnsi="arial" w:cs="arial"/>
          <w:b/>
          <w:color w:val="000000"/>
          <w:sz w:val="20"/>
          <w:lang w:val="en-US" w:eastAsia="en-US" w:bidi="ar-SA"/>
        </w:rPr>
        <w:t>Torts — Interference with economic relations — Contracts — Inducing or procuring breach of contract.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7" w:name="Case Summary_2"/>
            <w:bookmarkEnd w:id="27"/>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Super-Save for damages for inducing breach of contract. Super-Save had an exclusive contract to supply propane to Mike's. Del's was also in the propane business. Del's branch manager and Mike's owner were friends. Del's manager was at Mike's place of business for an unrelated purpose when the manager asked whether Mike's was happy with his propane supplier. Mike's indicated that it was happy, but asked for a price quote. Del's asked Mike's if it had a contract with Super-Save, and Mike's said that it did not, searching through the files in front of the Del's manager. Mike's sent a quote to Del's, indicating that Super-Save would meet that price and that it was a good price. Several months later, Mike's approached Del's and again asked for a quote. Mike's again told Del's that it had no contract with Super-Save. Mike's signed an exclusive supply agreement with Del's and told Del's to disconnect Super-Save's tank and install its own. In fact, Mike's had a contract with Super-Save. As soon as Super-Save became aware of the presence of Del's tank, Super-Save faxed copies of its contract to all parties and insisted that Mike's honour that contract. Del's maintained it had no prior knowledge of this contract and continued to honour its contract to supply propane to Mike's. Super-Save argued that Del's either knew, ought to have known, or was wilfully blind to the fact that Mike's had an exclusive contract with Super-Save, and induced Mike's to breach that contract. </w:t>
            </w:r>
            <w:r>
              <w:rPr>
                <w:lang w:val="en-US" w:eastAsia="en-US" w:bidi="ar-SA"/>
              </w:rPr>
              <w:cr/>
            </w:r>
          </w:p>
          <w:p>
            <w:pPr>
              <w:spacing w:before="120" w:line="260" w:lineRule="atLeast"/>
              <w:ind w:left="240"/>
              <w:jc w:val="both"/>
              <w:rPr>
                <w:lang w:val="en-US" w:eastAsia="en-US" w:bidi="ar-SA"/>
              </w:rPr>
            </w:pPr>
            <w:bookmarkStart w:id="28" w:name="Holdings of Court_1"/>
            <w:bookmarkEnd w:id="28"/>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Del's did nothing to solicit Mike's business or encourage, persuade, or pressure Mike's to change suppliers or its relationship with Super-Save. There was no reason for Del's not to accept the statement by Mike's that it had no contract with Super-Save. There was no evidence that Del's had actual knowledge of the contract, and it honestly believed there was no contract in place. No further inquiries were necessary. Del's had no intention to cause the breach of the contract because it had no knowledge of the contract. Del's was under no obligation to breach its own contract with Mike's once it became aware of the pre-existing contract. </w:t>
            </w:r>
            <w:r>
              <w:rPr>
                <w:lang w:val="en-US" w:eastAsia="en-US" w:bidi="ar-SA"/>
              </w:rPr>
              <w:cr/>
            </w:r>
          </w:p>
          <w:p>
            <w:pPr>
              <w:rPr>
                <w:lang w:val="en-US" w:eastAsia="en-US" w:bidi="ar-SA"/>
              </w:rPr>
            </w:pPr>
          </w:p>
        </w:tc>
      </w:tr>
    </w:tbl>
    <w:p>
      <w:pPr>
        <w:jc w:val="both"/>
        <w:rPr>
          <w:lang w:val="en-US" w:eastAsia="en-US" w:bidi="ar-SA"/>
        </w:rPr>
      </w:pPr>
      <w:bookmarkStart w:id="29" w:name="Counsel_4"/>
      <w:bookmarkEnd w:id="2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47" style="position:absolute;z-index:25171456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J.R. Kitsul, for the plaintiff. A. Ammann, for the defendant, Del's Propane Ltd. No one appeared on behalf of Mike's Towing.</w:t>
      </w:r>
      <w:r>
        <w:rPr>
          <w:lang w:val="en-US" w:eastAsia="en-US" w:bidi="ar-SA"/>
        </w:rPr>
        <w:cr/>
      </w:r>
    </w:p>
    <w:p>
      <w:pPr>
        <w:spacing w:after="240"/>
        <w:rPr>
          <w:lang w:val="en-US" w:eastAsia="en-US" w:bidi="ar-SA"/>
        </w:rPr>
      </w:pPr>
      <w:bookmarkStart w:id="30" w:name="Judgment_4"/>
      <w:bookmarkEnd w:id="30"/>
      <w:r>
        <w:pict>
          <v:line id="_x0000_s1048" style="position:absolute;z-index:25176576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1" w:name="POWERS J."/>
            <w:bookmarkEnd w:id="31"/>
            <w:r>
              <w:rPr>
                <w:rFonts w:ascii="arial" w:eastAsia="arial" w:hAnsi="arial" w:cs="arial"/>
                <w:b/>
                <w:color w:val="000000"/>
                <w:sz w:val="30"/>
                <w:lang w:val="en-US" w:eastAsia="en-US" w:bidi="ar-SA"/>
              </w:rPr>
              <w:t>POWERS J.</w:t>
            </w:r>
          </w:p>
        </w:tc>
      </w:tr>
    </w:tbl>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Super-Save Enterprises Ltd. ("Super-Save") seeks damages against Del's Propane Ltd. ("Del's"), alleging that Del's wrongfully procured and induced Mike's Auto Towing ("Mike's"), to breach a contract between Mike's and Super-Save for the sale and purchase of propane. Super-Save has settled its claims against Mike's.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Super-Save and Del's have agreed that if Del's is found liable to Super-Save, the quantum of damages will be $30,000.00, plus court ordered interest.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249513 B.C. Ltd. carried on business under the style of Mike's Auto Towing. Patrick Fisher (deceased) acquired the shares in the numbered company, and began to operate Mike's in January of 2000. His father, Alan Fisher, and his father's wife had operated the company before that date. Patrick Fisher ("Fisher") had worked for Mike's as a driver from 1986 to 1990 approximately, but had no involvement in the business operations.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Steve Shilson was a branch manager for Del's in Kamloops in June of 2000. Shilson and Fisher were friends. Mike's sponsored a slow pitch ball team that Shilson and Fisher played on. Shilson attended at the offices of Mike's to speak to Patrick Fisher about the slow pitch team. Mike's had a Super-Save propane tank on its premises. During the conversation, Shilson asked Fisher if he was happy with his propane supplier. Fisher indicated he was, but asked Shilson to quote a price. Shilson recalls asking Fisher if he had a supply contract with Super-Save. Shilson's evidence is that Fisher said he did not believe they had a supply contract, and looked for one in his office. He was unable to find it and told Shilson he would check that out. Shilson did prepare and deliver a price quote to Fisher. Shilson said Fisher told him that Fisher had checked with a representative of Super-Save, Wolf Lehmann, and was told that there was no supply contract in place. Fisher told Shilson that he had discussed the price quote that he had received from Shilson with Lehmann, and Lehmann had assured him that Super-Save would meet that price. Fisher told Shilson he was staying with Super-Save, and Shilson told him that was a good deal and that was good for Mike's.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Shilson made no effort to try and encourage, persuade or pressure Mike's into changing propane suppliers. Fisher did not recall, at his examination for discovery, a discussion about a supply contract in June with either Shilson or Lehmann. I accept Shilson's evidence that Fisher did tell him there was no contract and that Fisher said he checked with Lehmann. Shilson was aware that it was usual in the propane industry to have a supply contract with a customer if the supplier provided equipment, such as tank and dispenser, to the customer. Shilson was also aware that it was important to know if a supply contract was in place to avoid interfering with any supply contract that was in place.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Shilson received a telephone call from Lehmann shortly after he provided the price quote to Fisher. Lehmann recalls a brief telephone conversation, and says he asked Shilson what he was doing going after Mike's. Lehmann says that he told Shilson that there was a supply agreement in place, and Shilson responded that he was not aware of it, and that Fisher was not sure. During cross-examination, Lehmann recalled some additional details of the conversation, consistent with Shilson's recollection, including that Lehmann had said "Do you make a habit of calling on my accounts?" Shilson's reply was "No, Patrick Fisher was a friend of the family and they called me." Lehmann also then recalled answering that he had been a long-time friend of the family. Lehmann did not recall saying that he had told Fisher that he would match Del's price. Lehmann said that he did not tell Fisher about the supply agreement when they discussed the prices, but does believe that he did tell Fisher about an exclusive supply contract at some time. Shilson's evidence is that at no time did Lehmann or Fisher ever tell him there was a supply agreement in place between Mike's and Super-Save.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were no further discussions between Fisher and Shilson about the supply of propane until approximately November 17, 2000, when Fisher attended at Del's office and asked Shilson for a price quote. He told Shilson that the prices had been increasing, and that Super-Save had not reduced his prices. Shilson told him that if he had been purchasing propane from Del's, the price would have gone up as well, because of market increases. Fisher told Shilson that he would call Super-Save and have their tank removed, and wanted Del's to provide a tank as soon as they could. Shilson spoke to his supervisor, Dieter Gartman. Gartman inquired whether there was a contract in place with another supplier, and Shilson advised him there was not one in June, and he did not believe there was one at present. Fisher's evidence in examination for discovery was that Shilson may have asked him in November whether there was a contract, and that Fisher would have told him there was not 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Fisher's evidence is that he had contacted the local office of Super-Save to inquire as to what he needed to do if he wished to switch suppliers. He spoke to someone named Hank and told him he was switching suppliers, and was told all he had to do was call when the tank was ready to be picked up. Henry Collins was in charge of the Kamloops Super-Save branch in November of 2000. Lehmann, who was the sales representative for the Kamloops branch of Super-Save, had left Super-Save in August of 2000. Collins called the Super-Save head office in November when he learned that Super-Save's driver had been turned away from Mike's, and that the Super-Save tank had been moved.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Lawrence Gibson, the executive vice-president for Super-Save, recalls receiving a telephone call on Saturday, November 18, 2000, at home, from one of his staff members. He was advised that the tank had been moved. He had the staff member fax him a copy of Mike's contract with Super-Save, and attempted to reach Mike's by telephone. He left a message, and again attempted to call him on Monday, November 20, 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Gibson spoke to Fisher, on November 20, 2000, on two occasions. Fisher and Gibson both agree that the conversations were heated. Fisher complained about the price of propane, and confirmed that he had switched to Del's. Gibson advised Fisher of the contract. Fisher confirmed that he had no knowledge of the contract. It was clear to Gibson that Fisher was refusing to have any further dealings with Super-Save.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Super-Save's counsel sent a letter to Mike's and to Del's on November 20, 2000, asserting the existence of the contract and its validity, and demanding that Mike's live up to its contract with Super-Save and that Del's respect that contract.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Del's responded on November 22, 2000, indicating that they had been told that no propane supply agreement was in place, and, on that basis, had installed their propane tank at Mike's. Super-Save faxed a copy of the contract to Del's and Mike's on November 27, 2000. The contract was dated December 17, 1990 and was renewable on two-year terms, unless cancelled with at least 180 days written notice. The contract provided: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"Super-Save agrees to sell and the Customer agrees to purchase during the period of this Agreement on the terms and conditions hereinafter set forth, the Customer's total requirements of propane, at the price set out in this Agreement, in effect from time to time, such requirements to be supplied by delivery of propane by Super-Save or its designated dealer to the storage tank(s) and related equipment at the Customer location."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Mike's sent a letter to Super-Save, dated November 28, 2000, purporting to terminate its contract with Super-Save immediately. It also disputed the authority of the person who had signed the agreement on behalf of Mike's.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Super-Save responded to Mike's and Del's, and advised Del's that they would commence an action if they felt that Del's had acted illegally by intentional interference with the contractual relations between Mike's and Super-Save.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Shilson spoke to Gartman about how they should respond, and Del's did respond by letter December 1, 2000, confirming their advice that there was no contract between Mike's and Super-Save at the time they installed their tanks. They also confirmed that Del's tank was installed at the request of Mike's and would remain in place unless Mike's asked them to remove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Despite further correspondence, the matter was not resolved and this litigation was commenced.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is clear from the evidence in Fisher's examination for discovery, and the evidence of Shilson, that Shilson did nothing to attempt to solicit business from Mike's. He simply inquired in June whether Mike's was happy with their present supplier, and Mike's requested a quote on price. Shilson inquired of Fisher on at least one occasion, whether or not there was any contract in place between Mike's and Super-Save. Shilson was assured that there was no such contract in place. Shilson did nothing to encourage, persuade, or pressure Mike's to change suppliers, or to change their relationship with Super-Save.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LAW AND 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parties agree on the basic principles of law dealing with the tort of intentional interference with the performance of a contract.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essential ingredients of the tort are knowledge of the contract, and intention to bring about a breach of the contract, conduct which results in the breach, damage to the plaintiff, and the lack of anything that might justify what the defendant did."</w:t>
      </w:r>
    </w:p>
    <w:p>
      <w:pPr>
        <w:spacing w:before="120" w:line="260" w:lineRule="atLeast"/>
        <w:ind w:left="720"/>
        <w:rPr>
          <w:lang w:val="en-US" w:eastAsia="en-US" w:bidi="ar-SA"/>
        </w:rPr>
      </w:pPr>
      <w:r>
        <w:rPr>
          <w:rFonts w:ascii="arial" w:eastAsia="arial" w:hAnsi="arial" w:cs="arial"/>
          <w:color w:val="000000"/>
          <w:sz w:val="20"/>
          <w:lang w:val="en-US" w:eastAsia="en-US" w:bidi="ar-SA"/>
        </w:rPr>
        <w:t>(The Law of Torts in Canada, Fridman, Second Edition, 2002, p. 794)</w:t>
      </w:r>
    </w:p>
    <w:p>
      <w:pPr>
        <w:spacing w:before="120" w:line="260" w:lineRule="atLeast"/>
        <w:ind w:left="720"/>
        <w:rPr>
          <w:lang w:val="en-US" w:eastAsia="en-US" w:bidi="ar-SA"/>
        </w:rPr>
      </w:pPr>
      <w:r>
        <w:rPr>
          <w:rFonts w:ascii="arial" w:eastAsia="arial" w:hAnsi="arial" w:cs="arial"/>
          <w:color w:val="000000"/>
          <w:sz w:val="20"/>
          <w:lang w:val="en-US" w:eastAsia="en-US" w:bidi="ar-SA"/>
        </w:rPr>
        <w:t>"Liability will attach if the intervener, with knowledge of the contract and intent to prevent or hinder its performance, either (1) persuades, induces or procures one of the contracting parties not to perform his obligations, or (2) commits some act, wrongful in itself, to prevent such performance."</w:t>
      </w:r>
    </w:p>
    <w:p>
      <w:pPr>
        <w:spacing w:before="120" w:line="260" w:lineRule="atLeast"/>
        <w:ind w:left="720"/>
        <w:rPr>
          <w:lang w:val="en-US" w:eastAsia="en-US" w:bidi="ar-SA"/>
        </w:rPr>
      </w:pPr>
      <w:r>
        <w:rPr>
          <w:rFonts w:ascii="arial" w:eastAsia="arial" w:hAnsi="arial" w:cs="arial"/>
          <w:color w:val="000000"/>
          <w:sz w:val="20"/>
          <w:lang w:val="en-US" w:eastAsia="en-US" w:bidi="ar-SA"/>
        </w:rPr>
        <w:t>(The Law of Torts, Fleming, Ninth Edition, p. 758)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existence of the contract is not an issue. Damages are not an issue, having been agreed upon by the parties.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issue is whether Del's had knowledge of the contract. Super-Save argues that Del's had actual knowledge or implied knowledge, or were reckless or wilfully blind about the existence of the contract. Del's argues they did everything they were required to do that was reasonably necessary when they inquired of Mike's about the existence of the contract.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Propane suppliers have a number of types of customers or accounts. Some customers simply purchase propane, as and when it is required, by having cylinders filled. Some customers are auto propane customers, and they fill their vehicles at propane dispensing stations. These customers would not have exclusive supply agreements.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Some customers are residential consumers, who may or may not own their own equipment. Some customers are commercial consumers, who may or may not own their own equipment.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If the supplier also provides the equipment, such as tanks and dispensers, then it is common to have a written contract in place. The contract regulates the use of the equipment and will often restrict who may put propane in the equipment. The contract may also, and often has, an exclusive supply clause providing that the supplier is the exclusive supplier of all of the customer's needs. This helps the supplier recover the cost of the equipment over time through profits on the sale of propane.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Occasionally, contracts are not in place due to a failure to complete the necessary paperwork, failure to have a new user sign a contract, or because the contract may have been cancelled. Occasionally, a customer will refuse to enter into an exclusive use agreement at 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However, if a supplier's equipment is in place, it is an indication that a supply agreement is probably also in place.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 is the practice of Super-Save and Del's to avoid dealing with a customer if they already have an existing exclusive provider contract with a competitor.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Super-Save has over 4,000 accounts in British Columbia. Gibson's experience is that a potential customer may not always be truthful when asked if they have a contract in place with another supplier. This may be simply to obtain a price to assist them in negotiations with their present supplier. This may also be done to enable a customer to obtain a new supplier when they have outstanding accounts with their prior supplier.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Gibson's evidence is that if a customer is unsure or does not have a copy of a contract, he would ask that they obtain one from their supplier. Gibson said there may be a direct request to the company presently supplying the customer, but acknowledged that a potential competitor would have to be careful not to tip their hand, allowing the present supplier to correct any deficiencies or complaints that the customer may have. Gibson's evidence is that he receives inquiries from competitors four or five times a year.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Del's experience, as indicated by Shilson and Gartman, is that they have never been misled by a customer about the existence of a supply contract with a competitor. They do recognize there may be various reasons why a customer may wish to switch suppliers, including outstanding accounts, and generally inquiries would be made about that issue to protect themselves from being placed in the same situation.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Del's practice is that if a customer has an existing contract, they will try and determine when it may expire and then ask the customer to communicate with them at that time, or they will communicate with the customer at that time. Del's do not have sales representatives who solicit business.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Shilson was a long-time friend of Fisher, and when advised by Fisher that there was no contract in place, accepted his word. Shilson's evidence is he had no reason to doubt Fisher's word. One of the reasons he felt a contract might not be in place is that Super-Save simply did not get a contract signed by the new owner of the business. In the present case, however, the owner of the business, being the numbered company, remained the same. The owner of the shares changed. Therefore, it would not be necessary for any new contract to be signed. There is no indication that Shilson was aware of that. There is no evidence that would allow me to conclude that Shilson or Del's did have actual knowledge of the existence of the contract.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find that Del's did not have actual knowledge of the supply contract until they received an allegation that there was a contract on November 20, 2000, after they had entered into their own contractual arrangement with Mike's. They received a copy of the agreement on November 27, 2000, by fax from Super-Save's counsel. They were certainly aware of the contract at that point, although they also knew Fisher was still raising issues with regard to its validity. Their instructions from Fisher were to leave their equipment in place and continue to supply propane.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Super-Save argues that knowledge should be imputed to Del's, because they were either reckless or wilfully blind with regard to the existence of the contract. They point to the practice of suppliers requiring written contracts, and exclusive provider contracts, when putting equipment in the field. To proceed without making any inquiries would amount to recklessness or wilful blindness, which could result in imputing knowledge.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However, Del's did make inquiries and despite the practice in the industry, I am satisfied that Shilson honestly believed that there was no contract in place.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Super-Save referred to the Supreme Court of Canada decision Sansregret v. The Queen </w:t>
      </w:r>
      <w:hyperlink r:id="rId75" w:history="1">
        <w:r>
          <w:rPr>
            <w:rFonts w:ascii="arial" w:eastAsia="arial" w:hAnsi="arial" w:cs="arial"/>
            <w:i/>
            <w:color w:val="0077CC"/>
            <w:sz w:val="20"/>
            <w:u w:val="single"/>
            <w:shd w:val="clear" w:color="auto" w:fill="FFFFFF"/>
            <w:lang w:val="en-US" w:eastAsia="en-US" w:bidi="ar-SA"/>
          </w:rPr>
          <w:t>(1985), 18 C.C.C. (3d) 223</w:t>
        </w:r>
      </w:hyperlink>
      <w:r>
        <w:rPr>
          <w:rFonts w:ascii="arial" w:eastAsia="arial" w:hAnsi="arial" w:cs="arial"/>
          <w:color w:val="000000"/>
          <w:sz w:val="20"/>
          <w:lang w:val="en-US" w:eastAsia="en-US" w:bidi="ar-SA"/>
        </w:rPr>
        <w:t>. This is a decision in a criminal case where a defence of mistake of fact was raised, and the question was whether the accused had been wilfully blind to existing facts. In dealing with the issue of wilful blindness and recklessness, the court commented at page 235: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Wilful blindness is distinct from recklessness because, while recklessness involves knowledge of a danger or risk and persistence in a course of conduct which creates a risk that the prohibited result will occur, wilful blindness arises where a person who has become aware of the need for some inquiry declines to make the inquiry because he does not wish to know the truth. He would prefer to remain ignorant. The culpability in recklessness is justified by consciousness of the risk and by proceeding in the face of it, while in wilful blindness it is justified by the accused's fault in deliberately failing to inquire when he knows there is reason for inquiry.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court further said, at page 236, quoting the words of Lord Sumner in Zamora No. 2, [1921] 1 A.C. 801 at pp. 811-2:</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"...but there are two senses in which a man is said not to know something because he does not want to know it. A thing may be troublesome to learn, and the knowledge of it, when acquired, may be uninteresting or distasteful. To refuse to know any more about the subject or anything at all is then a wilful but a real ignorance. On the other hand, a man is said not to know because he does not want to know, where the substance of the thing is borne in upon his mind with a conviction that full details or precise proofs may be dangerous, because they may embarrass his denials or compromise his protests. In such a case he flatters himself that where ignorance is safe, 'tis folly to be wise, but there he is wrong, for he has been put upon notice and his further ignorance, even though actual and complete, is a mere affectation and disguise."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However, at page 236-7, the court also quoted from Glanville Williams about the dangers of the doctrine of wilful blindness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Glanville Williams, however, warns that the rule of deliberate blindness has its dangers and is of narrow application. He says, at p. 159:</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"The rule that wilful blindness is equivalent to knowledge is essential, and is found throughout the criminal law. It is, at the same time, an unstable rule, because judges are apt to forget its very limited scope. A court can properly find wilful blindness only where it can almost be said that the defendant actually knew. He suspected the fact; he realised its probability; but he refrained from obtaining the final confirmation because he wanted in the event to be able to deny knowledge. This, and this alone, is wilful blindness. It requires in effect a finding that the defendant intended to cheat the administration of justice. Any wider definition would make the doctrine of wilful blindness indistinguishable from the civil doctrine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not obtaining knowledge."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Shilson, on behalf of Del's, did make inquiries. He suggested to Fisher, that in situations where a supplier's equipment was on site, there were usually contracts in place. He observed Fisher looking through his office files to find a contract, and then was subsequently assured by Fisher that no contract was in place, after he was told Fisher had made inquiries. This is not wilful blindness.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Super-Save argues that Del's should have gone further, doubted Fisher's word, and made direct inquiries of Super-Save. I find, in the circumstances of this case, that was not necessary.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Super-Save argues that Del's induced the breach of contract. They say that by providing an alternate source of propane and quoting a price, they were making it possible for Mike's to breach its contract with Super-Save. However, it is clear from the evidence that Del's did no more than provide a price quote. Fisher's evidence on his examination for discovery was that he had a dispute with Super-Save over the price he was paying for propane. He alleged that he made a number of calls to try and deal with that situation, but was unable to obtain a satisfactory answer. Lehmann's evidence was that he had never assured Fisher that they would meet Del's original price quoted in June of 2000. Whether Fisher is right in saying that there was an agreement to match Del's price or not, it is still clear that Fisher determined in November of 2000 that he no longer wished to purchase propane from Super-Save. He directly approached Del's asking them for a quote, and then asked them to install their equipment. Fisher also directed them to disconnect Super-Save's equipment, which was on site. Mike's entered into a written agreement with Del's, which also included an exclusive provider clause.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Fisher made it clear, in his evidence at his examination for discovery, that it was his idea to change suppliers and that Shilson, in no way, attempted to persuade, induce or procure his business.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Many of the cases speak of inducing or procuring a breach or to inveigle a breach. The Concise Oxford Dictionary, Tenth Edition, provides the following definitions: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"inveigle" verb (usu. inveigle someone into) persuade by deception or flattery.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At page 744</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"induce" verb 1. Succeed in persuading or leading (someone) to do something. 2. Bring about or give rise to.</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At page 722</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"procure" 2. Law persuade or cause to do something.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At page 1140</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actions of Del's do not fit within any of those definitions.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Fisher's evidence at discovery is that he made it clear to Gibson when speaking to him on the telephone on November 20, 2000, when he told Gibson he had already switched suppliers and no longer required or sought propane from Super-Save, that Del's did not persuade him to switch. In the circumstances of this case, it is difficult to see how it can be argued that Del's caused the breach of the contract. Certainly they had no intention to cause the breach of the contract, because they had no knowledge of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Super-Save argued that Del's caused the breach of the contract between Super-Save and Mike's when it disconnected Super-Save's tank, and connected its own on the direction of Fisher. The act of changing propane tanks followed Mike's decision to switch propane suppliers. It was not a breach or an inducement of a breach of contract by Del's. Del's was not aware of the contract with Super-Save at the time, and their actions were merely for the purposes of carrying out their obligations to Mike's, not to interfere with or induce or cause any breach of contract between Mike's and Super-Save. Even if a breach was the natural consequences of the act of disconnecting Super-save's tank, it still requires knowledge on the part of Del's before it can be said that they acted with any intent. I have found that there was no knowledge and no wilful blindness or recklessness in this case. This case is distinguishable from that relied on by the plaintiff, being Gainers Inc. v. Pocklington Holdings Inc. </w:t>
      </w:r>
      <w:hyperlink r:id="rId76" w:history="1">
        <w:r>
          <w:rPr>
            <w:rFonts w:ascii="arial" w:eastAsia="arial" w:hAnsi="arial" w:cs="arial"/>
            <w:i/>
            <w:color w:val="0077CC"/>
            <w:sz w:val="20"/>
            <w:u w:val="single"/>
            <w:shd w:val="clear" w:color="auto" w:fill="FFFFFF"/>
            <w:lang w:val="en-US" w:eastAsia="en-US" w:bidi="ar-SA"/>
          </w:rPr>
          <w:t>(2000), 194 D.L.R. (4th) 109</w:t>
        </w:r>
      </w:hyperlink>
      <w:r>
        <w:rPr>
          <w:rFonts w:ascii="arial" w:eastAsia="arial" w:hAnsi="arial" w:cs="arial"/>
          <w:color w:val="000000"/>
          <w:sz w:val="20"/>
          <w:lang w:val="en-US" w:eastAsia="en-US" w:bidi="ar-SA"/>
        </w:rPr>
        <w:t xml:space="preserve"> (Alta. C.A.). In Gainers the court talked about a person intending the natural consequences of their acts, while being presumed to intend the reasonable consequences of their acts (p. 125). The court said it was not necessary that the primary object of a person's actions be the breach of a contract, as long as the result is necessarily incidental to their actions. The court referred to instances where parties might have been reckless or wilfully blind, or failed to seek advice or employ means available to them to obtain the necessary knowledge when they ought to. The court talked about mistaken belief, at p. 126, and said that a bone fide mistaken belief may be a defence, as long as it does not result from recklessness or wilful blindness. The court also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In Z-Mark International Inc. v. Leng Novak Blais Inc. </w:t>
      </w:r>
      <w:hyperlink r:id="rId77" w:history="1">
        <w:r>
          <w:rPr>
            <w:rFonts w:ascii="arial" w:eastAsia="arial" w:hAnsi="arial" w:cs="arial"/>
            <w:i/>
            <w:color w:val="0077CC"/>
            <w:sz w:val="20"/>
            <w:u w:val="single"/>
            <w:shd w:val="clear" w:color="auto" w:fill="FFFFFF"/>
            <w:lang w:val="en-US" w:eastAsia="en-US" w:bidi="ar-SA"/>
          </w:rPr>
          <w:t>(1996), 12 O.T.C. 33</w:t>
        </w:r>
      </w:hyperlink>
      <w:r>
        <w:rPr>
          <w:rFonts w:ascii="arial" w:eastAsia="arial" w:hAnsi="arial" w:cs="arial"/>
          <w:color w:val="000000"/>
          <w:sz w:val="20"/>
          <w:lang w:val="en-US" w:eastAsia="en-US" w:bidi="ar-SA"/>
        </w:rPr>
        <w:t xml:space="preserve"> (Gen. Div.), appeal dismissed </w:t>
      </w:r>
      <w:hyperlink r:id="rId78" w:history="1">
        <w:r>
          <w:rPr>
            <w:rFonts w:ascii="arial" w:eastAsia="arial" w:hAnsi="arial" w:cs="arial"/>
            <w:i/>
            <w:color w:val="0077CC"/>
            <w:sz w:val="20"/>
            <w:u w:val="single"/>
            <w:shd w:val="clear" w:color="auto" w:fill="FFFFFF"/>
            <w:lang w:val="en-US" w:eastAsia="en-US" w:bidi="ar-SA"/>
          </w:rPr>
          <w:t>(1999), 122 O.A.C. 341</w:t>
        </w:r>
      </w:hyperlink>
      <w:r>
        <w:rPr>
          <w:rFonts w:ascii="arial" w:eastAsia="arial" w:hAnsi="arial" w:cs="arial"/>
          <w:color w:val="000000"/>
          <w:sz w:val="20"/>
          <w:lang w:val="en-US" w:eastAsia="en-US" w:bidi="ar-SA"/>
        </w:rPr>
        <w:t>, a defendant made inquiries and obtained assurances and a warranty. The court found that the defendant had no reason to doubt the assurance or the warranty and therefore the defendant was not knowingly or recklessly indifferent to a breach of contract.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 present case, Del's made inquiries and received assurances from Fisher, and I conclude they were not acting recklessly or being wilfully blind.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Del's had actual knowledge of the existence of the contract by November 27, 2000, even if Fisher still disputed its validity. Is Del's liable for continuing to supply propane at the request of Mike's after that date? Fleming deals with that at page 759, where he says: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"Exceptionally, mere failure to terminate "inconsistent dealings" is actionable: at least with respect to retaining a servant after becoming aware that he is already bound to someone else. But if the interference consists in making an inconsistent contract, knowledge attained only thereafter comes too late, even when the inconsistent contract could be rescinded with impunity."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Fleming refers to the Australian decision Sleigh v. Blight, [1969] V.R.931 (Supreme Court of Victoria). The Sleigh case involved the sale of a service station. The plaintiff oil company had a contract with the owner of the service station not to sell through the service station any oil products other than those of the plaintiff's. In addition, the agreement provided: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"Not during the continuance of the agreement without the plaintiff's prior consent in writing to cease to carry on business as a garage and service station proprietor except upon assignment to a purchaser approved in writing by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defendants entered into a contract to purchase the service station from the owners, and obtained a written representation from the owners that there was no contract in place with an oil company. After entering into the agreement to purchase the service station, the action was commenced by the plaintiffs when they became aware of the existence of a contract. The plaintiff wished to prevent the completion of the purchase of the service station by the defendants, and the defendants wished to exercise their contractual rights to complete the purchase. The plaintiffs alleged that by doing so, the defendants were wrongfully interfering with the contract between the plaintiffs and the former owners of the service station. The court found there was no principle to justify extending the tort of wrongful interference with contractual relationships to such a case. The court said at page 936:</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consider, however, that on principle there is no justification for extending the tort of wrongful interference with contractual relations to either case. As decided in D.C. Thomson &amp; Co. Ltd. v. Deakin, [1952] 2 All E.R. 361, an essential ingredient in this cause of action against a third party is that he should have interfered with another's contractual rights by some act on his part which was unlawful. Where, as in the case of a contract to purchase property, a purchaser being unaware of his vendor's personal obligations under a prior contract with another, that party thereby innocently acquired contractual rights against his vendor, but subsequently learns that by completing his vendor would break his contract with another party, on what rational principle is he to be denied his contractual rights to insist on completion of his own contract? Although no doubt the case may be clearer where the subsequent purchaser has no legal escape from his contract, again on principle it should make no difference, I consider, that his contract may happen to be voidable by him. After all, a voidable contract is valid and enforceable unless and until avoided at the election of a party entitled to avoid it, and why should it be considered an unlawful act on his part if, preferring his own contractual rights, he elects to affirm the contract rather than forego them for the benefit of another? In the conflict in such a case between the third party's own contractual rights lawfully acquired, and those of the plaintiff, on what principle are the contractual rights of the plaintiff to be preferred, and the third party's action in asserting his own contractual rights to be deemed as unlawful acts?</w:t>
      </w:r>
    </w:p>
    <w:p>
      <w:pPr>
        <w:spacing w:before="120" w:line="260" w:lineRule="atLeast"/>
        <w:ind w:left="720"/>
        <w:rPr>
          <w:lang w:val="en-US" w:eastAsia="en-US" w:bidi="ar-SA"/>
        </w:rPr>
      </w:pPr>
      <w:r>
        <w:rPr>
          <w:rFonts w:ascii="arial" w:eastAsia="arial" w:hAnsi="arial" w:cs="arial"/>
          <w:color w:val="000000"/>
          <w:sz w:val="20"/>
          <w:lang w:val="en-US" w:eastAsia="en-US" w:bidi="ar-SA"/>
        </w:rPr>
        <w:t>The conclusion I have reached with due respect is that the broad proposition as stated by Jenkins, L.J., not only finds no support from authority-save in cases of interference between master and servant, which have a historical basis-and on principle has nothing to commend it. Support for this conclusion will be found in articles by Payne in Current Legal Problems, vol.7, p. 104, and by Professor Lunterpacht in 52 L.Q.R. 494.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have not found any other reference to this case, and it is not binding on a court in British Columbia, but I agree with its reasoning.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This is the same situation Del's finds itself in. There was no justification in principle for it to forego its contractual rights or, alternatively, breach its contractual obligations to Mike's when it subsequently became aware of Mike's inconsistent contractual relations with Super-Save.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This case is distinct from those cases referred to by the plaintiff which involved labour disputes, such as Emerald Construction Co. Ltd. v. Lowthian and Others, [1966] 1 W.L.R. 691 (C.A.), where the court found intent established when the defendants intended to bring about an end to a contract, including its breach, if there were no lawful means to end it and Merkur Island Shipping Corporation v. Laughton and Others, [1983] 2 A.C. 570 (H.L.) (where a union interfered with, and prevented the carrying out of, a contract which they must have known existed, even if they were not aware of its precise terms.) In these two cases, there clearly was an intention to prevent the completion of the contracts. In Torquay Hotel Co. Ltd. v. Cousins and Others, [1969] 2 Ch.106 (C.A.), a union, which did not represent employees at a particular hotel, directly interfered with the delivery of oil supplies to that hotel, and the court concluded this was deliberate and direct inference with a contract which the union must have been aware of, because they specifically called the supplier telling them any deliveries would be stopped. All of these cases are considerably different from the case before 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find that Super-Save has failed to prove its claim against Del's for intentional interference with the performance of its contract with Mikes.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claim is dismissed with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POWERS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108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9"/>
          <w:headerReference w:type="default" r:id="rId80"/>
          <w:footerReference w:type="even" r:id="rId81"/>
          <w:footerReference w:type="default" r:id="rId82"/>
          <w:headerReference w:type="first" r:id="rId83"/>
          <w:footerReference w:type="first" r:id="rId8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5" w:history="1">
        <w:r>
          <w:rPr>
            <w:rFonts w:ascii="arial" w:eastAsia="arial" w:hAnsi="arial" w:cs="arial"/>
            <w:b/>
            <w:bCs/>
            <w:i/>
            <w:color w:val="0077CC"/>
            <w:kern w:val="32"/>
            <w:sz w:val="28"/>
            <w:szCs w:val="32"/>
            <w:u w:val="single"/>
            <w:shd w:val="clear" w:color="auto" w:fill="FFFFFF"/>
            <w:lang w:val="en-US" w:eastAsia="en-US" w:bidi="ar-SA"/>
          </w:rPr>
          <w:t>Watson v. Bank of America Corp., [2014] B.C.J. No. 534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R.J. Bauman C.J.B.C.</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By teleconference, April 22-26, 29-30, May 1-2, July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30, October 30-31, 2013; by written submissions, December 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2013; February 11, 24 and March 4,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27,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534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532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Mary Watson, Plaintiff, and Bank of America Corporation, BMO Financial Group, Bank of Nova Scotia, Canadian Imperial Bank of Commerce, Capital One Bank (Canada Branch), Citigroup Inc., Fédération des caisses Desjardins du Québec, MasterCard International Incorporated, National Bank of Canada Inc., Royal Bank of Canada, Toronto-Dominion Bank, and Visa Canada Corporation,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(362 paras.)</w:t>
      </w:r>
    </w:p>
    <w:p>
      <w:pPr>
        <w:jc w:val="both"/>
        <w:rPr>
          <w:rFonts w:ascii="arial" w:eastAsia="arial" w:hAnsi="arial" w:cs="arial"/>
          <w:sz w:val="20"/>
          <w:lang w:val="en-US" w:eastAsia="en-US" w:bidi="ar-SA"/>
        </w:rPr>
      </w:pPr>
      <w:bookmarkStart w:id="32" w:name="Counsel_5"/>
      <w:bookmarkEnd w:id="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0"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Counsel for the Plaintiff: Mary Watson:</w:t>
      </w:r>
      <w:r>
        <w:rPr>
          <w:rFonts w:ascii="arial" w:eastAsia="arial" w:hAnsi="arial" w:cs="arial"/>
          <w:color w:val="000000"/>
          <w:sz w:val="20"/>
          <w:lang w:val="en-US" w:eastAsia="en-US" w:bidi="ar-SA"/>
        </w:rPr>
        <w:t xml:space="preserve"> R.M. Mogerman, W.K. Branch, D.G.A. Jones, L. Brasil.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Counsel for the Defendants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Bank of America Corporation: R.W. Staley, M.A. Eizenga.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BMO Financial Group: M. Jamal, W.D. Rankin.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Bank of Nova Scotia: M. Sclisizzi, B.W. Dixon.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Imperial Bank of Commerce: K.L. Kay, D.K. Royal.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Capital One Bank (Canada Branch): J.K. McEwan, Q.C., C.E. Hunter.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Citigroup Inc.: M.D. Adlem, S.P. Strukoff.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Fédération des caisses Desjardins du Québec: R. Anderson, Q.C., C. Chatelain, V. de l'Étoile.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MasterCard International Incorporated: J.B. Simpson, D.W. Kent, J.B. Musgrove.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National Bank of Canada: W. McNamara, R.C. Sutton.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Royal Bank of Canada: D.G. Cowper, Q.C., A. Borrell.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Toronto-Dominion Bank: F.P. Morrison, C. Lonsdale, J.S. Yates.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Visa Canada Corporation: R.E. Kwinter, D.T. Neave, J.R. Lysyk.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 w:name="Judgment_5"/>
      <w:bookmarkEnd w:id="33"/>
      <w:r>
        <w:pict>
          <v:line id="_x0000_s1051" style="position:absolute;z-index:2517155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4" w:name="R.J. BAUMAN C.J.B.C."/>
            <w:bookmarkEnd w:id="34"/>
            <w:r>
              <w:rPr>
                <w:rFonts w:ascii="arial" w:eastAsia="arial" w:hAnsi="arial" w:cs="arial"/>
                <w:b/>
                <w:color w:val="000000"/>
                <w:sz w:val="30"/>
                <w:lang w:val="en-US" w:eastAsia="en-US" w:bidi="ar-SA"/>
              </w:rPr>
              <w:t>R.J. BAUMAN C.J.B.C.</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seeks to represent two classes of Canadian merchants who accepted payments for goods or services by way of Visa or MasterCard credit cards commencing on 28 March 2001 and continuing through to the present. The plaintiff seeks certification of this proceeding under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include some of the largest financial institutions in Canada and the two dominant credit card networks in this country: Visa Canada Corporation ("Visa") and MasterCard International Incorporated ("MasterCard").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are five players in the two credit card networks affected by these proceedings. They are:</w:t>
      </w:r>
      <w:r>
        <w:rPr>
          <w:rFonts w:ascii="arial" w:eastAsia="arial" w:hAnsi="arial" w:cs="arial"/>
          <w:sz w:val="20"/>
          <w:lang w:val="en-US" w:eastAsia="en-US" w:bidi="ar-SA"/>
        </w:rPr>
        <w:cr/>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networks themselves, i.e. Visa and MasterCard;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financial institutions ("Issuers") that issue credit cards to cardholders, neither Visa nor MasterCard actually issue credit cards and except for Visa and MasterCard, all of the defendants in this case are or were Issuers;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institutions ("Acquirers") that enter into arrangements with merchants that permit the latter to accept various Visa and/or MasterCard credit cards and, via the network, receive payment for goods and services provided to cardholders - some Issuers, including some of the defendants, are also Acquirers but that is not always the case;</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merchants who accept various Visa and MasterCard credit cards; and</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cardholders.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alleges that the defendants have breached various provisions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R.S.C. 1985, c. C-34</w:t>
        </w:r>
      </w:hyperlink>
      <w:r>
        <w:rPr>
          <w:rFonts w:ascii="arial" w:eastAsia="arial" w:hAnsi="arial" w:cs="arial"/>
          <w:color w:val="000000"/>
          <w:sz w:val="20"/>
          <w:lang w:val="en-US" w:eastAsia="en-US" w:bidi="ar-SA"/>
        </w:rPr>
        <w:t>, engaged in civil conspiracies, and unlawfully interfered with the economic interests of the proposed class members. These causes of action are said to be continuing.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Dominating the litigation are the so-called "Default Interchange Fees" which are paid by Acquirers to Issuers. The Default Interchange Fees (set respectively by Visa and MasterCard), in turn, form the largest portion of the fees ("Merchant Discount Fees" or "Card Acceptance Fees") paid by merchants to Acquirers, at least on the plaintiff's characterization of the evidence. Merchant Discount Fees are paid by the members of the proposed classes to their Acquirers as the price for access to the credit card networks for the payment for the goods and services supplied to their customers. The effect of interchange is that merchants do not receive 100% of the price paid by cardholders for their goods and services. The actual percentage received by merchants depends on the exact card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Also at issue are the "Network Rules" set by Visa and MasterCard that govern merchant participation in the credit card networks. These rules include, as I will define them below:</w:t>
      </w:r>
      <w:r>
        <w:rPr>
          <w:rFonts w:ascii="arial" w:eastAsia="arial" w:hAnsi="arial" w:cs="arial"/>
          <w:sz w:val="20"/>
          <w:lang w:val="en-US" w:eastAsia="en-US" w:bidi="ar-SA"/>
        </w:rPr>
        <w:cr/>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"Honour All Cards Rule";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 Surcharge Rule"; and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 Discrimination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defendants vigorously deny the allegations, and forcefully submit that there is no genuine controversy before the Court. Over the course of a nine-day certification hearing and various supplemental hearings and submissions, the defendants, in principal submissions running more than 147 pages, exclusive of appendices, literally dissect the plaintiff's alleged causes of action, and proposed litigation plan in joining issue on virtually every certification requirement under s. 4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on the contrary, says that the case for certification is quite straightforward.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addition to the certification application, the plaintiff seeks to amend the Notice of Civil Claim and the defendants apply to strike it. My reasons will deal with the issues as follows. In Part II, I will outline the general background to the credit card industry in Canada and I will discuss other proceedings in Canada, the United States, Australia, New Zealand, and the European Union which touch on the complaints levelled by the plaintiff. In Part III, I will examine in some detail the proposed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Part IV, I will discuss the legal principles which generally govern the Court's consideration of applications to certify class proceedings under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Part V, I will discuss the case under each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s. 4(1) certification requirements and I will end in Part VI with my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This certification application was originally heard at the end of April 2013. Since then, these reasons have been delayed so that I could incorporate the effect of four substantial decisions that impact this case:</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Competition Tribunal's decision in </w:t>
      </w:r>
      <w:r>
        <w:rPr>
          <w:rFonts w:ascii="arial" w:eastAsia="arial" w:hAnsi="arial" w:cs="arial"/>
          <w:i/>
          <w:color w:val="000000"/>
          <w:sz w:val="20"/>
          <w:lang w:val="en-US" w:eastAsia="en-US" w:bidi="ar-SA"/>
        </w:rPr>
        <w:t>The Commissioner of Competition v. Visa Canada Corporation and MasterCard International Incorporated</w:t>
      </w:r>
      <w:r>
        <w:rPr>
          <w:rFonts w:ascii="arial" w:eastAsia="arial" w:hAnsi="arial" w:cs="arial"/>
          <w:color w:val="000000"/>
          <w:sz w:val="20"/>
          <w:lang w:val="en-US" w:eastAsia="en-US" w:bidi="ar-SA"/>
        </w:rPr>
        <w:t xml:space="preserve">, </w:t>
      </w:r>
      <w:hyperlink r:id="rId87" w:history="1">
        <w:r>
          <w:rPr>
            <w:rFonts w:ascii="arial" w:eastAsia="arial" w:hAnsi="arial" w:cs="arial"/>
            <w:i/>
            <w:color w:val="0077CC"/>
            <w:sz w:val="20"/>
            <w:u w:val="single"/>
            <w:shd w:val="clear" w:color="auto" w:fill="FFFFFF"/>
            <w:lang w:val="en-US" w:eastAsia="en-US" w:bidi="ar-SA"/>
          </w:rPr>
          <w:t>2013 Comp. Trib. 10</w:t>
        </w:r>
      </w:hyperlink>
      <w:r>
        <w:rPr>
          <w:rFonts w:ascii="arial" w:eastAsia="arial" w:hAnsi="arial" w:cs="arial"/>
          <w:color w:val="000000"/>
          <w:sz w:val="20"/>
          <w:lang w:val="en-US" w:eastAsia="en-US" w:bidi="ar-SA"/>
        </w:rPr>
        <w:t>, that was released in September 2013;</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Supreme Court of Canada's judgment in </w:t>
      </w:r>
      <w:r>
        <w:rPr>
          <w:rFonts w:ascii="arial" w:eastAsia="arial" w:hAnsi="arial" w:cs="arial"/>
          <w:i/>
          <w:color w:val="000000"/>
          <w:sz w:val="20"/>
          <w:lang w:val="en-US" w:eastAsia="en-US" w:bidi="ar-SA"/>
        </w:rPr>
        <w:t>Pro-Sys Consultants Ltd. v. Microsoft Corporation</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2013 SCC 57</w:t>
        </w:r>
      </w:hyperlink>
      <w:r>
        <w:rPr>
          <w:rFonts w:ascii="arial" w:eastAsia="arial" w:hAnsi="arial" w:cs="arial"/>
          <w:color w:val="000000"/>
          <w:sz w:val="20"/>
          <w:lang w:val="en-US" w:eastAsia="en-US" w:bidi="ar-SA"/>
        </w:rPr>
        <w:t>, that was released in October 2013;</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of Appeal's judgment in </w:t>
      </w:r>
      <w:r>
        <w:rPr>
          <w:rFonts w:ascii="arial" w:eastAsia="arial" w:hAnsi="arial" w:cs="arial"/>
          <w:i/>
          <w:color w:val="000000"/>
          <w:sz w:val="20"/>
          <w:lang w:val="en-US" w:eastAsia="en-US" w:bidi="ar-SA"/>
        </w:rPr>
        <w:t>Wakelam v. Wyeth Consumer Healthcare/Wyeth Soins de Sante Inc.</w:t>
      </w:r>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2014 BCCA 36</w:t>
        </w:r>
      </w:hyperlink>
      <w:r>
        <w:rPr>
          <w:rFonts w:ascii="arial" w:eastAsia="arial" w:hAnsi="arial" w:cs="arial"/>
          <w:color w:val="000000"/>
          <w:sz w:val="20"/>
          <w:lang w:val="en-US" w:eastAsia="en-US" w:bidi="ar-SA"/>
        </w:rPr>
        <w:t>, that was released in January 2014; and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Supreme Court of Canada's judgment in </w:t>
      </w:r>
      <w:r>
        <w:rPr>
          <w:rFonts w:ascii="arial" w:eastAsia="arial" w:hAnsi="arial" w:cs="arial"/>
          <w:i/>
          <w:color w:val="000000"/>
          <w:sz w:val="20"/>
          <w:lang w:val="en-US" w:eastAsia="en-US" w:bidi="ar-SA"/>
        </w:rPr>
        <w:t>A.I. Enterprises Ltd. v. Bram Enterprises Ltd.</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2014 SCC 12</w:t>
        </w:r>
      </w:hyperlink>
      <w:r>
        <w:rPr>
          <w:rFonts w:ascii="arial" w:eastAsia="arial" w:hAnsi="arial" w:cs="arial"/>
          <w:color w:val="000000"/>
          <w:sz w:val="20"/>
          <w:lang w:val="en-US" w:eastAsia="en-US" w:bidi="ar-SA"/>
        </w:rPr>
        <w:t>, that was also released in January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was necessary for the parties to tender supplemental submissions in response to each of these four decisions, and I am grateful for their able submissions in each instance; these reasons were delayed as a result.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w:t>
      </w:r>
      <w:r>
        <w:rPr>
          <w:rFonts w:ascii="arial" w:eastAsia="arial" w:hAnsi="arial" w:cs="arial"/>
          <w:b/>
          <w:color w:val="000000"/>
          <w:sz w:val="20"/>
          <w:lang w:val="en-US" w:eastAsia="en-US" w:bidi="ar-SA"/>
        </w:rPr>
        <w:t>BACKGROUND TO THE CREDIT CARD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Many of the affiants before the Court describe the credit card industry in Canada generally. What follows is based largely on the evidence of the expert economist tendered by the plaintiff, Dr. James A. Brander, the Asia-Pacific Professor of International Business at the Sauder School of Business at the University of British Columbia. Dr. Brander's evidence in this regard is largely uncontroversial.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Both Visa and MasterCard operate networks that provide infrastructure and services enabling merchants to obtain authorization, clearance and settlement of transactions ("credit card network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 number of schematics purporting to depict a typical credit card transaction, and the flow of information and money between the players, were tendered on the certification hearing. Each arguably contains some slight inaccuracies or, at least, does not depict all of the various nuances in such transactions. However, I will reproduce that offered by Dr. Brander at paragraph 23 of his first affidavit:</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408pt;height:339.75pt">
            <v:imagedata r:id="rId91"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Some of the differing nuances are identified in the narrative description of a typical Visa credit card transaction found in the evidence of Brian Weiner's first affidavit. Mr. Weiner is the head of Strategy and Interchange at Visa and he deposed (at paras. 36-44):</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typical Visa credit card transaction, when a credit card customer purchases goods or services from the merchant using a Visa credit card, the merchant provides the relevant card data electronically to the Acquirer (or to a third party firm acting on the Acquirer's behalf). The Acquirer presents the data to Visa through the visa network, and Visa in turn contacts the Issuer (that issued the credit card to the customer) to approve the transaction (which would include, for example, evaluating the amount of funds available in the customer's credit line). The Issuer then advises Visa whether it is approving or declining the transaction. Visa relays that message to the Acquirer. This transmittal of transaction information from the Acquirer to the Issuer and back over the Visa network to the Acquirer, for purposes of determining whether the purchase is approved, is known as "authorization" and typically takes less than one second.</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Once the Acquirer knows whether the Issuer approves the transaction, the Acquirer notifies the merchant through a message to the card terminal at the merchant's point of sale. If the transaction has been authorized, the merchant provides the goods or services to the cardholder, and indicates to its Acquirer that the transaction has been completed.</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Acquirer then sends a request to the Issuer for payment through the Visa network. The Issuer pays the Acquirer (through the Visa network) the amount of the purchase price of the goods or services provided by the merchant (usually within 24 to 48 hours), less a fee known as the "interchange fee." The Acquirer pays the merchant for the price of goods or services sold, less the Merchant Discount Fee (the fee for the Acquirer's services). The VIORs [Visa International Operating Regulations] require the Acquirer to credit promptly the merchant's account.</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this example traces through a single Visa credit card purchase. Issuers do not transfer funds to Acquirers for each separate transaction. Rather, at the end of each business day, Visa determines the net position of each Issuer and each Acquirer. The processing by Visa of information regarding amounts owed by Issuers and Acquirers to each other, and processing by Visa of payments from Issuers to Acquirers is known as "clearing and settlement."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a monthly billing cycle, the Issuer will send the cardholder a credit card statement for payment of the purchases made within a grace period, after which interest typically accrues. The Issuer (which has already paid the Acquirer and which it in turn has already paid the merchant) bears the risk that the cardholder will not pay the Issuer for the purchase that he or she made.</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Visa's revenues are tied directly to the number and value of transactions on its system (i.e. network volume). Visa seeks to maximize transaction volume on its payments network in order to increase its revenues.</w:t>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Visa's principal source of revenue is the network service and processing fees paid by Issuers and Acquirers with which it contracts for use of Visa trademarks, authorization, clearing and settlement of transactions over the Visa network and related services.</w:t>
      </w:r>
    </w:p>
    <w:p>
      <w:pPr>
        <w:numPr>
          <w:numId w:val="2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example, both Issuers and Acquirers pay quarterly service fees, which are calculated as a percentage of sales volume. Fees are also charged to Issuers and Acquirers on a per transaction basis for authorization, clearing and settlement, with the amount of the fee depending upon technological processing choices made by Issuers and Acquirers. Visa also charges Issuers and/or Acquirers for other services, including international transactions, copies of documents, optional fraud/risk management services, optional emergency customer assistance services, arbitration, and training and workshops.</w:t>
      </w:r>
    </w:p>
    <w:p>
      <w:pPr>
        <w:numPr>
          <w:numId w:val="2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Visa does not receive any revenue from the interchange fees that Acquirers pay to Issuers or any portion of the Merchant Discount Fees that Acquirers charge to merchants. As I explain more fully below, interchange plays a key role as a balancing mechanism designed to maximize network volume, but Visa does not receive revenues from interchange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for the scope of the credit card business in Canada, Visa (which became a publically traded corporation in March 2008) has issued approximately 32.4 million Visa credit cards which are accepted by approximately 493,300 merchants (approximately 150,000 of whom are located in British Columbia). There are approximately 44 million MasterCard credit cards in circulation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According to the plaintiff, Visa and MasterCard have entered into agreements with Acquirers which, in turn, require the Acquirers to impose and enforce a set of requirements on merchants. Dr. Brander describes these requirements at paras. 37-42 of his first affidavit; he also provides his economic critique of these requirements:</w:t>
      </w:r>
      <w:r>
        <w:rPr>
          <w:rFonts w:ascii="arial" w:eastAsia="arial" w:hAnsi="arial" w:cs="arial"/>
          <w:sz w:val="20"/>
          <w:lang w:val="en-US" w:eastAsia="en-US" w:bidi="ar-SA"/>
        </w:rPr>
        <w:cr/>
      </w:r>
    </w:p>
    <w:p>
      <w:pPr>
        <w:numPr>
          <w:numId w:val="2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rules include four requirements of particular interest, three of which are referred to as </w:t>
      </w:r>
      <w:r>
        <w:rPr>
          <w:rFonts w:ascii="arial" w:eastAsia="arial" w:hAnsi="arial" w:cs="arial"/>
          <w:i/>
          <w:color w:val="000000"/>
          <w:sz w:val="20"/>
          <w:lang w:val="en-US" w:eastAsia="en-US" w:bidi="ar-SA"/>
        </w:rPr>
        <w:t>merchant restraints,</w:t>
      </w:r>
      <w:r>
        <w:rPr>
          <w:rFonts w:ascii="arial" w:eastAsia="arial" w:hAnsi="arial" w:cs="arial"/>
          <w:color w:val="000000"/>
          <w:sz w:val="20"/>
          <w:lang w:val="en-US" w:eastAsia="en-US" w:bidi="ar-SA"/>
        </w:rPr>
        <w:t xml:space="preserve"> along with a fourth rule related to the setting of interchange fees.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rules are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The Honour All Cards Rule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 The No Surcharge Rule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 The No Discrimination Rule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 The Default Interchange Rule</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Honour All Cards Rule requires that a merchant must honour (i.e. accept) all credit cards of the same network (Visa or MasterCard). From an economic point of view I see this rule as a form of "'tied selling". A merchant who wishes to purchase one class of credit card services, such as services associated with a basic "'no frills" credit card, is also required to purchase other services, such as services associated with premium credit cards. If a merchant could opt out of accepting premium cards, such cards would be less attractive to customers. Thus, this provision artificially enhances the demand for premium cards and enhances the overall market power of the underlying credit card network (Visa or MasterCard). Furthermore, this rule prevents a merchant from declining to accept credit cards from a particular issuer.</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 Surcharge Rule prevents merchants from charging a surcharge or extra fee for transactions using a particular credit card, such as premium credit cards that impose higher costs on merchants. This rule, in effect, prohibits merchants from setting prices that reflect the actual cost of the payment method chosen by the customer on a transaction by transaction basis. One economic effect of such a rule is to restrict competition between different credit cards given that merchants cannot charge impose a surcharge on transaction paid by premium cards to discourage other means of payment that might otherwise be treated more favourably by merchants.</w:t>
      </w:r>
    </w:p>
    <w:p>
      <w:pPr>
        <w:numPr>
          <w:numId w:val="2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 Discrimination Rule requires that merchants not make it more difficult to pay by one credit card rather than another and also requires that preferential treatment not be offered to customers paying by other means. As with the no surcharge rule, this rule restricts competition between different credit cards.</w:t>
      </w:r>
    </w:p>
    <w:p>
      <w:pPr>
        <w:numPr>
          <w:numId w:val="2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Default Interchange Rule gives Visa and MasterCard the ability to establish default interchange fees for their respective networks that will apply except in the rare circumstance than an alternative rate is allowed and implemented. Such a rule allows Visa and MasterCard (and the associated conspiracies) to control pricing of credit card network services.</w:t>
      </w:r>
    </w:p>
    <w:p>
      <w:pPr>
        <w:numPr>
          <w:numId w:val="2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net effect of these provisions is to reduce price competition for payment methods and to enhance barriers to entry and market power for the Visa and MasterCard networks. If merchants were able to charge the full cost they incur, on a transaction by transaction basis, for particular credit cards, such as premium cards, then customers would be more inclined to use lower cost methods of payment, such as "no-frills" credit cards. In the absence of these rules it is likely, in my view, that issuing banks of a given type of card (Visa or MasterCard) would be more competitive with one another.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should note two points. First, the "No Discrimination Rule" appears to be confined to the MasterCard network. Second, the defendants object that there is no Default Interchange Rule as such. However, there are schedules of default interchange rates in both networks which are automatically applied between Issuers and Acquirers in the absence of any specific negotiated rate and the evidence on this application supports Dr. Brander's assertion that alternative rates are a "rare circumstance". I would suggest an exceedingly rare circumstance.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homogeneity of the proposed classes of merchants is potentially affected by the existence of small numbers of merchants who are themselves Issuers and merchants who are so-called co-branders - ones who have associated their companies expressly with a credit card network, for example, the General Motors Visa card.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quite dramatically contrasted the fact that they literally represent the largest and most respected financial institutions in Canada with the serious allegations of corporate impropriety levelled at them by the plaintiff over the 29 pages of the Amended Notice of Civil Claim. This submission was as much to say: how could such large and revered institutions have ever stooped to the scandalous conduct alleged by this reckless plaintiff? While, in part, it is an effective bit of advocacy in setting a realistic stage for the plaintiff's difficult case, its relevance on the certification hearing bears serious critical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But it does make relevant the following discussion of proceedings involving a number of these defendants before the Competition Tribunal and proceedings, similar to those at bar, involving other distinguished financial institutions in the United States and within the European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December 2010, the Commissioner of Competition brought an application before the Competition Tribunal asserting that Visa and MasterCard engaged in price maintenance contrary to s. 76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Specifically, the Commissioner sought an order restraining Visa and MasterCard from implementing or enforcing the Honour All Cards Rule, the No Surcharge Rule and the No Discrimination Rule. Toronto-Dominion Bank ("TD"), an Issuer and a defendant in this case, was granted leave to intervene in the proceedings, but the Commissioner's application did not target issuers of credit cards, nor did it deal with the provisions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that are in issue in this case. The Tribunal's complete decision, </w:t>
      </w:r>
      <w:r>
        <w:rPr>
          <w:rFonts w:ascii="arial" w:eastAsia="arial" w:hAnsi="arial" w:cs="arial"/>
          <w:i/>
          <w:color w:val="000000"/>
          <w:sz w:val="20"/>
          <w:lang w:val="en-US" w:eastAsia="en-US" w:bidi="ar-SA"/>
        </w:rPr>
        <w:t>The Commissioner of Competition v. Visa Canada Corporation and MasterCard International Incorporated</w:t>
      </w:r>
      <w:r>
        <w:rPr>
          <w:rFonts w:ascii="arial" w:eastAsia="arial" w:hAnsi="arial" w:cs="arial"/>
          <w:color w:val="000000"/>
          <w:sz w:val="20"/>
          <w:lang w:val="en-US" w:eastAsia="en-US" w:bidi="ar-SA"/>
        </w:rPr>
        <w:t xml:space="preserve">, </w:t>
      </w:r>
      <w:hyperlink r:id="rId87" w:history="1">
        <w:r>
          <w:rPr>
            <w:rFonts w:ascii="arial" w:eastAsia="arial" w:hAnsi="arial" w:cs="arial"/>
            <w:i/>
            <w:color w:val="0077CC"/>
            <w:sz w:val="20"/>
            <w:u w:val="single"/>
            <w:shd w:val="clear" w:color="auto" w:fill="FFFFFF"/>
            <w:lang w:val="en-US" w:eastAsia="en-US" w:bidi="ar-SA"/>
          </w:rPr>
          <w:t>2013 Comp. Trib. 10</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Tribunal Decision</w:t>
      </w:r>
      <w:r>
        <w:rPr>
          <w:rFonts w:ascii="arial" w:eastAsia="arial" w:hAnsi="arial" w:cs="arial"/>
          <w:color w:val="000000"/>
          <w:sz w:val="20"/>
          <w:lang w:val="en-US" w:eastAsia="en-US" w:bidi="ar-SA"/>
        </w:rPr>
        <w:t>") was released on 9 September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Tribunal reviewed the legislative history of s. 76, which was added to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in 2009 to replace s. 61, which was repealed at the same time and is in issue in this case. In analyzing the new provision, the Tribunal found that a resale of the product in question was a required element of the offence. After analyzing the Canadian credit card market, the Tribunal concluded that no resale existed (at paras. 147-148):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[147] The Tribunal has carefully reviewed the evidence adduced regarding the products sold by Visa and MasterCard and those sold by Acquirers. It finds that the products sold by the Respondents to Acquirers can be described as "Credit Card Network Services" and those sold by Acquirers to Merchants can be described as "Credit Card Acceptance Services". These services are different and Acquirers do not resell either Visa or MasterCard Credit Card Network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[148] Visa and MasterCard operate their respective networks by which MasterCard or Visa card transactions are authorized and paid. They supply authorization, clearance and settlement of transactions services to Acquirers over their respective network ("Credit Card Network Services"). Acquirers, on the other hand, provide to Merchants services that enable them to accept credit cards ("Credit Card Acceptance Services"), which services are different than those of Visa and MasterCard.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Commissioner's failure to establish a resale was, on its own, fatal to the application: </w:t>
      </w:r>
      <w:r>
        <w:rPr>
          <w:rFonts w:ascii="arial" w:eastAsia="arial" w:hAnsi="arial" w:cs="arial"/>
          <w:i/>
          <w:color w:val="000000"/>
          <w:sz w:val="20"/>
          <w:lang w:val="en-US" w:eastAsia="en-US" w:bidi="ar-SA"/>
        </w:rPr>
        <w:t>Tribunal Decision</w:t>
      </w:r>
      <w:r>
        <w:rPr>
          <w:rFonts w:ascii="arial" w:eastAsia="arial" w:hAnsi="arial" w:cs="arial"/>
          <w:color w:val="000000"/>
          <w:sz w:val="20"/>
          <w:lang w:val="en-US" w:eastAsia="en-US" w:bidi="ar-SA"/>
        </w:rPr>
        <w:t xml:space="preserve"> at para. 157.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However, the Tribunal went on to consider the other elements of the offence in the event it was incorrect about some aspect of the resale requirement. In determining the relevant product market, the Tribunal determined that its standard hypothetical monopolist test and the related small but significant and non-transitory increase in price (SSNIP) analysis could be applied to one side of a two-sided market "provided that both the interdependence of demand, feedback effects and ultimately changes in profit on both sides of the platform are taken into account" (at para. 189). As I will discuss when evaluating the commonality of the issues in this case, the feedback, or network, effects at play in this case are of considerable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When assuming the existence of a hypothetical resale from Acquirers to merchants, the Tribunal found that Visa and MasterCard indirectly influenced upward the resale price through the implementation of their respective No Surcharge Rules. However, the Tribunal found that there was insufficient evidence to conclude that the Honour All Cards Rule or MasterCard's No Discrimination Rule had a similar effect on Merchant Discount Fees. The Tribunal also found that the No Surcharge Rule has the effect of suppressing price competition between Visa and MasterCard in the market for services sold to Acquirers and that this conduct has had an adverse effect on competition in the relevant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However, the Tribunal concluded that even if a resale had existed it would not have exercised its discretionary power to issue an order for relief. The Tribunal emphasized that the proper solution to the Commissioner's legitimate concerns was a regulatory framework. Relying on evidence from other jurisdictions, the Tribunal found that issuing an order would risk "replacing one set of distorted incentives by another" (at para. 396) and held that "it is uncertain that the supposed 'cure' will not be worse than the 'disease'" (at para. 398).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On 30 September 2013, the new Commissioner of Competition announced that the </w:t>
      </w:r>
      <w:r>
        <w:rPr>
          <w:rFonts w:ascii="arial" w:eastAsia="arial" w:hAnsi="arial" w:cs="arial"/>
          <w:i/>
          <w:color w:val="000000"/>
          <w:sz w:val="20"/>
          <w:lang w:val="en-US" w:eastAsia="en-US" w:bidi="ar-SA"/>
        </w:rPr>
        <w:t>Tribunal Decision</w:t>
      </w:r>
      <w:r>
        <w:rPr>
          <w:rFonts w:ascii="arial" w:eastAsia="arial" w:hAnsi="arial" w:cs="arial"/>
          <w:color w:val="000000"/>
          <w:sz w:val="20"/>
          <w:lang w:val="en-US" w:eastAsia="en-US" w:bidi="ar-SA"/>
        </w:rPr>
        <w:t xml:space="preserve"> would not be appealed, and that the Competition Bureau would instead "focus [its] efforts on identifying alternate means of addressing the competition issues in the supply of credit card services in Canada" and "work with the federal government and relevant stakeholders to advocate for changes in the credit card market" (Competition Bureau, Announcement, "Competition Bureau Will Not Appeal Credit Cards Decision" (30 September 2013)). The federal government's "Economic Action Plan 2014" tabled in the House of Commons on 11 February 2014 as part of the federal budget acknowledges the </w:t>
      </w:r>
      <w:r>
        <w:rPr>
          <w:rFonts w:ascii="arial" w:eastAsia="arial" w:hAnsi="arial" w:cs="arial"/>
          <w:i/>
          <w:color w:val="000000"/>
          <w:sz w:val="20"/>
          <w:lang w:val="en-US" w:eastAsia="en-US" w:bidi="ar-SA"/>
        </w:rPr>
        <w:t>Tribunal Decision</w:t>
      </w:r>
      <w:r>
        <w:rPr>
          <w:rFonts w:ascii="arial" w:eastAsia="arial" w:hAnsi="arial" w:cs="arial"/>
          <w:color w:val="000000"/>
          <w:sz w:val="20"/>
          <w:lang w:val="en-US" w:eastAsia="en-US" w:bidi="ar-SA"/>
        </w:rPr>
        <w:t xml:space="preserve"> and states an intention to lower credit and acceptance costs to merchants (p. 186).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While cases challenging interchange fees and the structure of the credit card networks operated by Visa and MasterCard are novel in Canada, several have been brought in the United States. Historically, such claims have generally been unsuccessful. In </w:t>
      </w:r>
      <w:r>
        <w:rPr>
          <w:rFonts w:ascii="arial" w:eastAsia="arial" w:hAnsi="arial" w:cs="arial"/>
          <w:i/>
          <w:color w:val="000000"/>
          <w:sz w:val="20"/>
          <w:lang w:val="en-US" w:eastAsia="en-US" w:bidi="ar-SA"/>
        </w:rPr>
        <w:t>National Bancard Corporation v. VISA U.S.A. Inc.</w:t>
      </w:r>
      <w:r>
        <w:rPr>
          <w:rFonts w:ascii="arial" w:eastAsia="arial" w:hAnsi="arial" w:cs="arial"/>
          <w:color w:val="000000"/>
          <w:sz w:val="20"/>
          <w:lang w:val="en-US" w:eastAsia="en-US" w:bidi="ar-SA"/>
        </w:rPr>
        <w:t>, 779 F.2d 592 (11th Circuit 1986), in which the plaintiff claimed that Visa fixed specific interchange rates, the Court held that the rates in question were ultimately pro-competitive as they were vital to the survival and stability of the Visa network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Several other American challenges to interchange fees and Network Rules, such as </w:t>
      </w:r>
      <w:r>
        <w:rPr>
          <w:rFonts w:ascii="arial" w:eastAsia="arial" w:hAnsi="arial" w:cs="arial"/>
          <w:i/>
          <w:color w:val="000000"/>
          <w:sz w:val="20"/>
          <w:lang w:val="en-US" w:eastAsia="en-US" w:bidi="ar-SA"/>
        </w:rPr>
        <w:t>Kendall v. VISA U.S.A., Inc.</w:t>
      </w:r>
      <w:r>
        <w:rPr>
          <w:rFonts w:ascii="arial" w:eastAsia="arial" w:hAnsi="arial" w:cs="arial"/>
          <w:color w:val="000000"/>
          <w:sz w:val="20"/>
          <w:lang w:val="en-US" w:eastAsia="en-US" w:bidi="ar-SA"/>
        </w:rPr>
        <w:t>, 518 F.3d 1042 (9th Circuit 2008), failed because the plaintiff ran into the "</w:t>
      </w:r>
      <w:r>
        <w:rPr>
          <w:rFonts w:ascii="arial" w:eastAsia="arial" w:hAnsi="arial" w:cs="arial"/>
          <w:i/>
          <w:color w:val="000000"/>
          <w:sz w:val="20"/>
          <w:lang w:val="en-US" w:eastAsia="en-US" w:bidi="ar-SA"/>
        </w:rPr>
        <w:t>Illinois Brick</w:t>
      </w:r>
      <w:r>
        <w:rPr>
          <w:rFonts w:ascii="arial" w:eastAsia="arial" w:hAnsi="arial" w:cs="arial"/>
          <w:color w:val="000000"/>
          <w:sz w:val="20"/>
          <w:lang w:val="en-US" w:eastAsia="en-US" w:bidi="ar-SA"/>
        </w:rPr>
        <w:t xml:space="preserve"> Wall", a reference to the U.S. Supreme Court's ban on the offensive use of passing on in actions by indirect purchasers in </w:t>
      </w:r>
      <w:r>
        <w:rPr>
          <w:rFonts w:ascii="arial" w:eastAsia="arial" w:hAnsi="arial" w:cs="arial"/>
          <w:i/>
          <w:color w:val="000000"/>
          <w:sz w:val="20"/>
          <w:lang w:val="en-US" w:eastAsia="en-US" w:bidi="ar-SA"/>
        </w:rPr>
        <w:t>Illinois Brick Co. v. Illinois</w:t>
      </w:r>
      <w:r>
        <w:rPr>
          <w:rFonts w:ascii="arial" w:eastAsia="arial" w:hAnsi="arial" w:cs="arial"/>
          <w:color w:val="000000"/>
          <w:sz w:val="20"/>
          <w:lang w:val="en-US" w:eastAsia="en-US" w:bidi="ar-SA"/>
        </w:rPr>
        <w:t xml:space="preserve">, 431 U.S. 720 (1977). There is no ban on claims by indirect purchasers in Canada: </w:t>
      </w:r>
      <w:r>
        <w:rPr>
          <w:rFonts w:ascii="arial" w:eastAsia="arial" w:hAnsi="arial" w:cs="arial"/>
          <w:i/>
          <w:color w:val="000000"/>
          <w:sz w:val="20"/>
          <w:lang w:val="en-US" w:eastAsia="en-US" w:bidi="ar-SA"/>
        </w:rPr>
        <w:t>Pro-Sys Consultants Ltd. v. Microsoft Corporation</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2013 SCC 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However, other claims against the networks have succeeded. For example, in </w:t>
      </w:r>
      <w:r>
        <w:rPr>
          <w:rFonts w:ascii="arial" w:eastAsia="arial" w:hAnsi="arial" w:cs="arial"/>
          <w:i/>
          <w:color w:val="000000"/>
          <w:sz w:val="20"/>
          <w:lang w:val="en-US" w:eastAsia="en-US" w:bidi="ar-SA"/>
        </w:rPr>
        <w:t>United States v. VISA U.S.A., Inc.</w:t>
      </w:r>
      <w:r>
        <w:rPr>
          <w:rFonts w:ascii="arial" w:eastAsia="arial" w:hAnsi="arial" w:cs="arial"/>
          <w:color w:val="000000"/>
          <w:sz w:val="20"/>
          <w:lang w:val="en-US" w:eastAsia="en-US" w:bidi="ar-SA"/>
        </w:rPr>
        <w:t>, 344 F.3d 229 (2nd Circuit 2003) the Court prevented Visa and MasterCard from implementing and enforcing rules that prevented their member banks from issuing competing American Express or Discover credit cards.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More recently, Visa, MasterCard, and several issuing and acquiring banks, settled a proposed class action brought by merchants, which alleged that interchange fees were fixed and challenged the Network Rules. The settlement agreement, among other relief, provided for a cash fund of over $7 billion (before reductions for merchants who opt-out) and the removal of the No Surcharge Rule, with some conditions on how merchants could then apply surcharges. However, the settlement agreement preserved the Default Interchange System and the Honour All Cards Rule. The settlement was approved by the Court on 13 December 2013: </w:t>
      </w:r>
      <w:r>
        <w:rPr>
          <w:rFonts w:ascii="arial" w:eastAsia="arial" w:hAnsi="arial" w:cs="arial"/>
          <w:i/>
          <w:color w:val="000000"/>
          <w:sz w:val="20"/>
          <w:lang w:val="en-US" w:eastAsia="en-US" w:bidi="ar-SA"/>
        </w:rPr>
        <w:t>In Re Payment Card Interchange Fee and Merchant Discount Antitrust Litigation</w:t>
      </w:r>
      <w:r>
        <w:rPr>
          <w:rFonts w:ascii="arial" w:eastAsia="arial" w:hAnsi="arial" w:cs="arial"/>
          <w:color w:val="000000"/>
          <w:sz w:val="20"/>
          <w:lang w:val="en-US" w:eastAsia="en-US" w:bidi="ar-SA"/>
        </w:rPr>
        <w:t>, No. 05-MD-1720 (E.D.N.Y. 13 December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European Commission has also been dealing with interchange fees and similar network rules for over a decade. The Commission sent a comfort letter to Visa after it began operating in Europe, but withdrew it and began an investigation in 1992. A formal complaint centering on interchange fees was made by a European retailers association in 1997. In 2001, the Commission cleared some of Visa's network rules, but the decision explicitly did not refer to interchange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2002, the Commission released a decision concerning Visa's cross-border interchange fees, also referred to as multilateral interchange fees, or MIF (European Commission Decision COMP/29.373</w:t>
      </w:r>
      <w:r>
        <w:rPr>
          <w:rFonts w:ascii="arial" w:eastAsia="arial" w:hAnsi="arial" w:cs="arial"/>
          <w:i/>
          <w:color w:val="000000"/>
          <w:sz w:val="20"/>
          <w:lang w:val="en-US" w:eastAsia="en-US" w:bidi="ar-SA"/>
        </w:rPr>
        <w:t xml:space="preserve"> - Visa International</w:t>
      </w:r>
      <w:r>
        <w:rPr>
          <w:rFonts w:ascii="arial" w:eastAsia="arial" w:hAnsi="arial" w:cs="arial"/>
          <w:color w:val="000000"/>
          <w:sz w:val="20"/>
          <w:lang w:val="en-US" w:eastAsia="en-US" w:bidi="ar-SA"/>
        </w:rPr>
        <w:t>, 24 July 2002). The Commission found that MIF restricted the freedom of banks to decide their own pricing policies and distorted competition in the Visa issuing and acquiring markets.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However, following the complaint, Visa proposed a modified MIF scheme for cross-border transactions. The modifications included capping interchange fees based on the costs of providing designated services. The Commission accepted that Visa's modifications would mitigate some of the major concerns with the MIF and granted it an exemption from the applicable anti-competitive provisions until 2007. The Commission launched a new investigation when the exemption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2007, the Commission also issued a decision (European Commission Decision COMP/34.579</w:t>
      </w:r>
      <w:r>
        <w:rPr>
          <w:rFonts w:ascii="arial" w:eastAsia="arial" w:hAnsi="arial" w:cs="arial"/>
          <w:i/>
          <w:color w:val="000000"/>
          <w:sz w:val="20"/>
          <w:lang w:val="en-US" w:eastAsia="en-US" w:bidi="ar-SA"/>
        </w:rPr>
        <w:t xml:space="preserve"> - MasterCard</w:t>
      </w:r>
      <w:r>
        <w:rPr>
          <w:rFonts w:ascii="arial" w:eastAsia="arial" w:hAnsi="arial" w:cs="arial"/>
          <w:color w:val="000000"/>
          <w:sz w:val="20"/>
          <w:lang w:val="en-US" w:eastAsia="en-US" w:bidi="ar-SA"/>
        </w:rPr>
        <w:t xml:space="preserve">, 19 December 2007) concerning MasterCard's MIF and Network Rules following a complaint from an association representing British merchants. As with the 2002 Visa decision, the Commission found that MasterCard's MIF restricted competition. However, unlike the 2002 Visa decision, the Commission refused to grant an exemption to MasterCard and gave the company six months to remedy its practices. The Commission's decision was affirmed: </w:t>
      </w:r>
      <w:r>
        <w:rPr>
          <w:rFonts w:ascii="arial" w:eastAsia="arial" w:hAnsi="arial" w:cs="arial"/>
          <w:i/>
          <w:color w:val="000000"/>
          <w:sz w:val="20"/>
          <w:lang w:val="en-US" w:eastAsia="en-US" w:bidi="ar-SA"/>
        </w:rPr>
        <w:t>MasterCard, Inc. v. European Commission</w:t>
      </w:r>
      <w:r>
        <w:rPr>
          <w:rFonts w:ascii="arial" w:eastAsia="arial" w:hAnsi="arial" w:cs="arial"/>
          <w:color w:val="000000"/>
          <w:sz w:val="20"/>
          <w:lang w:val="en-US" w:eastAsia="en-US" w:bidi="ar-SA"/>
        </w:rPr>
        <w:t>, T-111/08, General Court (Seventh Chamber), 24 May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Because of the expert testimony provided by the parties in this case, the state of the credit card industry in Australia, and to a lesser extent New Zealand, is of considerable importance. While the parties disagree over whether the Canadian credit card industry can be compared to its counterparts in Australia and New Zealand, there does not appear to be any genuine disagreement about the changes that have taken place in those countries since 2001. However, as this background information was not contentious or critical to this certification hearing, it was generally not discussed in the evidence except in part through the affidavits of Dr. Ware and other witnesses. Accordingly, I have relied in part on the </w:t>
      </w:r>
      <w:r>
        <w:rPr>
          <w:rFonts w:ascii="arial" w:eastAsia="arial" w:hAnsi="arial" w:cs="arial"/>
          <w:i/>
          <w:color w:val="000000"/>
          <w:sz w:val="20"/>
          <w:lang w:val="en-US" w:eastAsia="en-US" w:bidi="ar-SA"/>
        </w:rPr>
        <w:t>Tribunal Decision</w:t>
      </w:r>
      <w:r>
        <w:rPr>
          <w:rFonts w:ascii="arial" w:eastAsia="arial" w:hAnsi="arial" w:cs="arial"/>
          <w:color w:val="000000"/>
          <w:sz w:val="20"/>
          <w:lang w:val="en-US" w:eastAsia="en-US" w:bidi="ar-SA"/>
        </w:rPr>
        <w:t xml:space="preserve"> in summarizing the Australian and New Zealand industries. Of course, the factual findings of the Tribunal are not binding on this Court now or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1 July 2003, the Australian government began to regulate the Default Interchange Fees set by Visa and MasterCard. The regulations require that an objective, transparent, and cost-based benchmark be used to determine a weighted cap on the default rate of interchange. The original weighted average was 0.55% of each credit card transaction, but it was revised to 0.50% on 1 November 2006, where it has remained since. In addition, Visa and MasterCard were required to remove their No Surcharge Rules on 1 January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Notably, Visa and MasterCard's competitors, American Express and Diners Club, were not subject to the interchange regulations or to the prohibition on preventing merchants from surcharging. However, both entities provided the Reserve Bank of Australia with written undertakings that they would not prohibit surcharging. Since the 2003 regulations were introduced, American Express and Diners Club have gained approximately 5-6% market share among cardholders at the expense of Visa and MasterCard.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Surcharging by Australian merchants has become common since the regulations were introduced. As found by the Tribunal, many merchants are surcharging at a rate that exceeds, sometimes grossly, their cost of accepting credit cards. In response, the Reserve Bank of Australia has apparently decided to let Visa and MasterCard limit surcharges to an amount reasonably related to the cost of acceptance.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2003 also marked the year that the New Zealand Commerce Commission began an investigation into interchange fees and surcharging. It filed a claim against Visa and MasterCard in 2006 that was settled in 2009. As part of the settlement, Visa and MasterCard were prohibited from preventing merchants from surcharging, but they retained the right to enforce rules ensuring that surcharges bore a reasonable relationship to the cost of acceptance.</w:t>
      </w:r>
      <w:r>
        <w:rPr>
          <w:rFonts w:ascii="arial" w:eastAsia="arial" w:hAnsi="arial" w:cs="arial"/>
          <w:sz w:val="20"/>
          <w:lang w:val="en-US" w:eastAsia="en-US" w:bidi="ar-SA"/>
        </w:rPr>
        <w:cr/>
      </w:r>
    </w:p>
    <w:p>
      <w:pPr>
        <w:spacing w:line="260" w:lineRule="atLeast"/>
        <w:ind w:left="360"/>
        <w:rPr>
          <w:rFonts w:ascii="arial" w:eastAsia="arial" w:hAnsi="arial" w:cs="arial"/>
          <w:sz w:val="20"/>
          <w:lang w:val="en-US" w:eastAsia="en-US" w:bidi="ar-SA"/>
        </w:rPr>
      </w:pPr>
      <w:r>
        <w:rPr>
          <w:rFonts w:ascii="arial" w:eastAsia="arial" w:hAnsi="arial" w:cs="arial"/>
          <w:b/>
          <w:color w:val="000000"/>
          <w:sz w:val="20"/>
          <w:lang w:val="en-US" w:eastAsia="en-US" w:bidi="ar-SA"/>
        </w:rPr>
        <w:t>III.</w:t>
      </w:r>
      <w:r>
        <w:rPr>
          <w:rFonts w:ascii="arial" w:eastAsia="arial" w:hAnsi="arial" w:cs="arial"/>
          <w:b/>
          <w:color w:val="000000"/>
          <w:sz w:val="20"/>
          <w:lang w:val="en-US" w:eastAsia="en-US" w:bidi="ar-SA"/>
        </w:rPr>
        <w:t>THE PROPOSED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will first address the proposed amendments to the Notice of Civil Claim (the "Amended Claim"). They are described in the plaintiff's application dated 23 April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plaintiff has met the low threshold permitting amendments and I so order. The defendants' application to strike of 4 January 2012 will, in turn, be considered in light of these amendments when I address each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s. 4(1) requirements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defendants in these proceedings are described at paragraphs 2-14 of the Amended Claim. I note that the defendant Fédération des caisses Desjardins du Québec ("Desjardins") led extensive evidence on the application seeking to distinguish its operations in significant respects from that (or those) of the other defendants and I will say more about the thrust of the ensuing submissions on behalf of Desjardins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Further, Bank of America Corporation, ("MBNA") entered into a settlement agreement with the plaintiff after the conclusion of the certification application hearing, but before some of the later supplemental submissions. On an interlocutory application to approve that settlement, I adjourned the application pending the pronouncement of judgment on the certification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proposes two classes defined in similar terms. That in respect of Visa is defined (Amended Claim at para. 15):</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action is brought on behalf of members of a class (the "Visa Class Members") consisting of the plaintiff and all Canadian resident persons who, during some or all of the period commencing March 28, 2001 and continuing through to the present (the "Class Period"), accepted payments for the supply of goods or services by way of Visa credit cards pursuant to the terms of merchant agreements, or such other class definition or class period as the Court may ultimately decide on the application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At the heart of the claim are two alleged conspiracies described generally in this way (Amended Claim at paras. 20-21):</w:t>
      </w:r>
      <w:r>
        <w:rPr>
          <w:rFonts w:ascii="arial" w:eastAsia="arial" w:hAnsi="arial" w:cs="arial"/>
          <w:sz w:val="20"/>
          <w:lang w:val="en-US" w:eastAsia="en-US" w:bidi="ar-SA"/>
        </w:rPr>
        <w:cr/>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credit card network services market is characterized by contractual relationships amongst and between Visa, its Issuing Banks, the Acquirers, and merchants, and amongst and between MasterCard, its Issuing Banks, the Acquirers, and merchants, giving each credit card network market power in the Canadian credit card network services market.</w:t>
      </w:r>
    </w:p>
    <w:p>
      <w:pPr>
        <w:numPr>
          <w:numId w:val="30"/>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agreements and contractual relationships that govern the Visa and MasterCard credit card networks constitute two separate but interrelated conspiracies in operation by way of contracts which are between and among:</w:t>
      </w:r>
    </w:p>
    <w:p>
      <w:pPr>
        <w:numPr>
          <w:numId w:val="3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Visa network and its member banks (which are Issuing Banks and Acquirers); and</w:t>
      </w:r>
    </w:p>
    <w:p>
      <w:pPr>
        <w:numPr>
          <w:numId w:val="3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MasterCard network and its member banks (which are Issuing Banks and Acquirers).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At para. 24 it is alleged:</w:t>
      </w:r>
      <w:r>
        <w:rPr>
          <w:rFonts w:ascii="arial" w:eastAsia="arial" w:hAnsi="arial" w:cs="arial"/>
          <w:sz w:val="20"/>
          <w:lang w:val="en-US" w:eastAsia="en-US" w:bidi="ar-SA"/>
        </w:rPr>
        <w:cr/>
      </w:r>
    </w:p>
    <w:p>
      <w:pPr>
        <w:numPr>
          <w:numId w:val="32"/>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order to accept payments by Visa or MasterCard credit cards, merchants must enter into agreements with Acquirers. These agreements include standard terms and conditions imposed by the Issuing Banks and Visa or MasterCard through their respective agreements with the Acquirers. These agreements include the terms of the Visa International Operating Regulations (the "Visa Rules") and the MasterCard Worldwide MasterCard Rules (the "MasterCard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Visa Rules and the MasterCard Rules (also referred to as the Network Rules) include the three "rules" which I described earlier and the rules governing Default Interchange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pleads that the effect of the so-called merchant restraints or "Network Rules" (again collectively the Honour All Cards Rule, No Surcharge Rule and the No Discrimination Rule) impede or restrain competition for credit card network services, including competition with respect to Default Interchange Fees. At para. 42, the plaintiff pleads:</w:t>
      </w:r>
      <w:r>
        <w:rPr>
          <w:rFonts w:ascii="arial" w:eastAsia="arial" w:hAnsi="arial" w:cs="arial"/>
          <w:sz w:val="20"/>
          <w:lang w:val="en-US" w:eastAsia="en-US" w:bidi="ar-SA"/>
        </w:rPr>
        <w:cr/>
      </w:r>
    </w:p>
    <w:p>
      <w:pPr>
        <w:numPr>
          <w:numId w:val="3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result of the Default Interchange Rule and Merchant Restraints is to allow Interchange Fees to be maintained at supracompetitive levels by restricting the pressures that, in a competitive market, would drive lower Interchange Fees. The operation of the Visa and MasterCard credit card network schemes by the Defendants are intended to maximize, increase, and maintain the total Merchant Discount Fees, including Interchange Fees, paid by merchants, including the Visa and MasterCard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Visa conspiracy is pled at paras. 43-48 and that of MasterCard at paras. 49-54 of the Amended Claim. In paras. 56-58 of the Amended Claim, the plaintiff pleads further or, alternatively, that the acts previously pled were in breach of ss. 45 and/or 61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In the result, the plaintiff pleads two civil conspiracies based in unlawful acts and predominant purpose (as more particularly discussed in </w:t>
      </w:r>
      <w:r>
        <w:rPr>
          <w:rFonts w:ascii="arial" w:eastAsia="arial" w:hAnsi="arial" w:cs="arial"/>
          <w:i/>
          <w:color w:val="000000"/>
          <w:sz w:val="20"/>
          <w:lang w:val="en-US" w:eastAsia="en-US" w:bidi="ar-SA"/>
        </w:rPr>
        <w:t>Cement LaFarge v. B.C. Lightweight Aggregate</w:t>
      </w:r>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[1983] 1 S.C.R. 452</w:t>
        </w:r>
      </w:hyperlink>
      <w:r>
        <w:rPr>
          <w:rFonts w:ascii="arial" w:eastAsia="arial" w:hAnsi="arial" w:cs="arial"/>
          <w:color w:val="000000"/>
          <w:sz w:val="20"/>
          <w:lang w:val="en-US" w:eastAsia="en-US" w:bidi="ar-SA"/>
        </w:rPr>
        <w:t xml:space="preserve"> at 471-472). Further, and again in the alternative, the plaintiff pleads the same allegation as founding unlawful interference with the economic interests of the two classes.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for damages, the plaintiff pleads that (Amended Claim at para. 61):</w:t>
      </w:r>
      <w:r>
        <w:rPr>
          <w:rFonts w:ascii="arial" w:eastAsia="arial" w:hAnsi="arial" w:cs="arial"/>
          <w:sz w:val="20"/>
          <w:lang w:val="en-US" w:eastAsia="en-US" w:bidi="ar-SA"/>
        </w:rPr>
        <w:cr/>
      </w:r>
    </w:p>
    <w:p>
      <w:pPr>
        <w:numPr>
          <w:numId w:val="3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and the other Visa and MasterCard Class Members suffered the following damages:</w:t>
      </w:r>
    </w:p>
    <w:p>
      <w:pPr>
        <w:numPr>
          <w:numId w:val="3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rates of Merchant Discount Fees and in particular Interchange Fees have been maintained at or increased to a supracompetitive level; and</w:t>
      </w:r>
    </w:p>
    <w:p>
      <w:pPr>
        <w:numPr>
          <w:numId w:val="3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competition in the supply of credit card network services has been lessened.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These damages - principally excessive and supracompetitive Merchant Discount Fees - and, in particular, Default Interchange Fees, are characterized respectively as the "Visa Overcharge" and the "MasterCard Overcharge". The plaintiff seeks punitive damages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the alternative, the plaintiff waives the tort and seeks recovery under restitutionary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prayer for relief seeks these orders (Amended Claim at para. 71):</w:t>
      </w:r>
      <w:r>
        <w:rPr>
          <w:rFonts w:ascii="arial" w:eastAsia="arial" w:hAnsi="arial" w:cs="arial"/>
          <w:sz w:val="20"/>
          <w:lang w:val="en-US" w:eastAsia="en-US" w:bidi="ar-SA"/>
        </w:rPr>
        <w:cr/>
      </w:r>
    </w:p>
    <w:p>
      <w:pPr>
        <w:numPr>
          <w:numId w:val="36"/>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on its own behalf, and on behalf of the Visa and MasterCard Class Members, claims against the defendants:</w:t>
      </w:r>
    </w:p>
    <w:p>
      <w:pPr>
        <w:numPr>
          <w:numId w:val="3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defendants, and each of them, participated in conspiracies to impose and maintain the Networks' Rules and in particular the Default Interchange Rule and the Merchant Restraints during the Class Period, and to raise, maintain, fix or stabilize the rates of Merchant Discount Fees, and in particular Interchange Fees, in violation of statutory, common law, and equitable laws as alleged in this claim;</w:t>
      </w:r>
    </w:p>
    <w:p>
      <w:pPr>
        <w:numPr>
          <w:numId w:val="3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certifying this action as a class proceeding against Visa, CIBC, Desjardins, RBC, Scotiabank, and TD, and appointing the plaintiff as representative plaintiff in respect of the Visa Class Members;</w:t>
      </w:r>
    </w:p>
    <w:p>
      <w:pPr>
        <w:numPr>
          <w:numId w:val="3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certifying this action as a class proceeding against MasterCard, BMO, Capital One, CIBC, Citi, Desjardins, MBNA, National, RBC, and TD, and appointing the plaintiff as representative plaintiff in respect of the MasterCard Class Members;</w:t>
      </w:r>
    </w:p>
    <w:p>
      <w:pPr>
        <w:numPr>
          <w:numId w:val="3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 for conspiracy and unlawful interference with economic interests;</w:t>
      </w:r>
    </w:p>
    <w:p>
      <w:pPr>
        <w:numPr>
          <w:numId w:val="3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general damages for conduct that is contrary to Part VI of the </w:t>
      </w:r>
      <w:r>
        <w:rPr>
          <w:rFonts w:ascii="arial" w:eastAsia="arial" w:hAnsi="arial" w:cs="arial"/>
          <w:i/>
          <w:color w:val="000000"/>
          <w:sz w:val="20"/>
          <w:lang w:val="en-US" w:eastAsia="en-US" w:bidi="ar-SA"/>
        </w:rPr>
        <w:t>Competition Act,</w:t>
      </w:r>
    </w:p>
    <w:p>
      <w:pPr>
        <w:numPr>
          <w:numId w:val="3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injunction enjoining the defendants from conspiring or agreeing with each other, or others, to impose the Networks' Rules;</w:t>
      </w:r>
    </w:p>
    <w:p>
      <w:pPr>
        <w:numPr>
          <w:numId w:val="3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injunction enjoining the defendants from conspiring or agreeing with each other, or others, to raise, maintain, fix or stabilize the rates of Merchant Discount Fees, and in particular Interchange Fees;</w:t>
      </w:r>
    </w:p>
    <w:p>
      <w:pPr>
        <w:numPr>
          <w:numId w:val="3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w:t>
      </w:r>
    </w:p>
    <w:p>
      <w:pPr>
        <w:numPr>
          <w:numId w:val="3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costs of investigation and prosecution of this proceeding pursuant to section 36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w:t>
      </w:r>
    </w:p>
    <w:p>
      <w:pPr>
        <w:numPr>
          <w:numId w:val="3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pre-judgment and post-judgment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RSBC 1996, c 78, s 128; and</w:t>
      </w:r>
    </w:p>
    <w:p>
      <w:pPr>
        <w:numPr>
          <w:numId w:val="3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to this Honourable Court may seem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defendants have not yet filed their responses.</w:t>
      </w:r>
      <w:r>
        <w:rPr>
          <w:rFonts w:ascii="arial" w:eastAsia="arial" w:hAnsi="arial" w:cs="arial"/>
          <w:sz w:val="20"/>
          <w:lang w:val="en-US" w:eastAsia="en-US" w:bidi="ar-SA"/>
        </w:rPr>
        <w:cr/>
      </w:r>
    </w:p>
    <w:p>
      <w:pPr>
        <w:spacing w:line="260" w:lineRule="atLeast"/>
        <w:ind w:left="360"/>
        <w:rPr>
          <w:rFonts w:ascii="arial" w:eastAsia="arial" w:hAnsi="arial" w:cs="arial"/>
          <w:sz w:val="20"/>
          <w:lang w:val="en-US" w:eastAsia="en-US" w:bidi="ar-SA"/>
        </w:rPr>
      </w:pPr>
      <w:r>
        <w:rPr>
          <w:rFonts w:ascii="arial" w:eastAsia="arial" w:hAnsi="arial" w:cs="arial"/>
          <w:b/>
          <w:color w:val="000000"/>
          <w:sz w:val="20"/>
          <w:lang w:val="en-US" w:eastAsia="en-US" w:bidi="ar-SA"/>
        </w:rPr>
        <w:t>IV.</w:t>
      </w:r>
      <w:r>
        <w:rPr>
          <w:rFonts w:ascii="arial" w:eastAsia="arial" w:hAnsi="arial" w:cs="arial"/>
          <w:b/>
          <w:color w:val="000000"/>
          <w:sz w:val="20"/>
          <w:lang w:val="en-US" w:eastAsia="en-US" w:bidi="ar-SA"/>
        </w:rPr>
        <w:t>GENERAL PRINCIPLES GOVERNING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certification stage of a class proceeding is not meant to test the merits of the claim, or to determine if it is likely to succeed. Instead, this stage is concerned with the form of the action and whether it can properly proceed as a class proceeding: </w:t>
      </w:r>
      <w:r>
        <w:rPr>
          <w:rFonts w:ascii="arial" w:eastAsia="arial" w:hAnsi="arial" w:cs="arial"/>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2001 SCC 68</w:t>
        </w:r>
      </w:hyperlink>
      <w:r>
        <w:rPr>
          <w:rFonts w:ascii="arial" w:eastAsia="arial" w:hAnsi="arial" w:cs="arial"/>
          <w:color w:val="000000"/>
          <w:sz w:val="20"/>
          <w:lang w:val="en-US" w:eastAsia="en-US" w:bidi="ar-SA"/>
        </w:rPr>
        <w:t xml:space="preserve"> at para. 16;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at para. 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To this end, s. 4(1)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contains the five requirements for certification: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(1) The court must certify a proceeding as a class proceeding on an application under section 2 or 3 if all of the following requirements are met:</w:t>
      </w:r>
    </w:p>
    <w:p>
      <w:pPr>
        <w:numPr>
          <w:numId w:val="38"/>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38"/>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38"/>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38"/>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38"/>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4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These criteria are similar to the requirements for certification in other Canadian provinces. Notably, if these requirements are met, the Court </w:t>
      </w:r>
      <w:r>
        <w:rPr>
          <w:rFonts w:ascii="arial" w:eastAsia="arial" w:hAnsi="arial" w:cs="arial"/>
          <w:i/>
          <w:color w:val="000000"/>
          <w:sz w:val="20"/>
          <w:lang w:val="en-US" w:eastAsia="en-US" w:bidi="ar-SA"/>
        </w:rPr>
        <w:t>must</w:t>
      </w:r>
      <w:r>
        <w:rPr>
          <w:rFonts w:ascii="arial" w:eastAsia="arial" w:hAnsi="arial" w:cs="arial"/>
          <w:color w:val="000000"/>
          <w:sz w:val="20"/>
          <w:lang w:val="en-US" w:eastAsia="en-US" w:bidi="ar-SA"/>
        </w:rPr>
        <w:t xml:space="preserve"> certify the action; there is no residual discretion. The plaintiff bears the evidentiary burden for each requirement, but that burden should not be overstated.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Subsection (a) requires that the pleadings disclose a cause of action. This requirement is assessed on the same standard as on a motion to strike pleadings under Rule 9-5(1)(a). Accordingly, the plaintiff satisfies this requirement unless it is plain and obvious that the claim cannot succeed: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25;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at para. 63. For this analysis, the Court must assume that all the pleaded facts are true unless they are patently unreasonable or incapable of proof. Further, a claim must not be struck merely because it is novel or complex: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Subsections 4(1)(b)-(e)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require the plaintiff to show "some basis in fact" for each requirement: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25. The plaintiff must show that there is some basis in fact which establishes each of the four requirements, but does not need to establish some basis in fact for the claim itself. Again, the Court is concerned with the appropriateness of a class proceeding, not the strength of the claim. Further, courts are ill-equipped to resolve conflicts in the evidence at certification: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at paras. 100-102.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There is limited utility in attempting to define the "some basis in fact" standard in the abstract; each case must be decided on its own facts. The standard does not require proof on a balance of probabilities, but it requires more than a symbolic scrutiny of the sufficiency of the evidence. Ultimately, the Court must be satisfied "that the conditions for certification have been met to a degree that allow the matter to proceed on a class basis without foundering at the merits stage by reason of the requirements of s. 4(1)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not having been met":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at paras. 103-104.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Thus for subsection (b), the plaintiff must provide some basis in fact for the existence of an identifiable class of two or more persons. The class must be clearly defined at the outset of the litigation as doing so identifies the individuals entitled to notice under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entitled to relief if the case succeeds, and bound by judgment unless they opt-out: </w:t>
      </w:r>
      <w:r>
        <w:rPr>
          <w:rFonts w:ascii="arial" w:eastAsia="arial" w:hAnsi="arial" w:cs="arial"/>
          <w:i/>
          <w:color w:val="000000"/>
          <w:sz w:val="20"/>
          <w:lang w:val="en-US" w:eastAsia="en-US" w:bidi="ar-SA"/>
        </w:rPr>
        <w:t>Western Canadian Shopping Centres Inc. v. Dutton</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 xml:space="preserve"> at para. 38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Sun-Rype Products Ltd. v. Archer Daniels Midland Company</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2013 SCC 58</w:t>
        </w:r>
      </w:hyperlink>
      <w:r>
        <w:rPr>
          <w:rFonts w:ascii="arial" w:eastAsia="arial" w:hAnsi="arial" w:cs="arial"/>
          <w:color w:val="000000"/>
          <w:sz w:val="20"/>
          <w:lang w:val="en-US" w:eastAsia="en-US" w:bidi="ar-SA"/>
        </w:rPr>
        <w:t xml:space="preserve">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To meet this requirement, the plaintiff must define the class with reference to objective criteria. Similarly, while the definition should be rationally related to the alleged common issues, the membership of the class must not hinge on the outcome of the litigation. Further, the class must not be defined too broadly or too narrowly in relation to the common issues. Ultimately, it is not necessary for the plaintiff to identify every class member, but it must be possible to determine whether or not a specific individual is a member of the class: </w:t>
      </w:r>
      <w:r>
        <w:rPr>
          <w:rFonts w:ascii="arial" w:eastAsia="arial" w:hAnsi="arial" w:cs="arial"/>
          <w:i/>
          <w:color w:val="000000"/>
          <w:sz w:val="20"/>
          <w:lang w:val="en-US" w:eastAsia="en-US" w:bidi="ar-SA"/>
        </w:rPr>
        <w:t>Sun-Rype</w:t>
      </w:r>
      <w:r>
        <w:rPr>
          <w:rFonts w:ascii="arial" w:eastAsia="arial" w:hAnsi="arial" w:cs="arial"/>
          <w:color w:val="000000"/>
          <w:sz w:val="20"/>
          <w:lang w:val="en-US" w:eastAsia="en-US" w:bidi="ar-SA"/>
        </w:rPr>
        <w:t xml:space="preserve"> at paras. 52-62;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at para. 38;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paras. 20-21.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Subsection (c) requires the plaintiff to provide some basis in fact that at least some of the issues raised by the claims are common issues, whether or not they predominate over individual issues. Section 1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defines "common issues" as "(a) common but not necessarily identical issues of fact, or (b) common but not necessarily identical issues of law that arise from common but not necessarily identical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the Court held that the underlying question when analyzing commonality is "whether allowing the suit to proceed as a [class proceeding] will avoid duplication of fact-finding or legal analysis" (at para. 39).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the Court summarized the other holdings of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regarding commonality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at para. 108, citing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at paras. 39-40):</w:t>
      </w:r>
      <w:r>
        <w:rPr>
          <w:rFonts w:ascii="arial" w:eastAsia="arial" w:hAnsi="arial" w:cs="arial"/>
          <w:sz w:val="20"/>
          <w:lang w:val="en-US" w:eastAsia="en-US" w:bidi="ar-SA"/>
        </w:rPr>
        <w:cr/>
      </w:r>
    </w:p>
    <w:p>
      <w:pPr>
        <w:numPr>
          <w:numId w:val="4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commonality question should be approached purposively.</w:t>
      </w:r>
    </w:p>
    <w:p>
      <w:pPr>
        <w:numPr>
          <w:numId w:val="4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issue will be "common" only where its resolution is necessary to the resolution of each class member's claim.</w:t>
      </w:r>
    </w:p>
    <w:p>
      <w:pPr>
        <w:numPr>
          <w:numId w:val="4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essential that the class members be identically situated </w:t>
      </w:r>
      <w:r>
        <w:rPr>
          <w:rFonts w:ascii="arial" w:eastAsia="arial" w:hAnsi="arial" w:cs="arial"/>
          <w:i/>
          <w:color w:val="000000"/>
          <w:sz w:val="20"/>
          <w:lang w:val="en-US" w:eastAsia="en-US" w:bidi="ar-SA"/>
        </w:rPr>
        <w:t>vis-à-vis</w:t>
      </w:r>
      <w:r>
        <w:rPr>
          <w:rFonts w:ascii="arial" w:eastAsia="arial" w:hAnsi="arial" w:cs="arial"/>
          <w:color w:val="000000"/>
          <w:sz w:val="20"/>
          <w:lang w:val="en-US" w:eastAsia="en-US" w:bidi="ar-SA"/>
        </w:rPr>
        <w:t xml:space="preserve"> the opposing party.</w:t>
      </w:r>
    </w:p>
    <w:p>
      <w:pPr>
        <w:numPr>
          <w:numId w:val="4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not necessary that common issues predominate over non-common issues. However, the class members' claims must share a substantial common ingredient to justify a class action. The court will examine the significance of the common issues in relation to individual issues.</w:t>
      </w:r>
    </w:p>
    <w:p>
      <w:pPr>
        <w:numPr>
          <w:numId w:val="4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Success for one class member must mean success for all. All members of the class must benefit from the successful prosecution of the action, although not necessarily to the same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Court recently clarified the final point and held that "success for one member of the class does not necessarily have to lead to success for all the members. However, success for one member must not result in failure for another" (</w:t>
      </w:r>
      <w:r>
        <w:rPr>
          <w:rFonts w:ascii="arial" w:eastAsia="arial" w:hAnsi="arial" w:cs="arial"/>
          <w:i/>
          <w:color w:val="000000"/>
          <w:sz w:val="20"/>
          <w:lang w:val="en-US" w:eastAsia="en-US" w:bidi="ar-SA"/>
        </w:rPr>
        <w:t>Vivendi Canada Inc. v. Dell'Aniello</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2014 SCC 1</w:t>
        </w:r>
      </w:hyperlink>
      <w:r>
        <w:rPr>
          <w:rFonts w:ascii="arial" w:eastAsia="arial" w:hAnsi="arial" w:cs="arial"/>
          <w:color w:val="000000"/>
          <w:sz w:val="20"/>
          <w:lang w:val="en-US" w:eastAsia="en-US" w:bidi="ar-SA"/>
        </w:rPr>
        <w:t xml:space="preserve"> at para. 45). Further, questions may be common even if the answers to those questions vary from class member to class member (</w:t>
      </w:r>
      <w:r>
        <w:rPr>
          <w:rFonts w:ascii="arial" w:eastAsia="arial" w:hAnsi="arial" w:cs="arial"/>
          <w:i/>
          <w:color w:val="000000"/>
          <w:sz w:val="20"/>
          <w:lang w:val="en-US" w:eastAsia="en-US" w:bidi="ar-SA"/>
        </w:rPr>
        <w:t>Vivendi</w:t>
      </w:r>
      <w:r>
        <w:rPr>
          <w:rFonts w:ascii="arial" w:eastAsia="arial" w:hAnsi="arial" w:cs="arial"/>
          <w:color w:val="000000"/>
          <w:sz w:val="20"/>
          <w:lang w:val="en-US" w:eastAsia="en-US" w:bidi="ar-SA"/>
        </w:rPr>
        <w:t xml:space="preserve"> at paras. 45-46). In any event, concerns about unproven material differences are not determinative at certification. If they actually emerge during the proceeding, Courts can deal with them when the time comes, through decertification if necessary: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at para. 112;</w:t>
      </w:r>
      <w:r>
        <w:rPr>
          <w:rFonts w:ascii="arial" w:eastAsia="arial" w:hAnsi="arial" w:cs="arial"/>
          <w:i/>
          <w:color w:val="000000"/>
          <w:sz w:val="20"/>
          <w:lang w:val="en-US" w:eastAsia="en-US" w:bidi="ar-SA"/>
        </w:rPr>
        <w:t xml:space="preserve"> Dutton</w:t>
      </w:r>
      <w:r>
        <w:rPr>
          <w:rFonts w:ascii="arial" w:eastAsia="arial" w:hAnsi="arial" w:cs="arial"/>
          <w:color w:val="000000"/>
          <w:sz w:val="20"/>
          <w:lang w:val="en-US" w:eastAsia="en-US" w:bidi="ar-SA"/>
        </w:rPr>
        <w:t xml:space="preserve"> at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Under subsection (d), the plaintiff must show some basis in fact that a class proceeding is the preferable proceeding for the fair and efficient resolution of the common issues. In British Columbia, in contrast to some other provinces, there is legislative guidance that informs the preferability inquiry. Section 4(2)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In determining whether a class proceeding would be the preferable procedure for the fair and efficient resolution of the common issues, the court must consider all relevant matters including the following:</w:t>
      </w:r>
    </w:p>
    <w:p>
      <w:pPr>
        <w:numPr>
          <w:numId w:val="4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4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4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4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4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Section 4(2) does not provide an exhaustive list of factors relevant to preferability. In addition to the five enumerated factors, preferability must be examined with reference to the three principal advantages of the class action regime: judicial economy, access to justice, and behaviour modification. However, the plaintiff does not need to prove that the class action will actually achieve those goals: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at para. 137; </w:t>
      </w:r>
      <w:r>
        <w:rPr>
          <w:rFonts w:ascii="arial" w:eastAsia="arial" w:hAnsi="arial" w:cs="arial"/>
          <w:i/>
          <w:color w:val="000000"/>
          <w:sz w:val="20"/>
          <w:lang w:val="en-US" w:eastAsia="en-US" w:bidi="ar-SA"/>
        </w:rPr>
        <w:t>AIC Limited v. Fischer</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2013 SCC 69</w:t>
        </w:r>
      </w:hyperlink>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term "preferable" must be construed broadly within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It encompasses two related issues: the issue of whether or not the class proceeding would be a fair, efficient and manageable procedure for resolving the claims, and the issue of whether the class proceeding would be preferable to all other reasonably available means of resolving the class members' claims: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paras. 28 and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Moreover, in determining whether a class action would be the preferable procedure for "the fair and efficient resolution of the common issues" as required by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the court must consider the common issues in the context of the action as a whole and their importance in relation to the claims as a whole. To a certain extent, this is captured by s. 4(2)(a)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paras. 29-30; </w:t>
      </w:r>
      <w:r>
        <w:rPr>
          <w:rFonts w:ascii="arial" w:eastAsia="arial" w:hAnsi="arial" w:cs="arial"/>
          <w:i/>
          <w:color w:val="000000"/>
          <w:sz w:val="20"/>
          <w:lang w:val="en-US" w:eastAsia="en-US" w:bidi="ar-SA"/>
        </w:rPr>
        <w:t>AIC Limited</w:t>
      </w:r>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Finally, under subsection (e), the plaintiff must show some basis in fact that she is an appropriate representative plaintiff with reference to the three specified requirements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First, the plaintiff must fairly and accurately represent the interests of the class. The Court considered the nature of this requirement in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(at para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...In assessing whether the proposed representative is adequate, the court may look to the motivation of the representative, the competence of the representative's counsel, and the capacity of the representative to bear any costs that may be incurred by the representative in particular (as opposed to by counsel or by the class members generally). The proposed representative need not be "typical" of the class, nor the "best" possible representative. The court should be satisfied, however, that the proposed representative will vigorously and capably prosecute the interests of the class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Further, the most important attributes of a representative plaintiff are a common interest with class members and the ability and desire to vigorously prosecute the claims (</w:t>
      </w:r>
      <w:r>
        <w:rPr>
          <w:rFonts w:ascii="arial" w:eastAsia="arial" w:hAnsi="arial" w:cs="arial"/>
          <w:i/>
          <w:color w:val="000000"/>
          <w:sz w:val="20"/>
          <w:lang w:val="en-US" w:eastAsia="en-US" w:bidi="ar-SA"/>
        </w:rPr>
        <w:t>Campbell v. Flexwatt Corp.</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(1997), 44 B.C.L.R. (3d) 343</w:t>
        </w:r>
      </w:hyperlink>
      <w:r>
        <w:rPr>
          <w:rFonts w:ascii="arial" w:eastAsia="arial" w:hAnsi="arial" w:cs="arial"/>
          <w:color w:val="000000"/>
          <w:sz w:val="20"/>
          <w:lang w:val="en-US" w:eastAsia="en-US" w:bidi="ar-SA"/>
        </w:rPr>
        <w:t xml:space="preserve"> (C.A.). at para. 75, citing </w:t>
      </w:r>
      <w:r>
        <w:rPr>
          <w:rFonts w:ascii="arial" w:eastAsia="arial" w:hAnsi="arial" w:cs="arial"/>
          <w:i/>
          <w:color w:val="000000"/>
          <w:sz w:val="20"/>
          <w:lang w:val="en-US" w:eastAsia="en-US" w:bidi="ar-SA"/>
        </w:rPr>
        <w:t>Endean v. The Canadian Red Cross Society</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(1997), 148 D.L.R. (4th) 158</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Second, the plaintiff must have a litigation plan with a workable method of advancing the proceeding and of notifying the class members. The purpose of this requirement was described in </w:t>
      </w:r>
      <w:r>
        <w:rPr>
          <w:rFonts w:ascii="arial" w:eastAsia="arial" w:hAnsi="arial" w:cs="arial"/>
          <w:i/>
          <w:color w:val="000000"/>
          <w:sz w:val="20"/>
          <w:lang w:val="en-US" w:eastAsia="en-US" w:bidi="ar-SA"/>
        </w:rPr>
        <w:t>Fakhri v. Alfalfa's Canada Inc.</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2003 BCSC 1717</w:t>
        </w:r>
      </w:hyperlink>
      <w:r>
        <w:rPr>
          <w:rFonts w:ascii="arial" w:eastAsia="arial" w:hAnsi="arial" w:cs="arial"/>
          <w:color w:val="000000"/>
          <w:sz w:val="20"/>
          <w:lang w:val="en-US" w:eastAsia="en-US" w:bidi="ar-SA"/>
        </w:rPr>
        <w:t xml:space="preserve"> at para. 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[77] The purpose of the plan for proceeding at the certification stage is to aid the court by providing a framework within which the case may proceed and to demonstrate that the representative plaintiff and class counsel have a clear grasp of the complexities involved in the case which are apparent at the time of certification and a plan to address them. The court does not scrutinize the plan at the certification hearing to ensure that it will be capable of carrying the case through to trial and resolution of the common issues without amendment. It is anticipated that plans will require amendments as the case proceeds and the nature of the individual issues are demonstrated by the class members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Moreover, the plan must support the idea that a class action is the preferable procedure for the resolution of the claim. The amount of detail in the plan must correspond to the circumstances and the complexity of each specific case, but the plan must at least be individualized and not a mere outline of the steps that would occur in any case. The plan must also deal with individual issues that will be left over after the common issues are resolved: </w:t>
      </w:r>
      <w:r>
        <w:rPr>
          <w:rFonts w:ascii="arial" w:eastAsia="arial" w:hAnsi="arial" w:cs="arial"/>
          <w:i/>
          <w:color w:val="000000"/>
          <w:sz w:val="20"/>
          <w:lang w:val="en-US" w:eastAsia="en-US" w:bidi="ar-SA"/>
        </w:rPr>
        <w:t>Pro-Sys Consultants Ltd. v. Infineon Technologies AG</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2009 BCCA 503</w:t>
        </w:r>
      </w:hyperlink>
      <w:r>
        <w:rPr>
          <w:rFonts w:ascii="arial" w:eastAsia="arial" w:hAnsi="arial" w:cs="arial"/>
          <w:color w:val="000000"/>
          <w:sz w:val="20"/>
          <w:lang w:val="en-US" w:eastAsia="en-US" w:bidi="ar-SA"/>
        </w:rPr>
        <w:t xml:space="preserve"> at para. 79 [</w:t>
      </w:r>
      <w:r>
        <w:rPr>
          <w:rFonts w:ascii="arial" w:eastAsia="arial" w:hAnsi="arial" w:cs="arial"/>
          <w:i/>
          <w:color w:val="000000"/>
          <w:sz w:val="20"/>
          <w:lang w:val="en-US" w:eastAsia="en-US" w:bidi="ar-SA"/>
        </w:rPr>
        <w:t>Infineon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Pardhan v. Bank of Montreal</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2012 ONSC 2229</w:t>
        </w:r>
      </w:hyperlink>
      <w:r>
        <w:rPr>
          <w:rFonts w:ascii="arial" w:eastAsia="arial" w:hAnsi="arial" w:cs="arial"/>
          <w:color w:val="000000"/>
          <w:sz w:val="20"/>
          <w:lang w:val="en-US" w:eastAsia="en-US" w:bidi="ar-SA"/>
        </w:rPr>
        <w:t xml:space="preserve"> at paras. 334-337.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Third, the plaintiff must not have a conflict of interest with other class members on the common issues. In some cases opt-out provisions may be relied on, or subclasses may be created, to alleviate any conflicts of interest (for example, </w:t>
      </w:r>
      <w:r>
        <w:rPr>
          <w:rFonts w:ascii="arial" w:eastAsia="arial" w:hAnsi="arial" w:cs="arial"/>
          <w:i/>
          <w:color w:val="000000"/>
          <w:sz w:val="20"/>
          <w:lang w:val="en-US" w:eastAsia="en-US" w:bidi="ar-SA"/>
        </w:rPr>
        <w:t>Kotai v. Queen of the North (Ship)</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2007 BCSC 1056</w:t>
        </w:r>
      </w:hyperlink>
      <w:r>
        <w:rPr>
          <w:rFonts w:ascii="arial" w:eastAsia="arial" w:hAnsi="arial" w:cs="arial"/>
          <w:color w:val="000000"/>
          <w:sz w:val="20"/>
          <w:lang w:val="en-US" w:eastAsia="en-US" w:bidi="ar-SA"/>
        </w:rPr>
        <w:t xml:space="preserve">), while in other cases the interests of the plaintiff and the class or subclass might be irreconcilable (for example, </w:t>
      </w:r>
      <w:r>
        <w:rPr>
          <w:rFonts w:ascii="arial" w:eastAsia="arial" w:hAnsi="arial" w:cs="arial"/>
          <w:i/>
          <w:color w:val="000000"/>
          <w:sz w:val="20"/>
          <w:lang w:val="en-US" w:eastAsia="en-US" w:bidi="ar-SA"/>
        </w:rPr>
        <w:t>MacDougall v. Ontario Northland Transportation Commission</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[2006] O.J. No. 5164</w:t>
        </w:r>
      </w:hyperlink>
      <w:r>
        <w:rPr>
          <w:rFonts w:ascii="arial" w:eastAsia="arial" w:hAnsi="arial" w:cs="arial"/>
          <w:color w:val="000000"/>
          <w:sz w:val="20"/>
          <w:lang w:val="en-US" w:eastAsia="en-US" w:bidi="ar-SA"/>
        </w:rPr>
        <w:t xml:space="preserve"> (S.C.), aff'd </w:t>
      </w:r>
      <w:hyperlink r:id="rId105" w:history="1">
        <w:r>
          <w:rPr>
            <w:rFonts w:ascii="arial" w:eastAsia="arial" w:hAnsi="arial" w:cs="arial"/>
            <w:i/>
            <w:color w:val="0077CC"/>
            <w:sz w:val="20"/>
            <w:u w:val="single"/>
            <w:shd w:val="clear" w:color="auto" w:fill="FFFFFF"/>
            <w:lang w:val="en-US" w:eastAsia="en-US" w:bidi="ar-SA"/>
          </w:rPr>
          <w:t>[2007] O.J. No. 573</w:t>
        </w:r>
      </w:hyperlink>
      <w:r>
        <w:rPr>
          <w:rFonts w:ascii="arial" w:eastAsia="arial" w:hAnsi="arial" w:cs="arial"/>
          <w:color w:val="000000"/>
          <w:sz w:val="20"/>
          <w:lang w:val="en-US" w:eastAsia="en-US" w:bidi="ar-SA"/>
        </w:rPr>
        <w:t xml:space="preserve"> (Div. Ct.)).</w:t>
      </w:r>
      <w:r>
        <w:rPr>
          <w:rFonts w:ascii="arial" w:eastAsia="arial" w:hAnsi="arial" w:cs="arial"/>
          <w:sz w:val="20"/>
          <w:lang w:val="en-US" w:eastAsia="en-US" w:bidi="ar-SA"/>
        </w:rPr>
        <w:cr/>
      </w:r>
    </w:p>
    <w:p>
      <w:pPr>
        <w:spacing w:line="260" w:lineRule="atLeast"/>
        <w:ind w:left="360"/>
        <w:rPr>
          <w:rFonts w:ascii="arial" w:eastAsia="arial" w:hAnsi="arial" w:cs="arial"/>
          <w:sz w:val="20"/>
          <w:lang w:val="en-US" w:eastAsia="en-US" w:bidi="ar-SA"/>
        </w:rPr>
      </w:pPr>
      <w:r>
        <w:rPr>
          <w:rFonts w:ascii="arial" w:eastAsia="arial" w:hAnsi="arial" w:cs="arial"/>
          <w:b/>
          <w:color w:val="000000"/>
          <w:sz w:val="20"/>
          <w:lang w:val="en-US" w:eastAsia="en-US" w:bidi="ar-SA"/>
        </w:rPr>
        <w:t>V.</w:t>
      </w:r>
      <w:r>
        <w:rPr>
          <w:rFonts w:ascii="arial" w:eastAsia="arial" w:hAnsi="arial" w:cs="arial"/>
          <w:b/>
          <w:i/>
          <w:color w:val="000000"/>
          <w:sz w:val="20"/>
          <w:lang w:val="en-US" w:eastAsia="en-US" w:bidi="ar-SA"/>
        </w:rPr>
        <w:t>CPA</w:t>
      </w:r>
      <w:r>
        <w:rPr>
          <w:rFonts w:ascii="arial" w:eastAsia="arial" w:hAnsi="arial" w:cs="arial"/>
          <w:b/>
          <w:color w:val="000000"/>
          <w:sz w:val="20"/>
          <w:lang w:val="en-US" w:eastAsia="en-US" w:bidi="ar-SA"/>
        </w:rPr>
        <w:t xml:space="preserve"> SECTION 4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Section 4(1)(a)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defendants advance essentially four reasons supporting their submission that it is plain and obvious that the pleadings do not disclose causes of action (Defendants' Joint Submissions at paras. 155-158):</w:t>
      </w:r>
      <w:r>
        <w:rPr>
          <w:rFonts w:ascii="arial" w:eastAsia="arial" w:hAnsi="arial" w:cs="arial"/>
          <w:sz w:val="20"/>
          <w:lang w:val="en-US" w:eastAsia="en-US" w:bidi="ar-SA"/>
        </w:rPr>
        <w:cr/>
      </w:r>
    </w:p>
    <w:p>
      <w:pPr>
        <w:numPr>
          <w:numId w:val="4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the Amended Claim does not meet the minimum standard required to plead each cause of action.</w:t>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Second, the plaintiff's claims for damages under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are barred by the two year period of limitation under section 36(4) of the </w:t>
      </w:r>
      <w:r>
        <w:rPr>
          <w:rFonts w:ascii="arial" w:eastAsia="arial" w:hAnsi="arial" w:cs="arial"/>
          <w:i/>
          <w:color w:val="000000"/>
          <w:sz w:val="20"/>
          <w:lang w:val="en-US" w:eastAsia="en-US" w:bidi="ar-SA"/>
        </w:rPr>
        <w:t>Competition Act.</w:t>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Third, the claims in civil conspiracy, IIER [intentional interference with economic relations], unjust enrichment, and waiver of tort all fail because each of these is founded upon a breach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The remedy under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is the sole remedy available both as a matter of statutory construction and under common law principles.</w:t>
      </w:r>
    </w:p>
    <w:p>
      <w:pPr>
        <w:numPr>
          <w:numId w:val="4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Fourth, the plaintiff's claims are indirect and barred by application of the principles set out by the Court of Appeal in </w:t>
      </w:r>
      <w:r>
        <w:rPr>
          <w:rFonts w:ascii="arial" w:eastAsia="arial" w:hAnsi="arial" w:cs="arial"/>
          <w:i/>
          <w:color w:val="000000"/>
          <w:sz w:val="20"/>
          <w:lang w:val="en-US" w:eastAsia="en-US" w:bidi="ar-SA"/>
        </w:rPr>
        <w:t>Sun-Rype v. Archer Daniels Midland et al</w:t>
      </w:r>
      <w:r>
        <w:rPr>
          <w:rFonts w:ascii="arial" w:eastAsia="arial" w:hAnsi="arial" w:cs="arial"/>
          <w:color w:val="000000"/>
          <w:sz w:val="20"/>
          <w:lang w:val="en-US" w:eastAsia="en-US" w:bidi="ar-SA"/>
        </w:rPr>
        <w:t>. The plaintiff does not have a cause of action for restitutionary relief, or damages against the Issuers or networks. Appeals from both of these decisions is on reserve at the Supreme Court of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 will examine each cause of action pled in light of these submissions. But I will begin by discussing the general bar advanced by the defendants: that the plaintiff's classes are indirect customers and barred by application of the principles set out by the British Columbia Court of Appeal in </w:t>
      </w:r>
      <w:r>
        <w:rPr>
          <w:rFonts w:ascii="arial" w:eastAsia="arial" w:hAnsi="arial" w:cs="arial"/>
          <w:i/>
          <w:color w:val="000000"/>
          <w:sz w:val="20"/>
          <w:lang w:val="en-US" w:eastAsia="en-US" w:bidi="ar-SA"/>
        </w:rPr>
        <w:t>Sun-Rype Products Ltd. v. Archer Daniels Midland Company,</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2011 BCCA 187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That decision has been, of course, overtaken by the Supreme Court of Canada's decisions in that case ( </w:t>
      </w:r>
      <w:hyperlink r:id="rId95" w:history="1">
        <w:r>
          <w:rPr>
            <w:rFonts w:ascii="arial" w:eastAsia="arial" w:hAnsi="arial" w:cs="arial"/>
            <w:i/>
            <w:color w:val="0077CC"/>
            <w:sz w:val="20"/>
            <w:u w:val="single"/>
            <w:shd w:val="clear" w:color="auto" w:fill="FFFFFF"/>
            <w:lang w:val="en-US" w:eastAsia="en-US" w:bidi="ar-SA"/>
          </w:rPr>
          <w:t>2013 SCC 58</w:t>
        </w:r>
      </w:hyperlink>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Infineon Technologies AG v. Option consommateurs</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2013 SCC 59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the Court reviewed the issue of whether indirect purchasers have a cause of action against a party who has effectuated a supracompetitive overcharge at the top of a distribution chain that has allegedly injured indirect purchasers as a result of the overcharge being "passed on" to them through the distribution chain. The Court concluded (at para. 60):</w:t>
      </w:r>
      <w:r>
        <w:rPr>
          <w:rFonts w:ascii="arial" w:eastAsia="arial" w:hAnsi="arial" w:cs="arial"/>
          <w:sz w:val="20"/>
          <w:lang w:val="en-US" w:eastAsia="en-US" w:bidi="ar-SA"/>
        </w:rPr>
        <w:cr/>
      </w:r>
    </w:p>
    <w:p>
      <w:pPr>
        <w:numPr>
          <w:numId w:val="4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the passing-on </w:t>
      </w:r>
      <w:r>
        <w:rPr>
          <w:rFonts w:ascii="arial" w:eastAsia="arial" w:hAnsi="arial" w:cs="arial"/>
          <w:i/>
          <w:color w:val="000000"/>
          <w:sz w:val="20"/>
          <w:lang w:val="en-US" w:eastAsia="en-US" w:bidi="ar-SA"/>
        </w:rPr>
        <w:t>defence</w:t>
      </w:r>
      <w:r>
        <w:rPr>
          <w:rFonts w:ascii="arial" w:eastAsia="arial" w:hAnsi="arial" w:cs="arial"/>
          <w:color w:val="000000"/>
          <w:sz w:val="20"/>
          <w:lang w:val="en-US" w:eastAsia="en-US" w:bidi="ar-SA"/>
        </w:rPr>
        <w:t xml:space="preserve"> is unavailable as a matter of restitution law, it does not follow that indirect purchasers should be foreclosed from claiming losses passed on to them. In summary:</w:t>
      </w:r>
    </w:p>
    <w:p>
      <w:pPr>
        <w:numPr>
          <w:numId w:val="4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risks of multiple recovery and the concerns of complexity and remoteness are insufficient bases for precluding indirect purchasers from bringing actions against the defendants responsible for overcharges that may have been passed on to them.</w:t>
      </w:r>
    </w:p>
    <w:p>
      <w:pPr>
        <w:numPr>
          <w:numId w:val="5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deterrence function of the competition law in Canada is not likely to be impaired by indirect purchaser actions.</w:t>
      </w:r>
    </w:p>
    <w:p>
      <w:pPr>
        <w:numPr>
          <w:numId w:val="5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passing-on defence is contrary to basic restitutionary principles, those same principles are promoted by allowing passing on to be used offensively.</w:t>
      </w:r>
    </w:p>
    <w:p>
      <w:pPr>
        <w:numPr>
          <w:numId w:val="52"/>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the rule in </w:t>
      </w:r>
      <w:r>
        <w:rPr>
          <w:rFonts w:ascii="arial" w:eastAsia="arial" w:hAnsi="arial" w:cs="arial"/>
          <w:i/>
          <w:color w:val="000000"/>
          <w:sz w:val="20"/>
          <w:lang w:val="en-US" w:eastAsia="en-US" w:bidi="ar-SA"/>
        </w:rPr>
        <w:t>Illinois Brick</w:t>
      </w:r>
      <w:r>
        <w:rPr>
          <w:rFonts w:ascii="arial" w:eastAsia="arial" w:hAnsi="arial" w:cs="arial"/>
          <w:color w:val="000000"/>
          <w:sz w:val="20"/>
          <w:lang w:val="en-US" w:eastAsia="en-US" w:bidi="ar-SA"/>
        </w:rPr>
        <w:t xml:space="preserve"> remains good law at the federal level in the United States, its subsequent repeal at the state level in many jurisdictions and the report to Congress recommending its reversal demonstrate that its rationale is under question.</w:t>
      </w:r>
    </w:p>
    <w:p>
      <w:pPr>
        <w:numPr>
          <w:numId w:val="53"/>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Despite some initial support, the recent doctrinal commentary favours overturning the rule in </w:t>
      </w:r>
      <w:r>
        <w:rPr>
          <w:rFonts w:ascii="arial" w:eastAsia="arial" w:hAnsi="arial" w:cs="arial"/>
          <w:i/>
          <w:color w:val="000000"/>
          <w:sz w:val="20"/>
          <w:lang w:val="en-US" w:eastAsia="en-US" w:bidi="ar-SA"/>
        </w:rPr>
        <w:t>Illinois Brick</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any event, the plaintiff's case in conspiracy includes the Acquirers with whom the plaintiff and members of the proposed classes are in a direct commercial relationship by way of payment of the Merchant Discount Fees, which, on the plaintiff's theory, consist in huge measure of the supracompetitive Default Interchange Fees. From this perspective, the plaintiff maintains that as pled, it is not an indirect purchaser complaining of torts up the distribution chain.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Under either scenario - the plaintiff and the proposed classes as the victims of a conspiracy directly aimed at them by their immediate "vendors", or the plaintiff and the classes as indirect purchasers of the "product" which has been supracompetitively priced, in light of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the plaintiff does not founder on the now discredited "indirect purchaser"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On a related issue, I have concluded that it is not plain and obvious that the plaintiff's claim will fail because the </w:t>
      </w:r>
      <w:r>
        <w:rPr>
          <w:rFonts w:ascii="arial" w:eastAsia="arial" w:hAnsi="arial" w:cs="arial"/>
          <w:i/>
          <w:color w:val="000000"/>
          <w:sz w:val="20"/>
          <w:lang w:val="en-US" w:eastAsia="en-US" w:bidi="ar-SA"/>
        </w:rPr>
        <w:t>Tribunal Decision</w:t>
      </w:r>
      <w:r>
        <w:rPr>
          <w:rFonts w:ascii="arial" w:eastAsia="arial" w:hAnsi="arial" w:cs="arial"/>
          <w:color w:val="000000"/>
          <w:sz w:val="20"/>
          <w:lang w:val="en-US" w:eastAsia="en-US" w:bidi="ar-SA"/>
        </w:rPr>
        <w:t xml:space="preserve"> found that Acquirers do not resell the service they receive from the networks to merchants. First, the </w:t>
      </w:r>
      <w:r>
        <w:rPr>
          <w:rFonts w:ascii="arial" w:eastAsia="arial" w:hAnsi="arial" w:cs="arial"/>
          <w:i/>
          <w:color w:val="000000"/>
          <w:sz w:val="20"/>
          <w:lang w:val="en-US" w:eastAsia="en-US" w:bidi="ar-SA"/>
        </w:rPr>
        <w:t>Tribunal Decision</w:t>
      </w:r>
      <w:r>
        <w:rPr>
          <w:rFonts w:ascii="arial" w:eastAsia="arial" w:hAnsi="arial" w:cs="arial"/>
          <w:color w:val="000000"/>
          <w:sz w:val="20"/>
          <w:lang w:val="en-US" w:eastAsia="en-US" w:bidi="ar-SA"/>
        </w:rPr>
        <w:t xml:space="preserve"> is not binding on this application and such a factual finding is premature at this stage. Second, in allowing actions by indirect purchasers the Court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was primarily concerned with the effect of overcharges on subsequent purchasers. Whether those subsequent purchasers, in this case the merchants, actually purchase the original service may be irrelevant if they are still, effectively, overcharged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One can consider a hypothetical case of a cartel of jet fuel producers engaged in a price-fixing conspiracy. In such a case airlines would presumably pass the increased cost of the fuel on to passengers via a fuel surcharge or a simple increase in ticket prices. There would be no true resale of the jet fuel as it would be consumed in flight and the passengers would never acquire any rights to it. In light of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I do not believe that an indirect action by the passengers against the cartel would fail on the plain and obvious standard. I am similarly convinced that this case may proceed despite the Tribunal's findings on the resale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turn to each cause of action in turn and the remainder of the parties'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882"/>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1.</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Competition Act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 </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Claims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plaintiff pleads that the defendants breached ss. 45 and 61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and consequentially seeks damages under s.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1987"/>
        <w:gridCol w:w="5437"/>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Section 45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defendants note that the class period engages two versions of s. 45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that before 12 March 2010 and the new s. 45 brought into force by amendments effective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defendants say that the plaintiff's pleadings are deficient regardless of which version is being considered (Defendants' Joint Submissions at para. 163):</w:t>
      </w:r>
      <w:r>
        <w:rPr>
          <w:rFonts w:ascii="arial" w:eastAsia="arial" w:hAnsi="arial" w:cs="arial"/>
          <w:sz w:val="20"/>
          <w:lang w:val="en-US" w:eastAsia="en-US" w:bidi="ar-SA"/>
        </w:rPr>
        <w:cr/>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45 provides for an indictable criminal offence, the current penalty for the commission of which is imprisonment of up to fourteen years, and a fine of up to $25 million or both. Contrary to the principles outlined above, the plaintiff's claims of criminal conduct are perfunctory and do not plead the elements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or the statutory amendments. As these pleading deficiencies obscure substantive bars to the plaintiff's claims, the statutory requirements are outlined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Presently, s. 45 provides,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(1) Every person commits an offence who, with a competitor of that person with respect to a product, conspires, agrees or arranges</w:t>
      </w:r>
    </w:p>
    <w:p>
      <w:pPr>
        <w:numPr>
          <w:numId w:val="55"/>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to fix, maintain, increase or control the price for the supply of the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Prior to 12 March 2010, s. 45 provided,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(1) Every one who conspires, combines, agrees or arranges with another person...</w:t>
      </w:r>
    </w:p>
    <w:p>
      <w:pPr>
        <w:numPr>
          <w:numId w:val="56"/>
        </w:numPr>
        <w:tabs>
          <w:tab w:val="clear" w:pos="76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prevent or lessen, unduly, competition in the production, manufacture, purchase, barter, sale, storage, rental, transportation or supply of a product, or in the price of insurance on persons or property, 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is guilty of an indictable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main effects of the amendment are that it is now only an offence to conspire with competitors and that there no longer needs to be an analysis concerning whether the conspiracy had an </w:t>
      </w:r>
      <w:r>
        <w:rPr>
          <w:rFonts w:ascii="arial" w:eastAsia="arial" w:hAnsi="arial" w:cs="arial"/>
          <w:i/>
          <w:color w:val="000000"/>
          <w:sz w:val="20"/>
          <w:lang w:val="en-US" w:eastAsia="en-US" w:bidi="ar-SA"/>
        </w:rPr>
        <w:t>undue</w:t>
      </w:r>
      <w:r>
        <w:rPr>
          <w:rFonts w:ascii="arial" w:eastAsia="arial" w:hAnsi="arial" w:cs="arial"/>
          <w:color w:val="000000"/>
          <w:sz w:val="20"/>
          <w:lang w:val="en-US" w:eastAsia="en-US" w:bidi="ar-SA"/>
        </w:rPr>
        <w:t xml:space="preserve"> effect on competition. I will refer to the sections as New Section 45 and Old Section 45,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Both sections are criminal offences with an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and a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For Old Section 45, the elements of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are a conspiracy, an agreement or arrangement entered into by the accused and an undue preventing or lessening of competition flowing from that agreement. For New Section 45,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is simply a conspiracy, agreement or arrangement with a competitor to fix, maintain, increase, or control the price of a product. For Old Section 45,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has both a subjective and an objective component. The elements of the subjective component are the accused's intention to enter the agreement and the accused's knowledge of the terms of the agreement, unless there is evidence that the accused did not intend to carry out that agreement. The only element of the objective component is an objective intention to unduly lessen competition. This objective element will likely be established if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is made out. Given the similarities in the sections, I see no reason why the elements of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required for New Section 45 would differ, except to the extent that the objective requirement should require an objective intention to fix, maintain or control a price instead of an objective intention to unduly lessen competition (</w:t>
      </w:r>
      <w:r>
        <w:rPr>
          <w:rFonts w:ascii="arial" w:eastAsia="arial" w:hAnsi="arial" w:cs="arial"/>
          <w:i/>
          <w:color w:val="000000"/>
          <w:sz w:val="20"/>
          <w:lang w:val="en-US" w:eastAsia="en-US" w:bidi="ar-SA"/>
        </w:rPr>
        <w:t>R v. Nova Scotia Pharmaceutical Society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2 S.C.R. 606</w:t>
      </w:r>
      <w:r>
        <w:rPr>
          <w:rFonts w:ascii="arial" w:eastAsia="arial" w:hAnsi="arial" w:cs="arial"/>
          <w:color w:val="000000"/>
          <w:sz w:val="20"/>
          <w:lang w:val="en-US" w:eastAsia="en-US" w:bidi="ar-SA"/>
        </w:rPr>
        <w:t xml:space="preserve"> at 643-660, discussing s. 32(1)(c), the predecessor to Old Section 45(1)(c); </w:t>
      </w:r>
      <w:r>
        <w:rPr>
          <w:rFonts w:ascii="arial" w:eastAsia="arial" w:hAnsi="arial" w:cs="arial"/>
          <w:i/>
          <w:color w:val="000000"/>
          <w:sz w:val="20"/>
          <w:lang w:val="en-US" w:eastAsia="en-US" w:bidi="ar-SA"/>
        </w:rPr>
        <w:t>Fairview Donut Inc. v. The TDL Group Corp.</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2012 ONSC 1252</w:t>
        </w:r>
      </w:hyperlink>
      <w:r>
        <w:rPr>
          <w:rFonts w:ascii="arial" w:eastAsia="arial" w:hAnsi="arial" w:cs="arial"/>
          <w:color w:val="000000"/>
          <w:sz w:val="20"/>
          <w:lang w:val="en-US" w:eastAsia="en-US" w:bidi="ar-SA"/>
        </w:rPr>
        <w:t xml:space="preserve"> at paras. 615-634 [</w:t>
      </w:r>
      <w:r>
        <w:rPr>
          <w:rFonts w:ascii="arial" w:eastAsia="arial" w:hAnsi="arial" w:cs="arial"/>
          <w:i/>
          <w:color w:val="000000"/>
          <w:sz w:val="20"/>
          <w:lang w:val="en-US" w:eastAsia="en-US" w:bidi="ar-SA"/>
        </w:rPr>
        <w:t>Tim Hortons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Amended Claim sets out the allegations of the Visa Conspiracy at paragraphs 43-48. In summary, the plaintiff pleads that:</w:t>
      </w:r>
      <w:r>
        <w:rPr>
          <w:rFonts w:ascii="arial" w:eastAsia="arial" w:hAnsi="arial" w:cs="arial"/>
          <w:sz w:val="20"/>
          <w:lang w:val="en-US" w:eastAsia="en-US" w:bidi="ar-SA"/>
        </w:rPr>
        <w:cr/>
      </w:r>
    </w:p>
    <w:p>
      <w:pPr>
        <w:numPr>
          <w:numId w:val="57"/>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Visa and its Issuers entered into anti-competitive agreements, such as the Network Rules, to fix the rate of Interchange payable by Acquirers to Issuers;</w:t>
      </w:r>
    </w:p>
    <w:p>
      <w:pPr>
        <w:numPr>
          <w:numId w:val="57"/>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Visa, the Issuers and the Acquirers entered into anti-competitive agreements, and that pursuant to these agreements the Acquirers entered into agreements with merchants that imposed anti-competitive terms and conditions including the Network Rules;</w:t>
      </w:r>
    </w:p>
    <w:p>
      <w:pPr>
        <w:numPr>
          <w:numId w:val="57"/>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agreements had the effect of imposing supracompetitive Merchant Discount Fees (in particular, Default Interchange Fees); and</w:t>
      </w:r>
    </w:p>
    <w:p>
      <w:pPr>
        <w:numPr>
          <w:numId w:val="57"/>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Senior executives of the defendants communicated and through those communications the defendants imposed the Visa Rules on merchants, fixed the default rates of interchange, exchanged information about compliance with the Network Rules by merchants, concealed the elements of Merchant Discount Fees from merchants, and disciplined Acquirers who failed to impose certain rules and restrictions.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Effectively identical facts are pled regarding the MasterCard Conspiracy at paragraphs 49-54. At paragraphs 56-58, the plaintiff particularizes the breach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claim by specifying that the defendants conspired to fix, maintain, increase, or control the price for the supply of credit card network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 will deal with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of both New and Old Section 45 before turning to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For both New and Old Section 45, the plaintiff has pled the existence of a conspiracy via anti-competitive agreements, including the various Network Rules. For Old Section 45, the plaintiff has pled that the conspiracy involved all of the major networks and Issuers in a concentrated industry (Amended Claim at paras. 17-18). On that basis and on the basis of the content of the alleged anti-competitive agreements, the plaintiff has pled an undue lessening of competition. Given the alleged imposition of supracompetitive Interchange Fees and Merchant Discount Fees via the alleged agreements the plaintiff has certainly pled the fixing and maintenance of a price for New Section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response the defendants argue that, regarding New Section 45, there is no pleading of an agreement between competitors. To be competitors, the relevant person must compete or be likely to compete with respect to the products that are the subject of the New Section 45 claim (</w:t>
      </w:r>
      <w:r>
        <w:rPr>
          <w:rFonts w:ascii="arial" w:eastAsia="arial" w:hAnsi="arial" w:cs="arial"/>
          <w:i/>
          <w:color w:val="000000"/>
          <w:sz w:val="20"/>
          <w:lang w:val="en-US" w:eastAsia="en-US" w:bidi="ar-SA"/>
        </w:rPr>
        <w:t>Competition</w:t>
      </w:r>
      <w:r>
        <w:rPr>
          <w:rFonts w:ascii="arial" w:eastAsia="arial" w:hAnsi="arial" w:cs="arial"/>
          <w:color w:val="000000"/>
          <w:sz w:val="20"/>
          <w:lang w:val="en-US" w:eastAsia="en-US" w:bidi="ar-SA"/>
        </w:rPr>
        <w:t xml:space="preserve"> Act, s. 45(8); </w:t>
      </w:r>
      <w:r>
        <w:rPr>
          <w:rFonts w:ascii="arial" w:eastAsia="arial" w:hAnsi="arial" w:cs="arial"/>
          <w:i/>
          <w:color w:val="000000"/>
          <w:sz w:val="20"/>
          <w:lang w:val="en-US" w:eastAsia="en-US" w:bidi="ar-SA"/>
        </w:rPr>
        <w:t>Tim Hortons</w:t>
      </w:r>
      <w:r>
        <w:rPr>
          <w:rFonts w:ascii="arial" w:eastAsia="arial" w:hAnsi="arial" w:cs="arial"/>
          <w:color w:val="000000"/>
          <w:sz w:val="20"/>
          <w:lang w:val="en-US" w:eastAsia="en-US" w:bidi="ar-SA"/>
        </w:rPr>
        <w:t xml:space="preserve"> at para. 631). I accept the defendants' argument that in the context of this case this means an agreement between Visa and MasterCard, between Issuers, or between Acquirers. An agreement between Visa and TD, for example, could not be in breach of New Section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defendants argue that the only agreements pled are between non-competitors, such as the Network Rules. Visa and MasterCard are not alleged to have entered an agreement together and the defendants claim that the allegation that the Issuers entered agreements with Visa, MasterCard, and critically, each other is merely speculative.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My understanding of the pleadings set out above is that the defendant Issuers all agreed, in conjunction with Visa or MasterCard, depending on the conspiracy, to maintain or increase Interchange Fees and Merchant Discount Fees while maintaining the Network Rules. Thus the agreement between Issuers was an agreement to maintain prices. Visa and MasterCard are alleged to have been parties to those agreements given their role in setting Default Interchange Fees. While the pleadings are not specific concerning these alleged agreements, I cannot say that it is plain and obvious that the claim will fail, especially since I must assume the facts set out in the pleadings to be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Regarding Old Section 45, the defendants argue that the plaintiff fails to address how the agreements would unduly restrain competition. First, for the reasons set out above I think the possibility of an undue lessening is apparent from the pleadings. Second I have trouble envisioning how such a pleading would read. What more could the plaintiff plead beyond a statement that any lessening of competition was undue? Even if that were required I would not strike the claim on such a technical omission and would grant leave to amend it. I would not give effect to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As a result, the plaintiff has properly pled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of both New and Old Section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Concerning the </w:t>
      </w:r>
      <w:r>
        <w:rPr>
          <w:rFonts w:ascii="arial" w:eastAsia="arial" w:hAnsi="arial" w:cs="arial"/>
          <w:i/>
          <w:color w:val="000000"/>
          <w:sz w:val="20"/>
          <w:lang w:val="en-US" w:eastAsia="en-US" w:bidi="ar-SA"/>
        </w:rPr>
        <w:t>mens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rea</w:t>
      </w:r>
      <w:r>
        <w:rPr>
          <w:rFonts w:ascii="arial" w:eastAsia="arial" w:hAnsi="arial" w:cs="arial"/>
          <w:color w:val="000000"/>
          <w:sz w:val="20"/>
          <w:lang w:val="en-US" w:eastAsia="en-US" w:bidi="ar-SA"/>
        </w:rPr>
        <w:t xml:space="preserve">, the plaintiff has pled that the defendants entered the alleged agreements. Again a sentence in the pleadings alleging that the agreements were entered voluntarily and that the defendants knew of the content of the agreements would be wholly redundant and can be inferred. An objective intention to both unduly limit competition and fix or maintain Interchange Fees and Merchant Discount Fees can be inferred from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pleadings and the content of the alleged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defendants argue that the pleadings do not identify, when, where, or through whom any agreements, with the necessary criminal intent, were reached in relation to any or all of the defendants. First I doubt that the "where" is relevant at this stage. More substantially, and as before, assuming the facts setting out the alleged conspiracies are true, the failure to plead in the level of specificity desired by the defendants is not fatal. It is not plain and obvious that the claim will fail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Consequentially, the plaintiff has pled the necessary elements of both New and Old Section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defendants also argue that the New Section 45 claims are bound to fail because of the defence in s. 45(4),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(4) No person shall be convicted of an offence under subsection (1) in respect of a conspiracy, agreement or arrangement that would otherwise contravene that subsection if</w:t>
      </w:r>
    </w:p>
    <w:p>
      <w:pPr>
        <w:numPr>
          <w:numId w:val="58"/>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establishes, on a balance of probabilities, that</w:t>
      </w:r>
    </w:p>
    <w:p>
      <w:pPr>
        <w:numPr>
          <w:numId w:val="59"/>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ancillary to a broader or separate agreement or arrangement that includes the same parties, and</w:t>
      </w:r>
    </w:p>
    <w:p>
      <w:pPr>
        <w:numPr>
          <w:numId w:val="6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directly related to, and reasonably necessary for giving effect to, the objective of that broader or separate agreement or arrangement; and</w:t>
      </w:r>
    </w:p>
    <w:p>
      <w:pPr>
        <w:numPr>
          <w:numId w:val="6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broader or separate agreement or arrangement, considered alone, does not contravene that subsection.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Whether this defence has been made out on these facts is an issue for trial as it requires significant evidentiary findings. The section even explicitly calls for proof on a balance of probabilities. Moreover, </w:t>
      </w:r>
      <w:r>
        <w:rPr>
          <w:rFonts w:ascii="arial" w:eastAsia="arial" w:hAnsi="arial" w:cs="arial"/>
          <w:i/>
          <w:color w:val="000000"/>
          <w:sz w:val="20"/>
          <w:lang w:val="en-US" w:eastAsia="en-US" w:bidi="ar-SA"/>
        </w:rPr>
        <w:t>Tim Hortons</w:t>
      </w:r>
      <w:r>
        <w:rPr>
          <w:rFonts w:ascii="arial" w:eastAsia="arial" w:hAnsi="arial" w:cs="arial"/>
          <w:color w:val="000000"/>
          <w:sz w:val="20"/>
          <w:lang w:val="en-US" w:eastAsia="en-US" w:bidi="ar-SA"/>
        </w:rPr>
        <w:t xml:space="preserve">, the case relied on by the defendants when advancing this argument, was a decision where summary judgment for the individual claims followed a decision on certification. In that case the Court found, for the purposes of certification, that the pleadings disclosed a cause of action under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specifically New Section 45, Old Section 45 and s. 61 (at paras. 210-212), before considering the defence when evaluating summary judgment (at paras. 625-634). As a result this argument is premature and will be an issue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By virtue of s. 36, the plaintiff can only succeed under either New or Old Section 45 by proving loss or damage resulting from a violation of those sections. The Amended Claim alleges that the plaintiff suffered the effects of the alleged overcharge from the supracompetitive Merchant Discount Fees and Interchange Fees so this element has also been pled.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As a result, the plaintiff has properly pled causes of action under both New and Old Section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1987"/>
        <w:gridCol w:w="5437"/>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Section 61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Before the repeal of s. 61 on 12 March 2009 it provided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(1) No person who is engaged in the business of producing or supplying a product, who extends credit by way of credit cards or is otherwise engaged in a business that relates to credit cards, or who has the exclusive rights and privileges conferred by a patent, trade-mark, copyright, registered industrial design or registered integrated circuit topography, shall, directly or indirectly,</w:t>
      </w:r>
    </w:p>
    <w:p>
      <w:pPr>
        <w:numPr>
          <w:numId w:val="6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agreement, threat, promise or any like means, attempt to influence upward, or to discourage the reduction of, the price at which any other person engaged in business in Canada supplies or offers to supply or advertises a product within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constituent elements of s. 61 are: (</w:t>
      </w:r>
      <w:r>
        <w:rPr>
          <w:rFonts w:ascii="arial" w:eastAsia="arial" w:hAnsi="arial" w:cs="arial"/>
          <w:i/>
          <w:color w:val="000000"/>
          <w:sz w:val="20"/>
          <w:lang w:val="en-US" w:eastAsia="en-US" w:bidi="ar-SA"/>
        </w:rPr>
        <w:t>2038724 Ontario Ltd. v. Quizno's Canada Restaurant Corporation</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(2009), 96 OR (3d) 252</w:t>
        </w:r>
      </w:hyperlink>
      <w:r>
        <w:rPr>
          <w:rFonts w:ascii="arial" w:eastAsia="arial" w:hAnsi="arial" w:cs="arial"/>
          <w:color w:val="000000"/>
          <w:sz w:val="20"/>
          <w:lang w:val="en-US" w:eastAsia="en-US" w:bidi="ar-SA"/>
        </w:rPr>
        <w:t xml:space="preserve"> (Div. Ct.) at para. 55, aff'd </w:t>
      </w:r>
      <w:hyperlink r:id="rId110" w:history="1">
        <w:r>
          <w:rPr>
            <w:rFonts w:ascii="arial" w:eastAsia="arial" w:hAnsi="arial" w:cs="arial"/>
            <w:i/>
            <w:color w:val="0077CC"/>
            <w:sz w:val="20"/>
            <w:u w:val="single"/>
            <w:shd w:val="clear" w:color="auto" w:fill="FFFFFF"/>
            <w:lang w:val="en-US" w:eastAsia="en-US" w:bidi="ar-SA"/>
          </w:rPr>
          <w:t>2010 ONCA 466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engaged in the business of producing or supplying a product;</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directly or indirectly, attempts to influence upward or discourages the reduction of the price at which another person supplies or offers to supply a product within Canada; [and]</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agreement, threat, promise or any like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Amended Claim clearly alleges that the defendants produce and supply a product, be it credit card network services or something similar. Moreover, it is beyond doubt that all the defendants are engaged in a business that relates to credit cards, which can also satisfy the first element.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conspiracies pled in the Amended Claim clearly allege that the defendants reached agreements with Acquirers and that pursuant to those agreements Acquirers imposed supracompetitive Merchant Discount Fees on merchants. Thus, I take the allegation to be that the defendants influenced upward the price of credit card network services. It is not plain and obvious that this alleged conduct does not meet the second element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existence of an agreement has been pled for the same reasons set out under New and Old s.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defendants argue that the s. 61 claim is an afterthought that the plaintiff did not raise until the Amended Claim was filed. I agree, but the necessary elements are nonetheless pled in the Amended Claim. I would not give effect to this argument or to the argument that the Amended Claim does not even attempt to plead the necessary elements.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Following the </w:t>
      </w:r>
      <w:r>
        <w:rPr>
          <w:rFonts w:ascii="arial" w:eastAsia="arial" w:hAnsi="arial" w:cs="arial"/>
          <w:i/>
          <w:color w:val="000000"/>
          <w:sz w:val="20"/>
          <w:lang w:val="en-US" w:eastAsia="en-US" w:bidi="ar-SA"/>
        </w:rPr>
        <w:t>Tribunal Decision</w:t>
      </w:r>
      <w:r>
        <w:rPr>
          <w:rFonts w:ascii="arial" w:eastAsia="arial" w:hAnsi="arial" w:cs="arial"/>
          <w:color w:val="000000"/>
          <w:sz w:val="20"/>
          <w:lang w:val="en-US" w:eastAsia="en-US" w:bidi="ar-SA"/>
        </w:rPr>
        <w:t xml:space="preserve">, the defendants argue that s. 61 is inconsistent with economic analysis, fails to distinguish between anti-competitive practices and benign or pro-competitive practices, does not advance access to justice and ultimately does not promote sound competition policy. Even if true, these are policy arguments that do not affect whether it is plain and obvious that the claim will fail. At best they can impact the analysis under s. 4(1)(c) and (d)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As a result, the plaintiff has properly pled a cause of action under s.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1987"/>
        <w:gridCol w:w="5437"/>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Limitation Period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Then the defendants submit that, in any event,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claims are barred by the two-year limitation period set out in s. 36(4) (Defendants' Joint Submissions at paras. 187-188):</w:t>
      </w:r>
      <w:r>
        <w:rPr>
          <w:rFonts w:ascii="arial" w:eastAsia="arial" w:hAnsi="arial" w:cs="arial"/>
          <w:sz w:val="20"/>
          <w:lang w:val="en-US" w:eastAsia="en-US" w:bidi="ar-SA"/>
        </w:rPr>
        <w:cr/>
      </w:r>
    </w:p>
    <w:p>
      <w:pPr>
        <w:numPr>
          <w:numId w:val="6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Federal court jurisprudence has directly addressed the question of when the statutory limitation in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begins to run. In </w:t>
      </w:r>
      <w:r>
        <w:rPr>
          <w:rFonts w:ascii="arial" w:eastAsia="arial" w:hAnsi="arial" w:cs="arial"/>
          <w:i/>
          <w:color w:val="000000"/>
          <w:sz w:val="20"/>
          <w:lang w:val="en-US" w:eastAsia="en-US" w:bidi="ar-SA"/>
        </w:rPr>
        <w:t>Garford Pty Ltd. v. Dywidag Systems International Canada Ltd.</w:t>
      </w:r>
      <w:r>
        <w:rPr>
          <w:rFonts w:ascii="arial" w:eastAsia="arial" w:hAnsi="arial" w:cs="arial"/>
          <w:color w:val="000000"/>
          <w:sz w:val="20"/>
          <w:lang w:val="en-US" w:eastAsia="en-US" w:bidi="ar-SA"/>
        </w:rPr>
        <w:t>, the court granted the defendant's motion for summary judgment on the ground that the limitation period for the plaintiff's claims under sections 36 and 45 had expired. Section 36(4) expressly states that the limitation period runs from the "day on which the conduct was engaged in" and speaks to the conduct, and not its effect, in the commencement of the limitation period. As the conduct complained of, namely the execution of certain agreements, had occurred over two years prior to the commencement of the action, the claim disclosed no reasonable cause of action. Moreover, the discoverability rule does not apply to section 36(4).</w:t>
      </w:r>
    </w:p>
    <w:p>
      <w:pPr>
        <w:numPr>
          <w:numId w:val="6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as here, the conduct complained of remains executory over a longer period of time, the "conduct" is nonetheless complete and the limitation period begins to run once an allegedly anti-competitive agreement has been entered into. In </w:t>
      </w:r>
      <w:r>
        <w:rPr>
          <w:rFonts w:ascii="arial" w:eastAsia="arial" w:hAnsi="arial" w:cs="arial"/>
          <w:i/>
          <w:color w:val="000000"/>
          <w:sz w:val="20"/>
          <w:lang w:val="en-US" w:eastAsia="en-US" w:bidi="ar-SA"/>
        </w:rPr>
        <w:t>Tim Hortons</w:t>
      </w:r>
      <w:r>
        <w:rPr>
          <w:rFonts w:ascii="arial" w:eastAsia="arial" w:hAnsi="arial" w:cs="arial"/>
          <w:color w:val="000000"/>
          <w:sz w:val="20"/>
          <w:lang w:val="en-US" w:eastAsia="en-US" w:bidi="ar-SA"/>
        </w:rPr>
        <w:t>, the plaintiff franchisees alleged a conspiracy between the defendant franchisor and a joint venture to force franchisees to buy ingredients at inflated prices. The impugned joint venture agreement and various related distribution agreements, which included prices that continuously varied throughout the Class Period, were executory over a long period of time, but all had been entered into more than two years prior to the commencement of the action. On this basis, the Ontario Superior Court held that the claim was statute-barred.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Regarding both New and Old s. 45, the defendants argue that the "conduct" in s. 36(4)(1)(a)(i) can only refer to the agreements in furtherance of a conspiracy and that the relevant agreements in this case were all executed more than two years before the original Notice of Civil Claim was filed. Regarding s. 61, the defendants argue that it was repealed more than two years before the original notice was filed and thus any claims are under it are barred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For their arguments concerning New and Old s. 45, the defendants rely on three cases: </w:t>
      </w:r>
      <w:r>
        <w:rPr>
          <w:rFonts w:ascii="arial" w:eastAsia="arial" w:hAnsi="arial" w:cs="arial"/>
          <w:i/>
          <w:color w:val="000000"/>
          <w:sz w:val="20"/>
          <w:lang w:val="en-US" w:eastAsia="en-US" w:bidi="ar-SA"/>
        </w:rPr>
        <w:t>Tim Hortons; Garford Pty Ltd. v. Dywidag Systems International, Canada, Ltd.</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2010 FC 996</w:t>
        </w:r>
      </w:hyperlink>
      <w:r>
        <w:rPr>
          <w:rFonts w:ascii="arial" w:eastAsia="arial" w:hAnsi="arial" w:cs="arial"/>
          <w:color w:val="000000"/>
          <w:sz w:val="20"/>
          <w:lang w:val="en-US" w:eastAsia="en-US" w:bidi="ar-SA"/>
        </w:rPr>
        <w:t xml:space="preserve">, aff'd </w:t>
      </w:r>
      <w:hyperlink r:id="rId112" w:history="1">
        <w:r>
          <w:rPr>
            <w:rFonts w:ascii="arial" w:eastAsia="arial" w:hAnsi="arial" w:cs="arial"/>
            <w:i/>
            <w:color w:val="0077CC"/>
            <w:sz w:val="20"/>
            <w:u w:val="single"/>
            <w:shd w:val="clear" w:color="auto" w:fill="FFFFFF"/>
            <w:lang w:val="en-US" w:eastAsia="en-US" w:bidi="ar-SA"/>
          </w:rPr>
          <w:t>2012 FCA 48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No. 1 Collision Repair &amp; Painting (1982) Ltd. v. I.C.B.C.</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[1998] B.C.J. No. 581</w:t>
        </w:r>
      </w:hyperlink>
      <w:r>
        <w:rPr>
          <w:rFonts w:ascii="arial" w:eastAsia="arial" w:hAnsi="arial" w:cs="arial"/>
          <w:color w:val="000000"/>
          <w:sz w:val="20"/>
          <w:lang w:val="en-US" w:eastAsia="en-US" w:bidi="ar-SA"/>
        </w:rPr>
        <w:t xml:space="preserve"> (S.C.), aff'd </w:t>
      </w:r>
      <w:hyperlink r:id="rId114" w:history="1">
        <w:r>
          <w:rPr>
            <w:rFonts w:ascii="arial" w:eastAsia="arial" w:hAnsi="arial" w:cs="arial"/>
            <w:i/>
            <w:color w:val="0077CC"/>
            <w:sz w:val="20"/>
            <w:u w:val="single"/>
            <w:shd w:val="clear" w:color="auto" w:fill="FFFFFF"/>
            <w:lang w:val="en-US" w:eastAsia="en-US" w:bidi="ar-SA"/>
          </w:rPr>
          <w:t>2000 BCCA 463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As previously mentioned, </w:t>
      </w:r>
      <w:r>
        <w:rPr>
          <w:rFonts w:ascii="arial" w:eastAsia="arial" w:hAnsi="arial" w:cs="arial"/>
          <w:i/>
          <w:color w:val="000000"/>
          <w:sz w:val="20"/>
          <w:lang w:val="en-US" w:eastAsia="en-US" w:bidi="ar-SA"/>
        </w:rPr>
        <w:t>Tim Hortons</w:t>
      </w:r>
      <w:r>
        <w:rPr>
          <w:rFonts w:ascii="arial" w:eastAsia="arial" w:hAnsi="arial" w:cs="arial"/>
          <w:color w:val="000000"/>
          <w:sz w:val="20"/>
          <w:lang w:val="en-US" w:eastAsia="en-US" w:bidi="ar-SA"/>
        </w:rPr>
        <w:t xml:space="preserve"> found that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claims were suitable for certification before rejecting them on a motion for summary judgment. </w:t>
      </w:r>
      <w:r>
        <w:rPr>
          <w:rFonts w:ascii="arial" w:eastAsia="arial" w:hAnsi="arial" w:cs="arial"/>
          <w:i/>
          <w:color w:val="000000"/>
          <w:sz w:val="20"/>
          <w:lang w:val="en-US" w:eastAsia="en-US" w:bidi="ar-SA"/>
        </w:rPr>
        <w:t>Garford</w:t>
      </w:r>
      <w:r>
        <w:rPr>
          <w:rFonts w:ascii="arial" w:eastAsia="arial" w:hAnsi="arial" w:cs="arial"/>
          <w:color w:val="000000"/>
          <w:sz w:val="20"/>
          <w:lang w:val="en-US" w:eastAsia="en-US" w:bidi="ar-SA"/>
        </w:rPr>
        <w:t xml:space="preserve"> was also a case of summary judgment. The judgment in </w:t>
      </w:r>
      <w:r>
        <w:rPr>
          <w:rFonts w:ascii="arial" w:eastAsia="arial" w:hAnsi="arial" w:cs="arial"/>
          <w:i/>
          <w:color w:val="000000"/>
          <w:sz w:val="20"/>
          <w:lang w:val="en-US" w:eastAsia="en-US" w:bidi="ar-SA"/>
        </w:rPr>
        <w:t>No. 1 Collision</w:t>
      </w:r>
      <w:r>
        <w:rPr>
          <w:rFonts w:ascii="arial" w:eastAsia="arial" w:hAnsi="arial" w:cs="arial"/>
          <w:color w:val="000000"/>
          <w:sz w:val="20"/>
          <w:lang w:val="en-US" w:eastAsia="en-US" w:bidi="ar-SA"/>
        </w:rPr>
        <w:t xml:space="preserve"> followed a trial. Accordingly, the plaintiff responds that a limitation period is not a defence unless it is pleaded and that it has no place is determining whether it is plain and obvious that a claim will fail. The plaintiff also relies on the judgment of Justice Donald in our Court of Appeal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dissenting on a different issue (</w:t>
      </w:r>
      <w:hyperlink r:id="rId115" w:history="1">
        <w:r>
          <w:rPr>
            <w:rFonts w:ascii="arial" w:eastAsia="arial" w:hAnsi="arial" w:cs="arial"/>
            <w:i/>
            <w:color w:val="0077CC"/>
            <w:sz w:val="20"/>
            <w:u w:val="single"/>
            <w:shd w:val="clear" w:color="auto" w:fill="FFFFFF"/>
            <w:lang w:val="en-US" w:eastAsia="en-US" w:bidi="ar-SA"/>
          </w:rPr>
          <w:t>2011 BCCA 186</w:t>
        </w:r>
      </w:hyperlink>
      <w:r>
        <w:rPr>
          <w:rFonts w:ascii="arial" w:eastAsia="arial" w:hAnsi="arial" w:cs="arial"/>
          <w:color w:val="000000"/>
          <w:sz w:val="20"/>
          <w:lang w:val="en-US" w:eastAsia="en-US" w:bidi="ar-SA"/>
        </w:rPr>
        <w:t xml:space="preserve"> at paras. 60-61):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The second issue is a limitations argument. Section 36(4) prescribes a two-year prescription period running from a day on which conduct contrary to any provision of Part VI was engaged in. While this is not strictly a pleadings point, on the submission of Microsoft, it should have the same effect as striking the claim because there is no possibility of overcoming the limitation obstacle. This is said to be the effect of the notoriety of the United States and European Union litigation in which the same or similar restrictive trade practices were alleged many years before the commencement of this action. In other words, no credible postponement or discoverability argument can arise and the claim has no reasonable prospect of success. In the alternative, Microsoft says the matter will break down into individual enquiries as to postponement and the class action will cease to be the preferable procedure.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The short and simple answer to this argument is that it is premature. Limitations problems like this are so bound up in the facts that they must be left to a later stage of the process. Moreover, the force of the argument is considerably diminished by the timing of its presentation - it looks and feels like an afterthought.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 accept this statement and also that of Justice Low in </w:t>
      </w:r>
      <w:r>
        <w:rPr>
          <w:rFonts w:ascii="arial" w:eastAsia="arial" w:hAnsi="arial" w:cs="arial"/>
          <w:i/>
          <w:color w:val="000000"/>
          <w:sz w:val="20"/>
          <w:lang w:val="en-US" w:eastAsia="en-US" w:bidi="ar-SA"/>
        </w:rPr>
        <w:t>Fuoco Estate v. British Columbia</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2001 BCCA 325</w:t>
        </w:r>
      </w:hyperlink>
      <w:r>
        <w:rPr>
          <w:rFonts w:ascii="arial" w:eastAsia="arial" w:hAnsi="arial" w:cs="arial"/>
          <w:color w:val="000000"/>
          <w:sz w:val="20"/>
          <w:lang w:val="en-US" w:eastAsia="en-US" w:bidi="ar-SA"/>
        </w:rPr>
        <w:t xml:space="preserve">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Counsel have been unable to direct us to any cases in which Rule 19(24)(a) [Striking Pleadings, now Rule 9-5(1)(a)], standing alone, has been used to resolve a limitation issue. That may be because statements of claim do not raise limitation issues, as is the case here. The statutory limitations is a defence pleading. It is an issue that does not arise until it is pleaded in defence...I do not wish to state categorically that a limitation argument cannot properly arise under Rule 19(24)(a). But in the circumstances that exist here, in particular the allegation of an ongoing breach of contract, I am of the opinion that the limitation issue cannot properly be dealt with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Garford</w:t>
      </w:r>
      <w:r>
        <w:rPr>
          <w:rFonts w:ascii="arial" w:eastAsia="arial" w:hAnsi="arial" w:cs="arial"/>
          <w:color w:val="000000"/>
          <w:sz w:val="20"/>
          <w:lang w:val="en-US" w:eastAsia="en-US" w:bidi="ar-SA"/>
        </w:rPr>
        <w:t>, the limitation period applied because the Court found that the "conduct engaged in" for the purposes of s. 36(4) was the entering into of three purchase agreements, the last of which had been entered over two years before the claim was brought (at paras. 16-22). The Court distinguished between conduct, which was relevant to the limitation period, and effects, which were not (at paras. 43-44):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As the authorities show, the continuing effects of a conspiracy, agreement or arrangement are not what are actionable under subsection 36(1)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The limitation period in subsection 36(4) is based upon "conduct" - i.e. the conspiracy or agreement in this case - and not upon its effects.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Even though Justice Gauthier accepted in </w:t>
      </w:r>
      <w:r>
        <w:rPr>
          <w:rFonts w:ascii="arial" w:eastAsia="arial" w:hAnsi="arial" w:cs="arial"/>
          <w:i/>
          <w:color w:val="000000"/>
          <w:sz w:val="20"/>
          <w:lang w:val="en-US" w:eastAsia="en-US" w:bidi="ar-SA"/>
        </w:rPr>
        <w:t>Eli Lilly</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[2009] F.C.J. No. 1229</w:t>
        </w:r>
      </w:hyperlink>
      <w:r>
        <w:rPr>
          <w:rFonts w:ascii="arial" w:eastAsia="arial" w:hAnsi="arial" w:cs="arial"/>
          <w:color w:val="000000"/>
          <w:sz w:val="20"/>
          <w:lang w:val="en-US" w:eastAsia="en-US" w:bidi="ar-SA"/>
        </w:rPr>
        <w:t xml:space="preserve">, above, that conduct contrary to Part VI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could "be an isolated incident or can be ongoing" depending upon which offence is in play, this does not change the distinction between the offence (the "conduct" for the purposes of subsection 36(4)) and its effects or consequences, and it is the offence in this case that starts the time running. A continuing offence under Part VI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would require ongoing acts that, in themselves, are an offence under Part VI, and there is no evidence of that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A similar conclusion was reached in </w:t>
      </w:r>
      <w:r>
        <w:rPr>
          <w:rFonts w:ascii="arial" w:eastAsia="arial" w:hAnsi="arial" w:cs="arial"/>
          <w:i/>
          <w:color w:val="000000"/>
          <w:sz w:val="20"/>
          <w:lang w:val="en-US" w:eastAsia="en-US" w:bidi="ar-SA"/>
        </w:rPr>
        <w:t>Tim Hortons</w:t>
      </w:r>
      <w:r>
        <w:rPr>
          <w:rFonts w:ascii="arial" w:eastAsia="arial" w:hAnsi="arial" w:cs="arial"/>
          <w:color w:val="000000"/>
          <w:sz w:val="20"/>
          <w:lang w:val="en-US" w:eastAsia="en-US" w:bidi="ar-SA"/>
        </w:rPr>
        <w:t xml:space="preserve"> (at paras. 635-650). However, both </w:t>
      </w:r>
      <w:r>
        <w:rPr>
          <w:rFonts w:ascii="arial" w:eastAsia="arial" w:hAnsi="arial" w:cs="arial"/>
          <w:i/>
          <w:color w:val="000000"/>
          <w:sz w:val="20"/>
          <w:lang w:val="en-US" w:eastAsia="en-US" w:bidi="ar-SA"/>
        </w:rPr>
        <w:t>Garford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Tim Hortons</w:t>
      </w:r>
      <w:r>
        <w:rPr>
          <w:rFonts w:ascii="arial" w:eastAsia="arial" w:hAnsi="arial" w:cs="arial"/>
          <w:color w:val="000000"/>
          <w:sz w:val="20"/>
          <w:lang w:val="en-US" w:eastAsia="en-US" w:bidi="ar-SA"/>
        </w:rPr>
        <w:t xml:space="preserve"> and other cases acknowledge that it is </w:t>
      </w:r>
      <w:r>
        <w:rPr>
          <w:rFonts w:ascii="arial" w:eastAsia="arial" w:hAnsi="arial" w:cs="arial"/>
          <w:i/>
          <w:color w:val="000000"/>
          <w:sz w:val="20"/>
          <w:lang w:val="en-US" w:eastAsia="en-US" w:bidi="ar-SA"/>
        </w:rPr>
        <w:t>possible</w:t>
      </w:r>
      <w:r>
        <w:rPr>
          <w:rFonts w:ascii="arial" w:eastAsia="arial" w:hAnsi="arial" w:cs="arial"/>
          <w:color w:val="000000"/>
          <w:sz w:val="20"/>
          <w:lang w:val="en-US" w:eastAsia="en-US" w:bidi="ar-SA"/>
        </w:rPr>
        <w:t xml:space="preserve"> for an offence grounding a s. 36 claim to be ongoing (</w:t>
      </w:r>
      <w:r>
        <w:rPr>
          <w:rFonts w:ascii="arial" w:eastAsia="arial" w:hAnsi="arial" w:cs="arial"/>
          <w:i/>
          <w:color w:val="000000"/>
          <w:sz w:val="20"/>
          <w:lang w:val="en-US" w:eastAsia="en-US" w:bidi="ar-SA"/>
        </w:rPr>
        <w:t>Laboratoires Servier v. Apotex Inc.</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2008 FC 825</w:t>
        </w:r>
      </w:hyperlink>
      <w:r>
        <w:rPr>
          <w:rFonts w:ascii="arial" w:eastAsia="arial" w:hAnsi="arial" w:cs="arial"/>
          <w:color w:val="000000"/>
          <w:sz w:val="20"/>
          <w:lang w:val="en-US" w:eastAsia="en-US" w:bidi="ar-SA"/>
        </w:rPr>
        <w:t xml:space="preserve"> at paras. 482-486; </w:t>
      </w:r>
      <w:r>
        <w:rPr>
          <w:rFonts w:ascii="arial" w:eastAsia="arial" w:hAnsi="arial" w:cs="arial"/>
          <w:i/>
          <w:color w:val="000000"/>
          <w:sz w:val="20"/>
          <w:lang w:val="en-US" w:eastAsia="en-US" w:bidi="ar-SA"/>
        </w:rPr>
        <w:t>351694 Ontario Ltd. v. Paccar of Canada Ltd.</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2004 FC 1565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Bass Clef Entertainment Ltd. v. HOB Concerts Canada Ltd.</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2004 CanLII 4804</w:t>
        </w:r>
      </w:hyperlink>
      <w:r>
        <w:rPr>
          <w:rFonts w:ascii="arial" w:eastAsia="arial" w:hAnsi="arial" w:cs="arial"/>
          <w:color w:val="000000"/>
          <w:sz w:val="20"/>
          <w:lang w:val="en-US" w:eastAsia="en-US" w:bidi="ar-SA"/>
        </w:rPr>
        <w:t xml:space="preserve"> (ONSC) at paras. 17-18).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Notably, none of those cases dealt with the issue when striking pleadings. </w:t>
      </w:r>
      <w:r>
        <w:rPr>
          <w:rFonts w:ascii="arial" w:eastAsia="arial" w:hAnsi="arial" w:cs="arial"/>
          <w:i/>
          <w:color w:val="000000"/>
          <w:sz w:val="20"/>
          <w:lang w:val="en-US" w:eastAsia="en-US" w:bidi="ar-SA"/>
        </w:rPr>
        <w:t>Bass Clef Entertainment</w:t>
      </w:r>
      <w:r>
        <w:rPr>
          <w:rFonts w:ascii="arial" w:eastAsia="arial" w:hAnsi="arial" w:cs="arial"/>
          <w:color w:val="000000"/>
          <w:sz w:val="20"/>
          <w:lang w:val="en-US" w:eastAsia="en-US" w:bidi="ar-SA"/>
        </w:rPr>
        <w:t xml:space="preserve"> found that the limitations issue was properly addressed at trial with a full evidentiary record. In </w:t>
      </w:r>
      <w:r>
        <w:rPr>
          <w:rFonts w:ascii="arial" w:eastAsia="arial" w:hAnsi="arial" w:cs="arial"/>
          <w:i/>
          <w:color w:val="000000"/>
          <w:sz w:val="20"/>
          <w:lang w:val="en-US" w:eastAsia="en-US" w:bidi="ar-SA"/>
        </w:rPr>
        <w:t>Apotex Inc. v Eli Lilly and Company</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2005 FCA 361</w:t>
        </w:r>
      </w:hyperlink>
      <w:r>
        <w:rPr>
          <w:rFonts w:ascii="arial" w:eastAsia="arial" w:hAnsi="arial" w:cs="arial"/>
          <w:color w:val="000000"/>
          <w:sz w:val="20"/>
          <w:lang w:val="en-US" w:eastAsia="en-US" w:bidi="ar-SA"/>
        </w:rPr>
        <w:t>, in response to an argument that s. 36(4) barred the claim, the Court found that even a summary judgment motion was not the appropriate venue to resolve the issue given the evidentiary concerns (at paras. 51-52).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In this case, the plaintiff has pled that the defendants increased </w:t>
      </w:r>
      <w:r>
        <w:rPr>
          <w:rFonts w:ascii="arial" w:eastAsia="arial" w:hAnsi="arial" w:cs="arial"/>
          <w:i/>
          <w:color w:val="000000"/>
          <w:sz w:val="20"/>
          <w:lang w:val="en-US" w:eastAsia="en-US" w:bidi="ar-SA"/>
        </w:rPr>
        <w:t>and maintained</w:t>
      </w:r>
      <w:r>
        <w:rPr>
          <w:rFonts w:ascii="arial" w:eastAsia="arial" w:hAnsi="arial" w:cs="arial"/>
          <w:color w:val="000000"/>
          <w:sz w:val="20"/>
          <w:lang w:val="en-US" w:eastAsia="en-US" w:bidi="ar-SA"/>
        </w:rPr>
        <w:t xml:space="preserve"> Merchant Discount Rates and Interchange Fees. I cannot agree that it is plain and obvious that the "conduct engaged in" was terminated when a specific agreement was reached, as in </w:t>
      </w:r>
      <w:r>
        <w:rPr>
          <w:rFonts w:ascii="arial" w:eastAsia="arial" w:hAnsi="arial" w:cs="arial"/>
          <w:i/>
          <w:color w:val="000000"/>
          <w:sz w:val="20"/>
          <w:lang w:val="en-US" w:eastAsia="en-US" w:bidi="ar-SA"/>
        </w:rPr>
        <w:t>Garford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Tim Hortons</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Fuoco Estate</w:t>
      </w:r>
      <w:r>
        <w:rPr>
          <w:rFonts w:ascii="arial" w:eastAsia="arial" w:hAnsi="arial" w:cs="arial"/>
          <w:color w:val="000000"/>
          <w:sz w:val="20"/>
          <w:lang w:val="en-US" w:eastAsia="en-US" w:bidi="ar-SA"/>
        </w:rPr>
        <w:t>, the Court found that it was premature to decide whether a contract was ongoing. It is similarly premature to decide whether the conduct in this case was ongoing.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Regarding the s. 61 claim, the defendants argue that since the original Notice of Civil Claim in this case was filed more than two years after the section was repealed, the claim is bound to fail due to the limitation period. The plaintiff does not directly counter this point, but instead alleges that any violation of s. 61 is a possible unlawful act for other causes of action, such as civil conspiracy and unlawful interference with economic interests, with longer limitation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If, as </w:t>
      </w:r>
      <w:r>
        <w:rPr>
          <w:rFonts w:ascii="arial" w:eastAsia="arial" w:hAnsi="arial" w:cs="arial"/>
          <w:i/>
          <w:color w:val="000000"/>
          <w:sz w:val="20"/>
          <w:lang w:val="en-US" w:eastAsia="en-US" w:bidi="ar-SA"/>
        </w:rPr>
        <w:t>Fuoco Estate</w:t>
      </w:r>
      <w:r>
        <w:rPr>
          <w:rFonts w:ascii="arial" w:eastAsia="arial" w:hAnsi="arial" w:cs="arial"/>
          <w:color w:val="000000"/>
          <w:sz w:val="20"/>
          <w:lang w:val="en-US" w:eastAsia="en-US" w:bidi="ar-SA"/>
        </w:rPr>
        <w:t xml:space="preserve"> indicates, it is not impossible to rely on a limitation period to strike pleadings, I think it is appropriate in response to a pleading that is based entirely on a repealed statutory cause of action where the limitation period has clearly expired before the claim is filed. It is plain and obvious that such a claim would fail, and little would be gained from requiring a statement of defence or a trial, as no evidentiary findings would be necessary. This is in contrast with the usual issues surrounding limitation periods discussed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Nevertheless, it is not open to me to accept the plaintiff's submission on this point. As discussed more comprehensively below, it is now plain and obvious that the s. 61 claim will fail. The Court of Appeal's recent decision in </w:t>
      </w:r>
      <w:r>
        <w:rPr>
          <w:rFonts w:ascii="arial" w:eastAsia="arial" w:hAnsi="arial" w:cs="arial"/>
          <w:i/>
          <w:color w:val="000000"/>
          <w:sz w:val="20"/>
          <w:lang w:val="en-US" w:eastAsia="en-US" w:bidi="ar-SA"/>
        </w:rPr>
        <w:t>Wakelam v. Wyeth Consumer Healthcare/Wyeth Soins de Sante Inc.</w:t>
      </w:r>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2014 BCCA 36</w:t>
        </w:r>
      </w:hyperlink>
      <w:r>
        <w:rPr>
          <w:rFonts w:ascii="arial" w:eastAsia="arial" w:hAnsi="arial" w:cs="arial"/>
          <w:color w:val="000000"/>
          <w:sz w:val="20"/>
          <w:lang w:val="en-US" w:eastAsia="en-US" w:bidi="ar-SA"/>
        </w:rPr>
        <w:t>, prevents the plaintiff from using a historical breach of s. 61 to ground another cause of action and the repeal of s. 61 bars any claim for damages under s. 36 because of the expiration of the limitation period. Accordingly, the plaintiff's s. 61 claim, while properly pled, must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882"/>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Civil Conspiracy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 turn to the cause of action in civil conspiracy. Here, the defendants advance a number of complaints. First, it is said that the pleadings do not rise to the required level of particularity called for in cases such as </w:t>
      </w:r>
      <w:r>
        <w:rPr>
          <w:rFonts w:ascii="arial" w:eastAsia="arial" w:hAnsi="arial" w:cs="arial"/>
          <w:i/>
          <w:color w:val="000000"/>
          <w:sz w:val="20"/>
          <w:lang w:val="en-US" w:eastAsia="en-US" w:bidi="ar-SA"/>
        </w:rPr>
        <w:t>Can-Dive Services Ltd. v. Pacific Coast Energy Corp.</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[1993] B.C.J. No. 2958</w:t>
        </w:r>
      </w:hyperlink>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96 B.C.L.R. (2d) 156</w:t>
        </w:r>
      </w:hyperlink>
      <w:r>
        <w:rPr>
          <w:rFonts w:ascii="arial" w:eastAsia="arial" w:hAnsi="arial" w:cs="arial"/>
          <w:color w:val="000000"/>
          <w:sz w:val="20"/>
          <w:lang w:val="en-US" w:eastAsia="en-US" w:bidi="ar-SA"/>
        </w:rPr>
        <w:t xml:space="preserve"> (C.A.). Then it is said that causes of action dependent on breaches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are not maintainable, either because the doctrine of merger applies (citing amongst others </w:t>
      </w:r>
      <w:r>
        <w:rPr>
          <w:rFonts w:ascii="arial" w:eastAsia="arial" w:hAnsi="arial" w:cs="arial"/>
          <w:i/>
          <w:color w:val="000000"/>
          <w:sz w:val="20"/>
          <w:lang w:val="en-US" w:eastAsia="en-US" w:bidi="ar-SA"/>
        </w:rPr>
        <w:t>Bank of Montreal v. Tortora</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2010 BCCA 139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Tortora</w:t>
      </w:r>
      <w:r>
        <w:rPr>
          <w:rFonts w:ascii="arial" w:eastAsia="arial" w:hAnsi="arial" w:cs="arial"/>
          <w:color w:val="000000"/>
          <w:sz w:val="20"/>
          <w:lang w:val="en-US" w:eastAsia="en-US" w:bidi="ar-SA"/>
        </w:rPr>
        <w:t xml:space="preserve">]), or because common law claims are not maintainable for breach of provisions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tort of conspiracy has two branches (</w:t>
      </w:r>
      <w:r>
        <w:rPr>
          <w:rFonts w:ascii="arial" w:eastAsia="arial" w:hAnsi="arial" w:cs="arial"/>
          <w:i/>
          <w:color w:val="000000"/>
          <w:sz w:val="20"/>
          <w:lang w:val="en-US" w:eastAsia="en-US" w:bidi="ar-SA"/>
        </w:rPr>
        <w:t>Cement LaFarge</w:t>
      </w:r>
      <w:r>
        <w:rPr>
          <w:rFonts w:ascii="arial" w:eastAsia="arial" w:hAnsi="arial" w:cs="arial"/>
          <w:color w:val="000000"/>
          <w:sz w:val="20"/>
          <w:lang w:val="en-US" w:eastAsia="en-US" w:bidi="ar-SA"/>
        </w:rPr>
        <w:t xml:space="preserve"> at 471-472):</w:t>
      </w:r>
      <w:r>
        <w:rPr>
          <w:rFonts w:ascii="arial" w:eastAsia="arial" w:hAnsi="arial" w:cs="arial"/>
          <w:sz w:val="20"/>
          <w:lang w:val="en-US" w:eastAsia="en-US" w:bidi="ar-SA"/>
        </w:rPr>
        <w:cr/>
      </w:r>
    </w:p>
    <w:p>
      <w:pPr>
        <w:numPr>
          <w:numId w:val="6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means used by the defendants are lawful or unlawful, the predominant purpose of the defendants' conduct is to cause injury to the plaintiff; or,</w:t>
      </w:r>
    </w:p>
    <w:p>
      <w:pPr>
        <w:numPr>
          <w:numId w:val="6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conduct of the defendants is unlawful, the conduct is directed towards the plaintiff (alone or together with others), and the defendants should know in the circumstances that injury to the plaintiff is likely to and does result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situation (2) it is not necessary that the pre-dominant purpose of the defendants' conduct be to cause injury to the plaintiff but, in the prevailing circumstances, it must be a constructive intent derived from the fact that the defendants should have known that injury to the plaintiff would ensue. In both situations, however, there must be actual damage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will refer to the first branch as conspiracy to injure and the second branch as unlawful means conspiracy. The plaintiff has pled both (Amended Claim at para.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plaintiff alleges two predominant purposes for each conspiracy: to harm the class members by requiring them to pay supracompetitive Merchant Discount Fees, including Interchange Fees, and to illegally increase the profits of the conspirators (Amended Claim at paras. 47, 53). The plaintiff subsequently alleges that the predominant purpose of both conspiracies was to injure the class members (at para.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While the phrase "</w:t>
      </w:r>
      <w:r>
        <w:rPr>
          <w:rFonts w:ascii="arial" w:eastAsia="arial" w:hAnsi="arial" w:cs="arial"/>
          <w:i/>
          <w:color w:val="000000"/>
          <w:sz w:val="20"/>
          <w:lang w:val="en-US" w:eastAsia="en-US" w:bidi="ar-SA"/>
        </w:rPr>
        <w:t>predominant</w:t>
      </w:r>
      <w:r>
        <w:rPr>
          <w:rFonts w:ascii="arial" w:eastAsia="arial" w:hAnsi="arial" w:cs="arial"/>
          <w:color w:val="000000"/>
          <w:sz w:val="20"/>
          <w:lang w:val="en-US" w:eastAsia="en-US" w:bidi="ar-SA"/>
        </w:rPr>
        <w:t xml:space="preserve"> purpose" might imply that a conspiracy can only have one, it is not appropriate to strike pleadings merely because they allege more than one predominant purpose. Indeed, the alleged purposes in this case, to harm the plaintiffs and to increase the conspirators' profits, were also pled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where the Court found that it was not plain and obvious that the claim would fail due to the uncertainty surrounding the actual predominant purpose of the conspiracy (at paras. 76-78). As in that case, it is possible that the evidence at trial will establish that harm to the plaintiff was the actual predominant purpose, even if it might seem unlikely at certification. This was the same approach adopted by this Court in that case: </w:t>
      </w:r>
      <w:r>
        <w:rPr>
          <w:rFonts w:ascii="arial" w:eastAsia="arial" w:hAnsi="arial" w:cs="arial"/>
          <w:i/>
          <w:color w:val="000000"/>
          <w:sz w:val="20"/>
          <w:lang w:val="en-US" w:eastAsia="en-US" w:bidi="ar-SA"/>
        </w:rPr>
        <w:t>Pro-Sys Consultants Ltd. v. Microsoft Corporation</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2006 BCSC 1047</w:t>
        </w:r>
      </w:hyperlink>
      <w:r>
        <w:rPr>
          <w:rFonts w:ascii="arial" w:eastAsia="arial" w:hAnsi="arial" w:cs="arial"/>
          <w:color w:val="000000"/>
          <w:sz w:val="20"/>
          <w:lang w:val="en-US" w:eastAsia="en-US" w:bidi="ar-SA"/>
        </w:rPr>
        <w:t xml:space="preserve"> at para.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As the other elements of conspiracy to injure are common to unlawful means conspiracy, I will discuss them under that branch, where the parties directed more of their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The defendants argue that the pleadings for conspiracy are deficient and lack the necessary particulars. They rely on </w:t>
      </w:r>
      <w:r>
        <w:rPr>
          <w:rFonts w:ascii="arial" w:eastAsia="arial" w:hAnsi="arial" w:cs="arial"/>
          <w:i/>
          <w:color w:val="000000"/>
          <w:sz w:val="20"/>
          <w:lang w:val="en-US" w:eastAsia="en-US" w:bidi="ar-SA"/>
        </w:rPr>
        <w:t>Can-Dive</w:t>
      </w:r>
      <w:r>
        <w:rPr>
          <w:rFonts w:ascii="arial" w:eastAsia="arial" w:hAnsi="arial" w:cs="arial"/>
          <w:color w:val="000000"/>
          <w:sz w:val="20"/>
          <w:lang w:val="en-US" w:eastAsia="en-US" w:bidi="ar-SA"/>
        </w:rPr>
        <w:t xml:space="preserve"> for the requirements to plead conspiracy. Notably, </w:t>
      </w:r>
      <w:r>
        <w:rPr>
          <w:rFonts w:ascii="arial" w:eastAsia="arial" w:hAnsi="arial" w:cs="arial"/>
          <w:i/>
          <w:color w:val="000000"/>
          <w:sz w:val="20"/>
          <w:lang w:val="en-US" w:eastAsia="en-US" w:bidi="ar-SA"/>
        </w:rPr>
        <w:t>Can-Dive</w:t>
      </w:r>
      <w:r>
        <w:rPr>
          <w:rFonts w:ascii="arial" w:eastAsia="arial" w:hAnsi="arial" w:cs="arial"/>
          <w:color w:val="000000"/>
          <w:sz w:val="20"/>
          <w:lang w:val="en-US" w:eastAsia="en-US" w:bidi="ar-SA"/>
        </w:rPr>
        <w:t xml:space="preserve"> is a decision upholding a chambers judge's decision to stay proceedings in a conspiracy case pending amendments to the pleadings. While the case has some useful discussion of what is necessary to successfully plead conspiracy, the discretion to grant a stay is broader than the discretion to strike a claim (</w:t>
      </w:r>
      <w:r>
        <w:rPr>
          <w:rFonts w:ascii="arial" w:eastAsia="arial" w:hAnsi="arial" w:cs="arial"/>
          <w:i/>
          <w:color w:val="000000"/>
          <w:sz w:val="20"/>
          <w:lang w:val="en-US" w:eastAsia="en-US" w:bidi="ar-SA"/>
        </w:rPr>
        <w:t>Can-Dive</w:t>
      </w:r>
      <w:r>
        <w:rPr>
          <w:rFonts w:ascii="arial" w:eastAsia="arial" w:hAnsi="arial" w:cs="arial"/>
          <w:color w:val="000000"/>
          <w:sz w:val="20"/>
          <w:lang w:val="en-US" w:eastAsia="en-US" w:bidi="ar-SA"/>
        </w:rPr>
        <w:t xml:space="preserve"> at para.14).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Can-Dive</w:t>
      </w:r>
      <w:r>
        <w:rPr>
          <w:rFonts w:ascii="arial" w:eastAsia="arial" w:hAnsi="arial" w:cs="arial"/>
          <w:color w:val="000000"/>
          <w:sz w:val="20"/>
          <w:lang w:val="en-US" w:eastAsia="en-US" w:bidi="ar-SA"/>
        </w:rPr>
        <w:t xml:space="preserve"> lists the elements of conspiracy as (at para. 5):</w:t>
      </w:r>
      <w:r>
        <w:rPr>
          <w:rFonts w:ascii="arial" w:eastAsia="arial" w:hAnsi="arial" w:cs="arial"/>
          <w:sz w:val="20"/>
          <w:lang w:val="en-US" w:eastAsia="en-US" w:bidi="ar-SA"/>
        </w:rPr>
        <w:cr/>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agreement between two or more persons;</w:t>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concerted action taken pursuant to the agreement;</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action is lawful, there must be evidence that the conspirators intended to cause damage to the plaintiff;</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action is unlawful, there must at least be evidence that the conspirators knew or ought to have known that their action would injure the plaintiff (i.e., constructive intent);</w:t>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actual damage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plaintiff has pled these requirements. As discussed above, the plaintiff has alleged that the defendants entered agreements, including the respective Network Rules, concerning the rate of Interchange Fees; that pursuant to those agreements the defendants imposed supracompetitive Merchant Discount Fees, including Interchange Fees, and the Network Rules on the plaintiff and the proposed classes; and that the plaintiff and the proposed classes suffered damages, namely the Overcharges, as a result (Amended Claim at paras. 43-54).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These requirements, numbers 1, 2 and 4 from </w:t>
      </w:r>
      <w:r>
        <w:rPr>
          <w:rFonts w:ascii="arial" w:eastAsia="arial" w:hAnsi="arial" w:cs="arial"/>
          <w:i/>
          <w:color w:val="000000"/>
          <w:sz w:val="20"/>
          <w:lang w:val="en-US" w:eastAsia="en-US" w:bidi="ar-SA"/>
        </w:rPr>
        <w:t>Can-Dive,</w:t>
      </w:r>
      <w:r>
        <w:rPr>
          <w:rFonts w:ascii="arial" w:eastAsia="arial" w:hAnsi="arial" w:cs="arial"/>
          <w:color w:val="000000"/>
          <w:sz w:val="20"/>
          <w:lang w:val="en-US" w:eastAsia="en-US" w:bidi="ar-SA"/>
        </w:rPr>
        <w:t xml:space="preserve"> are also required for a conspiracy to injure and thus the plaintiff has met the requirements of that branch of the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Concerning the unlawful act necessary only for an unlawful means conspiracy, the plaintiff relies on the alleged breaches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(Amended Claim at para. 55).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this Court found that "if a breach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serves to satisfy one of the constituent elements of a tort, the courts may rely on the breach to grant a remedy in respect of the commission of the tort" (</w:t>
      </w:r>
      <w:hyperlink r:id="rId124" w:history="1">
        <w:r>
          <w:rPr>
            <w:rFonts w:ascii="arial" w:eastAsia="arial" w:hAnsi="arial" w:cs="arial"/>
            <w:i/>
            <w:color w:val="0077CC"/>
            <w:sz w:val="20"/>
            <w:u w:val="single"/>
            <w:shd w:val="clear" w:color="auto" w:fill="FFFFFF"/>
            <w:lang w:val="en-US" w:eastAsia="en-US" w:bidi="ar-SA"/>
          </w:rPr>
          <w:t>2006 BCSC 1047</w:t>
        </w:r>
      </w:hyperlink>
      <w:r>
        <w:rPr>
          <w:rFonts w:ascii="arial" w:eastAsia="arial" w:hAnsi="arial" w:cs="arial"/>
          <w:color w:val="000000"/>
          <w:sz w:val="20"/>
          <w:lang w:val="en-US" w:eastAsia="en-US" w:bidi="ar-SA"/>
        </w:rPr>
        <w:t xml:space="preserve"> at para. 20). On appeal, the Supreme Court of Canada held that the appropriateness of that finding would have to await its decision in </w:t>
      </w:r>
      <w:r>
        <w:rPr>
          <w:rFonts w:ascii="arial" w:eastAsia="arial" w:hAnsi="arial" w:cs="arial"/>
          <w:i/>
          <w:color w:val="000000"/>
          <w:sz w:val="20"/>
          <w:lang w:val="en-US" w:eastAsia="en-US" w:bidi="ar-SA"/>
        </w:rPr>
        <w:t>Bram Enterprises Ltd. v. A.I. Enterprises Ltd.</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2012 NBCA 33</w:t>
        </w:r>
      </w:hyperlink>
      <w:r>
        <w:rPr>
          <w:rFonts w:ascii="arial" w:eastAsia="arial" w:hAnsi="arial" w:cs="arial"/>
          <w:color w:val="000000"/>
          <w:sz w:val="20"/>
          <w:lang w:val="en-US" w:eastAsia="en-US" w:bidi="ar-SA"/>
        </w:rPr>
        <w:t xml:space="preserve">, leave to appeal granted </w:t>
      </w:r>
      <w:hyperlink r:id="rId126" w:history="1">
        <w:r>
          <w:rPr>
            <w:rFonts w:ascii="arial" w:eastAsia="arial" w:hAnsi="arial" w:cs="arial"/>
            <w:i/>
            <w:color w:val="0077CC"/>
            <w:sz w:val="20"/>
            <w:u w:val="single"/>
            <w:shd w:val="clear" w:color="auto" w:fill="FFFFFF"/>
            <w:lang w:val="en-US" w:eastAsia="en-US" w:bidi="ar-SA"/>
          </w:rPr>
          <w:t>[2012] S.C.C.A. No. 263</w:t>
        </w:r>
      </w:hyperlink>
      <w:r>
        <w:rPr>
          <w:rFonts w:ascii="arial" w:eastAsia="arial" w:hAnsi="arial" w:cs="arial"/>
          <w:color w:val="000000"/>
          <w:sz w:val="20"/>
          <w:lang w:val="en-US" w:eastAsia="en-US" w:bidi="ar-SA"/>
        </w:rPr>
        <w:t xml:space="preserve">. That decision has now been released and is indexed at </w:t>
      </w:r>
      <w:hyperlink r:id="rId90" w:history="1">
        <w:r>
          <w:rPr>
            <w:rFonts w:ascii="arial" w:eastAsia="arial" w:hAnsi="arial" w:cs="arial"/>
            <w:i/>
            <w:color w:val="0077CC"/>
            <w:sz w:val="20"/>
            <w:u w:val="single"/>
            <w:shd w:val="clear" w:color="auto" w:fill="FFFFFF"/>
            <w:lang w:val="en-US" w:eastAsia="en-US" w:bidi="ar-SA"/>
          </w:rPr>
          <w:t>2014 SCC 12</w:t>
        </w:r>
      </w:hyperlink>
      <w:r>
        <w:rPr>
          <w:rFonts w:ascii="arial" w:eastAsia="arial" w:hAnsi="arial" w:cs="arial"/>
          <w:color w:val="000000"/>
          <w:sz w:val="20"/>
          <w:lang w:val="en-US" w:eastAsia="en-US" w:bidi="ar-SA"/>
        </w:rPr>
        <w:t xml:space="preserve">. On the basis of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(at para. 83) and that decision, I would not have concluded that it is plain and obvious that the unlawful means conspiracy claim will fail merely because it is based on a breach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However, it will be necessary to reconsider this conclusion in light of the Court of Appeal's decision in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which I will discuss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The plaintiff has also pled that the defendants knew that their actions in the circumstances would likely cause injury to the plaintiff, in addition to pleading that causing injury to the plaintiff was the predominant purpose of the conspiracy. Thus the plaintiff has met the requirements of </w:t>
      </w:r>
      <w:r>
        <w:rPr>
          <w:rFonts w:ascii="arial" w:eastAsia="arial" w:hAnsi="arial" w:cs="arial"/>
          <w:i/>
          <w:color w:val="000000"/>
          <w:sz w:val="20"/>
          <w:lang w:val="en-US" w:eastAsia="en-US" w:bidi="ar-SA"/>
        </w:rPr>
        <w:t>Can-Dive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defendants claim that the pleadings are insufficiently particularized and rely on the following paragraphs from </w:t>
      </w:r>
      <w:r>
        <w:rPr>
          <w:rFonts w:ascii="arial" w:eastAsia="arial" w:hAnsi="arial" w:cs="arial"/>
          <w:i/>
          <w:color w:val="000000"/>
          <w:sz w:val="20"/>
          <w:lang w:val="en-US" w:eastAsia="en-US" w:bidi="ar-SA"/>
        </w:rPr>
        <w:t>Can-Dive</w:t>
      </w:r>
      <w:r>
        <w:rPr>
          <w:rFonts w:ascii="arial" w:eastAsia="arial" w:hAnsi="arial" w:cs="arial"/>
          <w:color w:val="000000"/>
          <w:sz w:val="20"/>
          <w:lang w:val="en-US" w:eastAsia="en-US" w:bidi="ar-SA"/>
        </w:rPr>
        <w:t xml:space="preserve"> (at paras. 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Esson J. also cited Bullen, Leake &amp; Jacob's </w:t>
      </w:r>
      <w:r>
        <w:rPr>
          <w:rFonts w:ascii="arial" w:eastAsia="arial" w:hAnsi="arial" w:cs="arial"/>
          <w:i/>
          <w:color w:val="000000"/>
          <w:sz w:val="20"/>
          <w:lang w:val="en-US" w:eastAsia="en-US" w:bidi="ar-SA"/>
        </w:rPr>
        <w:t>Precedents of Pleadings,</w:t>
      </w:r>
      <w:r>
        <w:rPr>
          <w:rFonts w:ascii="arial" w:eastAsia="arial" w:hAnsi="arial" w:cs="arial"/>
          <w:color w:val="000000"/>
          <w:sz w:val="20"/>
          <w:lang w:val="en-US" w:eastAsia="en-US" w:bidi="ar-SA"/>
        </w:rPr>
        <w:t xml:space="preserve"> 12th ed. (1975), p. 341. The current edition of Bullen, Leake &amp; Jacob's </w:t>
      </w:r>
      <w:r>
        <w:rPr>
          <w:rFonts w:ascii="arial" w:eastAsia="arial" w:hAnsi="arial" w:cs="arial"/>
          <w:i/>
          <w:color w:val="000000"/>
          <w:sz w:val="20"/>
          <w:lang w:val="en-US" w:eastAsia="en-US" w:bidi="ar-SA"/>
        </w:rPr>
        <w:t>Precedents of Pleadings,</w:t>
      </w:r>
      <w:r>
        <w:rPr>
          <w:rFonts w:ascii="arial" w:eastAsia="arial" w:hAnsi="arial" w:cs="arial"/>
          <w:color w:val="000000"/>
          <w:sz w:val="20"/>
          <w:lang w:val="en-US" w:eastAsia="en-US" w:bidi="ar-SA"/>
        </w:rPr>
        <w:t xml:space="preserve"> 13th ed. (1990), states at pp. 221-22: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statement of claim should describe who the several parties to the conspiracy are and their relationship with each other. It should allege the conspiracy between the defendants giving the best particulars it can of the dates when or dates between which the unlawful conspiracy was entered into or continued, and the intent to injure. It should state precisely the objects and means of the alleged conspiracy to injure and the overt acts which are alleged to have been done by each of the alleged conspirators in pursuance of the conspiracy, and lastly, the injury and damage occasioned to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judgment, pleadings alleging conspiracy must be as specific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As a result, the defendants claim that the pleadings are deficient for failing to disclose, among other particulars, the identity of every party to the conspiracy and their relationships, the date(s) of any alleged agreements, and the specific acts of each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I do not consider </w:t>
      </w:r>
      <w:r>
        <w:rPr>
          <w:rFonts w:ascii="arial" w:eastAsia="arial" w:hAnsi="arial" w:cs="arial"/>
          <w:i/>
          <w:color w:val="000000"/>
          <w:sz w:val="20"/>
          <w:lang w:val="en-US" w:eastAsia="en-US" w:bidi="ar-SA"/>
        </w:rPr>
        <w:t>Can-Dive</w:t>
      </w:r>
      <w:r>
        <w:rPr>
          <w:rFonts w:ascii="arial" w:eastAsia="arial" w:hAnsi="arial" w:cs="arial"/>
          <w:color w:val="000000"/>
          <w:sz w:val="20"/>
          <w:lang w:val="en-US" w:eastAsia="en-US" w:bidi="ar-SA"/>
        </w:rPr>
        <w:t xml:space="preserve"> to impose those requirements so strictly. They represent an ideal. The Court's conclusion in </w:t>
      </w:r>
      <w:r>
        <w:rPr>
          <w:rFonts w:ascii="arial" w:eastAsia="arial" w:hAnsi="arial" w:cs="arial"/>
          <w:i/>
          <w:color w:val="000000"/>
          <w:sz w:val="20"/>
          <w:lang w:val="en-US" w:eastAsia="en-US" w:bidi="ar-SA"/>
        </w:rPr>
        <w:t>Can-Dive</w:t>
      </w:r>
      <w:r>
        <w:rPr>
          <w:rFonts w:ascii="arial" w:eastAsia="arial" w:hAnsi="arial" w:cs="arial"/>
          <w:color w:val="000000"/>
          <w:sz w:val="20"/>
          <w:lang w:val="en-US" w:eastAsia="en-US" w:bidi="ar-SA"/>
        </w:rPr>
        <w:t xml:space="preserve"> was that pleadings must be </w:t>
      </w:r>
      <w:r>
        <w:rPr>
          <w:rFonts w:ascii="arial" w:eastAsia="arial" w:hAnsi="arial" w:cs="arial"/>
          <w:i/>
          <w:color w:val="000000"/>
          <w:sz w:val="20"/>
          <w:lang w:val="en-US" w:eastAsia="en-US" w:bidi="ar-SA"/>
        </w:rPr>
        <w:t>as specific as possible</w:t>
      </w:r>
      <w:r>
        <w:rPr>
          <w:rFonts w:ascii="arial" w:eastAsia="arial" w:hAnsi="arial" w:cs="arial"/>
          <w:color w:val="000000"/>
          <w:sz w:val="20"/>
          <w:lang w:val="en-US" w:eastAsia="en-US" w:bidi="ar-SA"/>
        </w:rPr>
        <w:t>. The very nature of a claim in conspiracy resists particularization at the early stages (</w:t>
      </w:r>
      <w:r>
        <w:rPr>
          <w:rFonts w:ascii="arial" w:eastAsia="arial" w:hAnsi="arial" w:cs="arial"/>
          <w:i/>
          <w:color w:val="000000"/>
          <w:sz w:val="20"/>
          <w:lang w:val="en-US" w:eastAsia="en-US" w:bidi="ar-SA"/>
        </w:rPr>
        <w:t>North York Branson Hospital v. Praxair Canada Inc.</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[1998] O.J. No. 5993</w:t>
        </w:r>
      </w:hyperlink>
      <w:r>
        <w:rPr>
          <w:rFonts w:ascii="arial" w:eastAsia="arial" w:hAnsi="arial" w:cs="arial"/>
          <w:color w:val="000000"/>
          <w:sz w:val="20"/>
          <w:lang w:val="en-US" w:eastAsia="en-US" w:bidi="ar-SA"/>
        </w:rPr>
        <w:t>, (Div. Ct.) at para. 22). It may often not be possible to provide particulars as specific as the date of an agreement in a conspiracy case. Given the nature of conspiracy claims, it would be perverse if the failure to plead a specific date was fatal to a claim that otherwise was not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Many of the cases cited by the defendants, where claims of conspiracy have been struck as deficient, are cases where the plaintiff failed to meet the bare requirements of </w:t>
      </w:r>
      <w:r>
        <w:rPr>
          <w:rFonts w:ascii="arial" w:eastAsia="arial" w:hAnsi="arial" w:cs="arial"/>
          <w:i/>
          <w:color w:val="000000"/>
          <w:sz w:val="20"/>
          <w:lang w:val="en-US" w:eastAsia="en-US" w:bidi="ar-SA"/>
        </w:rPr>
        <w:t>Can-Dive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7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Actton Super-Save Gas Stations Ltd. v. Superior Propane Inc.</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[1990] B.C.J. No. 2664</w:t>
        </w:r>
      </w:hyperlink>
      <w:r>
        <w:rPr>
          <w:rFonts w:ascii="arial" w:eastAsia="arial" w:hAnsi="arial" w:cs="arial"/>
          <w:color w:val="000000"/>
          <w:sz w:val="20"/>
          <w:lang w:val="en-US" w:eastAsia="en-US" w:bidi="ar-SA"/>
        </w:rPr>
        <w:t xml:space="preserve"> (S.C.) the plaintiff failed to name a single conspirator beyond the defendant and failed to plead any overt act beyond the conclusion that the price of propane was reduced.</w:t>
      </w:r>
    </w:p>
    <w:p>
      <w:pPr>
        <w:numPr>
          <w:numId w:val="7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Taylor v. Tamboril Cigar Co.</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[2005] O.J. No. 4182</w:t>
        </w:r>
      </w:hyperlink>
      <w:r>
        <w:rPr>
          <w:rFonts w:ascii="arial" w:eastAsia="arial" w:hAnsi="arial" w:cs="arial"/>
          <w:color w:val="000000"/>
          <w:sz w:val="20"/>
          <w:lang w:val="en-US" w:eastAsia="en-US" w:bidi="ar-SA"/>
        </w:rPr>
        <w:t xml:space="preserve"> (C.A.) the plaintiff failed to plead the object of the conspiracy, that the defendants were conspirators, and any overt acts taken in furtherance of the conspiracy.</w:t>
      </w:r>
    </w:p>
    <w:p>
      <w:pPr>
        <w:numPr>
          <w:numId w:val="7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Craig Wireless International Inc. v. Look Communications Inc.</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[2007] O.J. No. 223</w:t>
        </w:r>
      </w:hyperlink>
      <w:r>
        <w:rPr>
          <w:rFonts w:ascii="arial" w:eastAsia="arial" w:hAnsi="arial" w:cs="arial"/>
          <w:color w:val="000000"/>
          <w:sz w:val="20"/>
          <w:lang w:val="en-US" w:eastAsia="en-US" w:bidi="ar-SA"/>
        </w:rPr>
        <w:t xml:space="preserve"> (S.C.) the plaintiff failed to plead the existence of an agreement and failed to link damages to the conspiracy.</w:t>
      </w:r>
    </w:p>
    <w:p>
      <w:pPr>
        <w:numPr>
          <w:numId w:val="7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Beardsley v. Ontario</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(2001), 57 O.R. (3d) 1</w:t>
        </w:r>
      </w:hyperlink>
      <w:r>
        <w:rPr>
          <w:rFonts w:ascii="arial" w:eastAsia="arial" w:hAnsi="arial" w:cs="arial"/>
          <w:color w:val="000000"/>
          <w:sz w:val="20"/>
          <w:lang w:val="en-US" w:eastAsia="en-US" w:bidi="ar-SA"/>
        </w:rPr>
        <w:t xml:space="preserve"> (C.A.) the plaintiff failed to plead the existence of an agreement and any overt acts taken in furtherance of the conspiracy.</w:t>
      </w:r>
    </w:p>
    <w:p>
      <w:pPr>
        <w:numPr>
          <w:numId w:val="7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Hostmann-Steinberg v. 2049669 Ontario Inc</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2010 ONSC 2441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Gould v. Western Coal Corporation</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2012 ONSC 5184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Research Capital Corp. Skyservice Airlines Inc</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[2008] O.J. No. 2526</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J.G. Young &amp; Son Ltd. v. TEC Park Ltd</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[1999] O.J. No. 4066</w:t>
        </w:r>
      </w:hyperlink>
      <w:r>
        <w:rPr>
          <w:rFonts w:ascii="arial" w:eastAsia="arial" w:hAnsi="arial" w:cs="arial"/>
          <w:color w:val="000000"/>
          <w:sz w:val="20"/>
          <w:lang w:val="en-US" w:eastAsia="en-US" w:bidi="ar-SA"/>
        </w:rPr>
        <w:t xml:space="preserve"> (S.C.) the plaintiff lumped all the defendants together without indicating which ones undertook which overt actions pursuant to the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 this case, the plaintiff has carefully set out the structure of the credit card industry and the relationships between the various parties are clear. This is not a case where the pleadings merely lump a diverse group of defendants together and claim they conspired to achieve some end state. To the extent there is homogeneity in the pleadings, it is presumably because</w:t>
      </w:r>
      <w:r>
        <w:rPr>
          <w:rFonts w:ascii="arial" w:eastAsia="arial" w:hAnsi="arial" w:cs="arial"/>
          <w:i/>
          <w:color w:val="000000"/>
          <w:sz w:val="20"/>
          <w:lang w:val="en-US" w:eastAsia="en-US" w:bidi="ar-SA"/>
        </w:rPr>
        <w:t xml:space="preserve"> the defendants are all similar corporate entities that are alleged to have done the same thing</w:t>
      </w:r>
      <w:r>
        <w:rPr>
          <w:rFonts w:ascii="arial" w:eastAsia="arial" w:hAnsi="arial" w:cs="arial"/>
          <w:color w:val="000000"/>
          <w:sz w:val="20"/>
          <w:lang w:val="en-US" w:eastAsia="en-US" w:bidi="ar-SA"/>
        </w:rPr>
        <w:t xml:space="preserve">: maintained supracompetitive Interchange Fees and the Network Rules. This is not a case like </w:t>
      </w:r>
      <w:r>
        <w:rPr>
          <w:rFonts w:ascii="arial" w:eastAsia="arial" w:hAnsi="arial" w:cs="arial"/>
          <w:i/>
          <w:color w:val="000000"/>
          <w:sz w:val="20"/>
          <w:lang w:val="en-US" w:eastAsia="en-US" w:bidi="ar-SA"/>
        </w:rPr>
        <w:t>Research Capital Corp</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J.G. Young &amp; Son Ltd.</w:t>
      </w:r>
      <w:r>
        <w:rPr>
          <w:rFonts w:ascii="arial" w:eastAsia="arial" w:hAnsi="arial" w:cs="arial"/>
          <w:color w:val="000000"/>
          <w:sz w:val="20"/>
          <w:lang w:val="en-US" w:eastAsia="en-US" w:bidi="ar-SA"/>
        </w:rPr>
        <w:t xml:space="preserve"> where the defendants included both companies and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 defendants in this case may well desire more particularized pleadings, and they could arguably be improved, but the plaintiff has pled the requirements of </w:t>
      </w:r>
      <w:r>
        <w:rPr>
          <w:rFonts w:ascii="arial" w:eastAsia="arial" w:hAnsi="arial" w:cs="arial"/>
          <w:i/>
          <w:color w:val="000000"/>
          <w:sz w:val="20"/>
          <w:lang w:val="en-US" w:eastAsia="en-US" w:bidi="ar-SA"/>
        </w:rPr>
        <w:t>Can-Dive</w:t>
      </w:r>
      <w:r>
        <w:rPr>
          <w:rFonts w:ascii="arial" w:eastAsia="arial" w:hAnsi="arial" w:cs="arial"/>
          <w:color w:val="000000"/>
          <w:sz w:val="20"/>
          <w:lang w:val="en-US" w:eastAsia="en-US" w:bidi="ar-SA"/>
        </w:rPr>
        <w:t xml:space="preserve"> and the cases raised by the defendants do not make it plain and obvious that the claim will fail in this case. The language relied upon by the defendants does not correlate with the jurisprudence.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It would admittedly be preferable if the Amended Claim contained such statements as "On [date] [an executive] from [Issuer] met with [an executive] from [an Acquirer] at [location] and agreed to maintain the existing Interchange Fees", but any such utility would be limited and there can be little doubt what each defendant is alleged to have done. Requiring such specificity would also effectively doom many legitimate conspiracy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Further, the particularization of conspiracy pleadings is required so that defendants can meet a specific claim. Given the sheer breadth and depth of the defendants' arguments against certification, I find the suggestion that they are unable to respond specifically to the plaintiff's claims unrealistic, to say the least. I would not give effect to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Finally, the defendants submit that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is a comprehensive code and that the plaintiff cannot seek common law remedies that supplement those provided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defendants originally relied on </w:t>
      </w:r>
      <w:r>
        <w:rPr>
          <w:rFonts w:ascii="arial" w:eastAsia="arial" w:hAnsi="arial" w:cs="arial"/>
          <w:i/>
          <w:color w:val="000000"/>
          <w:sz w:val="20"/>
          <w:lang w:val="en-US" w:eastAsia="en-US" w:bidi="ar-SA"/>
        </w:rPr>
        <w:t>Koubi v. Mazda Canada Inc.</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2012 BCCA 310</w:t>
        </w:r>
      </w:hyperlink>
      <w:r>
        <w:rPr>
          <w:rFonts w:ascii="arial" w:eastAsia="arial" w:hAnsi="arial" w:cs="arial"/>
          <w:color w:val="000000"/>
          <w:sz w:val="20"/>
          <w:lang w:val="en-US" w:eastAsia="en-US" w:bidi="ar-SA"/>
        </w:rPr>
        <w:t xml:space="preserve">, where the Court concluded that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was such a comprehensive code and struck a waiver of tort claim based on a violation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However, that decision has been overtaken by the Court of Appeal's recent judgment in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on which the defendants now rely. I find it preferable to deal with each cause of action in the Amended Claim individually before returning to this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Similarly, the defendants rely on the principles in </w:t>
      </w:r>
      <w:r>
        <w:rPr>
          <w:rFonts w:ascii="arial" w:eastAsia="arial" w:hAnsi="arial" w:cs="arial"/>
          <w:i/>
          <w:color w:val="000000"/>
          <w:sz w:val="20"/>
          <w:lang w:val="en-US" w:eastAsia="en-US" w:bidi="ar-SA"/>
        </w:rPr>
        <w:t>Tortora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Waters v. Michie</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2011 BCCA 364</w:t>
        </w:r>
      </w:hyperlink>
      <w:r>
        <w:rPr>
          <w:rFonts w:ascii="arial" w:eastAsia="arial" w:hAnsi="arial" w:cs="arial"/>
          <w:color w:val="000000"/>
          <w:sz w:val="20"/>
          <w:lang w:val="en-US" w:eastAsia="en-US" w:bidi="ar-SA"/>
        </w:rPr>
        <w:t xml:space="preserve"> and submit that the conspiracy claims should merge with the other claims, specifically the alleged breach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As a conspiracy to injure does not require an unlawful act it cannot merge in the manner described in </w:t>
      </w:r>
      <w:r>
        <w:rPr>
          <w:rFonts w:ascii="arial" w:eastAsia="arial" w:hAnsi="arial" w:cs="arial"/>
          <w:i/>
          <w:color w:val="000000"/>
          <w:sz w:val="20"/>
          <w:lang w:val="en-US" w:eastAsia="en-US" w:bidi="ar-SA"/>
        </w:rPr>
        <w:t>Tortora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 xml:space="preserve">. I will consider the issue of whether the unlawful means conspiracy merges with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claim when discussing the application of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1"/>
        <w:gridCol w:w="1755"/>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Unlawful Interference with Economic Interests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three essential elements of this tort are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at para. 81):</w:t>
      </w:r>
      <w:r>
        <w:rPr>
          <w:rFonts w:ascii="arial" w:eastAsia="arial" w:hAnsi="arial" w:cs="arial"/>
          <w:sz w:val="20"/>
          <w:lang w:val="en-US" w:eastAsia="en-US" w:bidi="ar-SA"/>
        </w:rPr>
        <w:cr/>
      </w:r>
    </w:p>
    <w:p>
      <w:pPr>
        <w:numPr>
          <w:numId w:val="7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intended to injure the plaintiff's economic interests;</w:t>
      </w:r>
    </w:p>
    <w:p>
      <w:pPr>
        <w:numPr>
          <w:numId w:val="7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interference was by illegal or unlawful means; and</w:t>
      </w:r>
    </w:p>
    <w:p>
      <w:pPr>
        <w:numPr>
          <w:numId w:val="7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economic loss or harm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For the first element, the defendant must intend to cause loss to the plaintiff, either as an end goal or as the means of achieving an end goal, like self-enrichment (</w:t>
      </w:r>
      <w:r>
        <w:rPr>
          <w:rFonts w:ascii="arial" w:eastAsia="arial" w:hAnsi="arial" w:cs="arial"/>
          <w:i/>
          <w:color w:val="000000"/>
          <w:sz w:val="20"/>
          <w:lang w:val="en-US" w:eastAsia="en-US" w:bidi="ar-SA"/>
        </w:rPr>
        <w:t>Alleslev-Krofchak v. Valcom Ltd</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2010 ONCA 557</w:t>
        </w:r>
      </w:hyperlink>
      <w:r>
        <w:rPr>
          <w:rFonts w:ascii="arial" w:eastAsia="arial" w:hAnsi="arial" w:cs="arial"/>
          <w:color w:val="000000"/>
          <w:sz w:val="20"/>
          <w:lang w:val="en-US" w:eastAsia="en-US" w:bidi="ar-SA"/>
        </w:rPr>
        <w:t xml:space="preserve"> at para. 50 [</w:t>
      </w:r>
      <w:r>
        <w:rPr>
          <w:rFonts w:ascii="arial" w:eastAsia="arial" w:hAnsi="arial" w:cs="arial"/>
          <w:i/>
          <w:color w:val="000000"/>
          <w:sz w:val="20"/>
          <w:lang w:val="en-US" w:eastAsia="en-US" w:bidi="ar-SA"/>
        </w:rPr>
        <w:t>Valcom</w:t>
      </w:r>
      <w:r>
        <w:rPr>
          <w:rFonts w:ascii="arial" w:eastAsia="arial" w:hAnsi="arial" w:cs="arial"/>
          <w:color w:val="000000"/>
          <w:sz w:val="20"/>
          <w:lang w:val="en-US" w:eastAsia="en-US" w:bidi="ar-SA"/>
        </w:rPr>
        <w:t>]). Thus, this element of the tort has been properly pled for the same reasons the plaintiff has properly pled a conspiracy to injure.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third element is satisfied based on the alleged overcharges.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The second element of the tort was a subject of some debate until the Supreme Court of Canada's recent judgment in </w:t>
      </w:r>
      <w:r>
        <w:rPr>
          <w:rFonts w:ascii="arial" w:eastAsia="arial" w:hAnsi="arial" w:cs="arial"/>
          <w:i/>
          <w:color w:val="000000"/>
          <w:sz w:val="20"/>
          <w:lang w:val="en-US" w:eastAsia="en-US" w:bidi="ar-SA"/>
        </w:rPr>
        <w:t>Bram Enterprises Ltd.</w:t>
      </w:r>
      <w:r>
        <w:rPr>
          <w:rFonts w:ascii="arial" w:eastAsia="arial" w:hAnsi="arial" w:cs="arial"/>
          <w:color w:val="000000"/>
          <w:sz w:val="20"/>
          <w:lang w:val="en-US" w:eastAsia="en-US" w:bidi="ar-SA"/>
        </w:rPr>
        <w:t xml:space="preserve"> The Court held that it was necessary to limit the definition of "unlawful means" for the purposes of this tort and concluded (at para. 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[76] ...in order for conduct to constitute "unlawful means" for this tort, the conduct must give rise to a civil cause of action by the third party or would do so if the third party had suffered loss as a result of that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involvement of a third party is therefore a critical component of the tort. As the Court held (</w:t>
      </w:r>
      <w:r>
        <w:rPr>
          <w:rFonts w:ascii="arial" w:eastAsia="arial" w:hAnsi="arial" w:cs="arial"/>
          <w:i/>
          <w:color w:val="000000"/>
          <w:sz w:val="20"/>
          <w:lang w:val="en-US" w:eastAsia="en-US" w:bidi="ar-SA"/>
        </w:rPr>
        <w:t>Bram Enterprises Ltd.</w:t>
      </w:r>
      <w:r>
        <w:rPr>
          <w:rFonts w:ascii="arial" w:eastAsia="arial" w:hAnsi="arial" w:cs="arial"/>
          <w:color w:val="000000"/>
          <w:sz w:val="20"/>
          <w:lang w:val="en-US" w:eastAsia="en-US" w:bidi="ar-SA"/>
        </w:rPr>
        <w:t xml:space="preserve">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The unlawful means tort creates a type of "parasitic" liability in a three-party situation: it allows a plaintiff to sue a defendant for economic loss resulting from the defendant's unlawful act against a third party. Liability to the plaintiff is based on (or parasitic upon) the defendant's unlawful act against the third party. While the elements of the tort have been described in a number of ways, its core captures the intentional infliction of economic injury on C (the plaintiff) by A (the defendant)'s use of unlawful means against B (the third party)...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The Court also held that the tort is available even if the plaintiff has other causes of action against the defendant in relation to the alleged misconduct (at paras. 77-82). In doing so, the Court removed this prior limitation on the tort: </w:t>
      </w:r>
      <w:r>
        <w:rPr>
          <w:rFonts w:ascii="arial" w:eastAsia="arial" w:hAnsi="arial" w:cs="arial"/>
          <w:i/>
          <w:color w:val="000000"/>
          <w:sz w:val="20"/>
          <w:lang w:val="en-US" w:eastAsia="en-US" w:bidi="ar-SA"/>
        </w:rPr>
        <w:t>Valcom</w:t>
      </w:r>
      <w:r>
        <w:rPr>
          <w:rFonts w:ascii="arial" w:eastAsia="arial" w:hAnsi="arial" w:cs="arial"/>
          <w:color w:val="000000"/>
          <w:sz w:val="20"/>
          <w:lang w:val="en-US" w:eastAsia="en-US" w:bidi="ar-SA"/>
        </w:rPr>
        <w:t xml:space="preserve"> at para. 60; </w:t>
      </w:r>
      <w:r>
        <w:rPr>
          <w:rFonts w:ascii="arial" w:eastAsia="arial" w:hAnsi="arial" w:cs="arial"/>
          <w:i/>
          <w:color w:val="000000"/>
          <w:sz w:val="20"/>
          <w:lang w:val="en-US" w:eastAsia="en-US" w:bidi="ar-SA"/>
        </w:rPr>
        <w:t>0856464 B.C. Ltd. v. TimberWest Forest Corp.</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2012 BCSC 597</w:t>
        </w:r>
      </w:hyperlink>
      <w:r>
        <w:rPr>
          <w:rFonts w:ascii="arial" w:eastAsia="arial" w:hAnsi="arial" w:cs="arial"/>
          <w:color w:val="000000"/>
          <w:sz w:val="20"/>
          <w:lang w:val="en-US" w:eastAsia="en-US" w:bidi="ar-SA"/>
        </w:rPr>
        <w:t xml:space="preserve"> at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Regardless, the Amended Claim does not identify any third party that the defendants are alleged to have committed an unlawful act against. The Acquirers cannot fulfill this role as they are alleged to be co-conspirators in the Amended Claim. On this basis alone it is plain and obvious that this claim will fail and I would strike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882"/>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4.</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Restitutionary Claims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This brings us to the claims in waiver of tort, unjust enrichment and constructive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Waiver of tort is a doctrine that allows a plaintiff to disgorge a defendant's gains from tortious conduct rather than recover his or her own loss. It is a benefit-based claim as opposed to a loss-based claim. The doctrine is the subject of substantial judicial and academic debate (</w:t>
      </w:r>
      <w:r>
        <w:rPr>
          <w:rFonts w:ascii="arial" w:eastAsia="arial" w:hAnsi="arial" w:cs="arial"/>
          <w:i/>
          <w:color w:val="000000"/>
          <w:sz w:val="20"/>
          <w:lang w:val="en-US" w:eastAsia="en-US" w:bidi="ar-SA"/>
        </w:rPr>
        <w:t>Andersen v. St. Jude Medical, Inc.</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2012 ONSC 3660</w:t>
        </w:r>
      </w:hyperlink>
      <w:r>
        <w:rPr>
          <w:rFonts w:ascii="arial" w:eastAsia="arial" w:hAnsi="arial" w:cs="arial"/>
          <w:color w:val="000000"/>
          <w:sz w:val="20"/>
          <w:lang w:val="en-US" w:eastAsia="en-US" w:bidi="ar-SA"/>
        </w:rPr>
        <w:t xml:space="preserve"> at para. 579 [</w:t>
      </w:r>
      <w:r>
        <w:rPr>
          <w:rFonts w:ascii="arial" w:eastAsia="arial" w:hAnsi="arial" w:cs="arial"/>
          <w:i/>
          <w:color w:val="000000"/>
          <w:sz w:val="20"/>
          <w:lang w:val="en-US" w:eastAsia="en-US" w:bidi="ar-SA"/>
        </w:rPr>
        <w:t>St. Jude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[579] ...the primary debate about waiver of tort has been whether the doctrine exists as an independent cause of action in restitution (the independence theory) or is parasitic of an underlying tort (the parasitic theory). Under the parasitic theory, waiver of tort may only be invoked where all of the elements of the underlying tort have been proven, including damage to the plaintiff if that is an element of the tort. If, however, waiver of tort exists as an independent cause of action, by invoking the doctrine, a plaintiff can claim the benefits that accrued to the defendant as a result of the defendant's wrongful conduct, even if the plaintiff suffered no harm. It is also noteworthy that the independence theory of waiver of tort is not the same as an action for unjust enrichment, as the plaintiff does not have to demonstrate a deprivation that corresponds to the defendant's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 a result, it may not be necessary for a plaintiff to establish every element of the underlying tort, including proof of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Given this controversy, courts have generally refused to strike the claim at the pleadings stage; usually in favor of deferring the decision to a trial judge with the benefit of a full factual record (</w:t>
      </w:r>
      <w:r>
        <w:rPr>
          <w:rFonts w:ascii="arial" w:eastAsia="arial" w:hAnsi="arial" w:cs="arial"/>
          <w:i/>
          <w:color w:val="000000"/>
          <w:sz w:val="20"/>
          <w:lang w:val="en-US" w:eastAsia="en-US" w:bidi="ar-SA"/>
        </w:rPr>
        <w:t>Koubi</w:t>
      </w:r>
      <w:r>
        <w:rPr>
          <w:rFonts w:ascii="arial" w:eastAsia="arial" w:hAnsi="arial" w:cs="arial"/>
          <w:color w:val="000000"/>
          <w:sz w:val="20"/>
          <w:lang w:val="en-US" w:eastAsia="en-US" w:bidi="ar-SA"/>
        </w:rPr>
        <w:t xml:space="preserve"> at paras. 15-40; </w:t>
      </w:r>
      <w:r>
        <w:rPr>
          <w:rFonts w:ascii="arial" w:eastAsia="arial" w:hAnsi="arial" w:cs="arial"/>
          <w:i/>
          <w:color w:val="000000"/>
          <w:sz w:val="20"/>
          <w:lang w:val="en-US" w:eastAsia="en-US" w:bidi="ar-SA"/>
        </w:rPr>
        <w:t>St. Jude</w:t>
      </w:r>
      <w:r>
        <w:rPr>
          <w:rFonts w:ascii="arial" w:eastAsia="arial" w:hAnsi="arial" w:cs="arial"/>
          <w:color w:val="000000"/>
          <w:sz w:val="20"/>
          <w:lang w:val="en-US" w:eastAsia="en-US" w:bidi="ar-SA"/>
        </w:rPr>
        <w:t xml:space="preserve"> at paras. 578-582). However, it is doubtful that a full factual record is necessary, or even helpful, when considering the debate (</w:t>
      </w:r>
      <w:r>
        <w:rPr>
          <w:rFonts w:ascii="arial" w:eastAsia="arial" w:hAnsi="arial" w:cs="arial"/>
          <w:i/>
          <w:color w:val="000000"/>
          <w:sz w:val="20"/>
          <w:lang w:val="en-US" w:eastAsia="en-US" w:bidi="ar-SA"/>
        </w:rPr>
        <w:t>St. Jude</w:t>
      </w:r>
      <w:r>
        <w:rPr>
          <w:rFonts w:ascii="arial" w:eastAsia="arial" w:hAnsi="arial" w:cs="arial"/>
          <w:color w:val="000000"/>
          <w:sz w:val="20"/>
          <w:lang w:val="en-US" w:eastAsia="en-US" w:bidi="ar-SA"/>
        </w:rPr>
        <w:t xml:space="preserve"> at paras. 584-587). The Court in </w:t>
      </w:r>
      <w:r>
        <w:rPr>
          <w:rFonts w:ascii="arial" w:eastAsia="arial" w:hAnsi="arial" w:cs="arial"/>
          <w:i/>
          <w:color w:val="000000"/>
          <w:sz w:val="20"/>
          <w:lang w:val="en-US" w:eastAsia="en-US" w:bidi="ar-SA"/>
        </w:rPr>
        <w:t>Koubi</w:t>
      </w:r>
      <w:r>
        <w:rPr>
          <w:rFonts w:ascii="arial" w:eastAsia="arial" w:hAnsi="arial" w:cs="arial"/>
          <w:color w:val="000000"/>
          <w:sz w:val="20"/>
          <w:lang w:val="en-US" w:eastAsia="en-US" w:bidi="ar-SA"/>
        </w:rPr>
        <w:t xml:space="preserve"> did impose a minimal constraint on the doctrine at the certification stage (at paras. 79-80). Nevertheless, the Court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despite being presented with an opportunity, held that the appeal was not the proper place to resolve the debate and instead merely found that it was not plain and obvious that the claim would fail (at paras. 93-97).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I echo the comments in </w:t>
      </w:r>
      <w:r>
        <w:rPr>
          <w:rFonts w:ascii="arial" w:eastAsia="arial" w:hAnsi="arial" w:cs="arial"/>
          <w:i/>
          <w:color w:val="000000"/>
          <w:sz w:val="20"/>
          <w:lang w:val="en-US" w:eastAsia="en-US" w:bidi="ar-SA"/>
        </w:rPr>
        <w:t>Koubi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 Jude</w:t>
      </w:r>
      <w:r>
        <w:rPr>
          <w:rFonts w:ascii="arial" w:eastAsia="arial" w:hAnsi="arial" w:cs="arial"/>
          <w:color w:val="000000"/>
          <w:sz w:val="20"/>
          <w:lang w:val="en-US" w:eastAsia="en-US" w:bidi="ar-SA"/>
        </w:rPr>
        <w:t xml:space="preserve"> that the debate needs to be resolved, but if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was not a proper venue for resolution then neither is this certification motion where the debate has received little attention from the parties. The plaintiff has pled and argued for a very standard waiver of tort claim based on the alleged overcharges; the kind that has been certified in many other class actions. In response, the only significant objection of the defendants is tied to their argument that the plaintiff is an indirect purchaser. For the reasons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discussed above, and to be discussed below when considering unjust enrichment, this objection cannot stand, at least at this stage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Accordingly, the plaintiff has properly pled a claim in waiver of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three elements required to establish an unjust enrichment are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at para. 85):</w:t>
      </w:r>
      <w:r>
        <w:rPr>
          <w:rFonts w:ascii="arial" w:eastAsia="arial" w:hAnsi="arial" w:cs="arial"/>
          <w:sz w:val="20"/>
          <w:lang w:val="en-US" w:eastAsia="en-US" w:bidi="ar-SA"/>
        </w:rPr>
        <w:cr/>
      </w:r>
    </w:p>
    <w:p>
      <w:pPr>
        <w:numPr>
          <w:numId w:val="7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enrichment of the defendant;</w:t>
      </w:r>
    </w:p>
    <w:p>
      <w:pPr>
        <w:numPr>
          <w:numId w:val="7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corresponding deprivation of the plaintiff; and</w:t>
      </w:r>
    </w:p>
    <w:p>
      <w:pPr>
        <w:numPr>
          <w:numId w:val="7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absence of juristic reason (such as a contract) for the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The plaintiff pleads that the alleged Overcharges are enrichments that caused corresponding deprivations and that there is no juristic reason for them because they resulted from the defendants' unlawful acts. The plaintiff also submits that the contracts giving rise to the enrichment violate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and are therefore void and thus cannot provide a juristic reason for the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The defendants rely on </w:t>
      </w:r>
      <w:r>
        <w:rPr>
          <w:rFonts w:ascii="arial" w:eastAsia="arial" w:hAnsi="arial" w:cs="arial"/>
          <w:i/>
          <w:color w:val="000000"/>
          <w:sz w:val="20"/>
          <w:lang w:val="en-US" w:eastAsia="en-US" w:bidi="ar-SA"/>
        </w:rPr>
        <w:t>Peel (Regional Municipality) v. Canada</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[1992] 3 S.C.R. 762</w:t>
        </w:r>
      </w:hyperlink>
      <w:r>
        <w:rPr>
          <w:rFonts w:ascii="arial" w:eastAsia="arial" w:hAnsi="arial" w:cs="arial"/>
          <w:color w:val="000000"/>
          <w:sz w:val="20"/>
          <w:lang w:val="en-US" w:eastAsia="en-US" w:bidi="ar-SA"/>
        </w:rPr>
        <w:t xml:space="preserve"> and similar cases and submit that the enrichment must be conferred on the defendant </w:t>
      </w:r>
      <w:r>
        <w:rPr>
          <w:rFonts w:ascii="arial" w:eastAsia="arial" w:hAnsi="arial" w:cs="arial"/>
          <w:i/>
          <w:color w:val="000000"/>
          <w:sz w:val="20"/>
          <w:lang w:val="en-US" w:eastAsia="en-US" w:bidi="ar-SA"/>
        </w:rPr>
        <w:t>directly</w:t>
      </w:r>
      <w:r>
        <w:rPr>
          <w:rFonts w:ascii="arial" w:eastAsia="arial" w:hAnsi="arial" w:cs="arial"/>
          <w:color w:val="000000"/>
          <w:sz w:val="20"/>
          <w:lang w:val="en-US" w:eastAsia="en-US" w:bidi="ar-SA"/>
        </w:rPr>
        <w:t xml:space="preserve"> by the plaintiff. Given the indirect relationship here, the defendants argue that the claim is doomed to fail. This is the exact argument that the defendants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relied on (at paras. 85-89). In that case, the Court concluded (at para. 87):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[87] ...The words of</w:t>
      </w:r>
      <w:r>
        <w:rPr>
          <w:rFonts w:ascii="arial" w:eastAsia="arial" w:hAnsi="arial" w:cs="arial"/>
          <w:i/>
          <w:color w:val="000000"/>
          <w:sz w:val="20"/>
          <w:lang w:val="en-US" w:eastAsia="en-US" w:bidi="ar-SA"/>
        </w:rPr>
        <w:t xml:space="preserve"> Peel</w:t>
      </w:r>
      <w:r>
        <w:rPr>
          <w:rFonts w:ascii="arial" w:eastAsia="arial" w:hAnsi="arial" w:cs="arial"/>
          <w:color w:val="000000"/>
          <w:sz w:val="20"/>
          <w:lang w:val="en-US" w:eastAsia="en-US" w:bidi="ar-SA"/>
        </w:rPr>
        <w:t xml:space="preserve"> themselves would appear to foreclose the possibility of an indirect relationship between plaintiff and defendant. However, this does not resolve the issue. First, it is not apparent that the benefit to Microsoft is an "incidental blow-by" or "collateral benefit". Second, Pro-Sys relies on</w:t>
      </w:r>
      <w:r>
        <w:rPr>
          <w:rFonts w:ascii="arial" w:eastAsia="arial" w:hAnsi="arial" w:cs="arial"/>
          <w:i/>
          <w:color w:val="000000"/>
          <w:sz w:val="20"/>
          <w:lang w:val="en-US" w:eastAsia="en-US" w:bidi="ar-SA"/>
        </w:rPr>
        <w:t xml:space="preserve"> Alberta Elders</w:t>
      </w:r>
      <w:r>
        <w:rPr>
          <w:rFonts w:ascii="arial" w:eastAsia="arial" w:hAnsi="arial" w:cs="arial"/>
          <w:color w:val="000000"/>
          <w:sz w:val="20"/>
          <w:lang w:val="en-US" w:eastAsia="en-US" w:bidi="ar-SA"/>
        </w:rPr>
        <w:t>, [</w:t>
      </w:r>
      <w:hyperlink r:id="rId142" w:history="1">
        <w:r>
          <w:rPr>
            <w:rFonts w:ascii="arial" w:eastAsia="arial" w:hAnsi="arial" w:cs="arial"/>
            <w:i/>
            <w:color w:val="0077CC"/>
            <w:sz w:val="20"/>
            <w:u w:val="single"/>
            <w:shd w:val="clear" w:color="auto" w:fill="FFFFFF"/>
            <w:lang w:val="en-US" w:eastAsia="en-US" w:bidi="ar-SA"/>
          </w:rPr>
          <w:t>2011 SCC 24</w:t>
        </w:r>
      </w:hyperlink>
      <w:r>
        <w:rPr>
          <w:rFonts w:ascii="arial" w:eastAsia="arial" w:hAnsi="arial" w:cs="arial"/>
          <w:color w:val="000000"/>
          <w:sz w:val="20"/>
          <w:lang w:val="en-US" w:eastAsia="en-US" w:bidi="ar-SA"/>
        </w:rPr>
        <w:t>] which it says stands for the proposition that an unjust enrichment may be possible where the benefit was indirect and was passed on by a third party. At this stage, I cannot conclude that it is plain and obvious that a claim in unjust enrichment will be made out only where the relationship between the plaintiff and the defendant is direct.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I must reach the same conclusion as the Court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it is not plain and obvious that the unjust enrichment claim will fail for the reasons put forth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Accordingly, the plaintiff has properly pled a claim in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plaintiff submits that an amount equal to the alleged Overcharges should be held on a constructive trust for the proposed class. The plaintiff argues this remedy flows from the defendants' alleged wrongful conduct and unjust enrichment. The Amended Claim alleges that justice, equity, and good conscience require the imposition of a constructive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order to be entitled to a constructive trust, a plaintiff must demonstrate a link or causal connection between his or her contributions and the acquisition of specific property. Further, the plaintiff must establish the insufficiency of a monetary award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at paras. 91-92, citing </w:t>
      </w:r>
      <w:r>
        <w:rPr>
          <w:rFonts w:ascii="arial" w:eastAsia="arial" w:hAnsi="arial" w:cs="arial"/>
          <w:i/>
          <w:color w:val="000000"/>
          <w:sz w:val="20"/>
          <w:lang w:val="en-US" w:eastAsia="en-US" w:bidi="ar-SA"/>
        </w:rPr>
        <w:t>Kerr v. Baranow</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2011 SCC 10</w:t>
        </w:r>
      </w:hyperlink>
      <w:r>
        <w:rPr>
          <w:rFonts w:ascii="arial" w:eastAsia="arial" w:hAnsi="arial" w:cs="arial"/>
          <w:color w:val="000000"/>
          <w:sz w:val="20"/>
          <w:lang w:val="en-US" w:eastAsia="en-US" w:bidi="ar-SA"/>
        </w:rPr>
        <w:t xml:space="preserve"> at para.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Neither of these requirements was met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(at para. 92) and neither has been met in this case. There is no referential property in the Amended Claim; the plaintiff makes a purely monetary claim. The plaintiff does not even attempt to explain why a monetary award would be insufficient. As the defendants point out, the plaintiff has sued the largest financial institutions in the country. There is no need for a proprietary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As a result, it is plain and obvious that the claim for a constructive trust will fail. I would strike it from the Amended Claim. As the defendants submit, this will have implications for the limitation period and the Class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 conclusion, the plaintiff has properly pled claims in waiver of tort and unjust enrichment and those claims may proceed. However, the plaintiff's claim of a constructive trust is bound to fail and should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882"/>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5.</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The Effect of </w:t>
            </w:r>
            <w:r>
              <w:rPr>
                <w:rFonts w:ascii="arial" w:eastAsia="arial" w:hAnsi="arial" w:cs="arial"/>
                <w:b/>
                <w:i/>
                <w:color w:val="000000"/>
                <w:sz w:val="18"/>
                <w:lang w:val="en-US" w:eastAsia="en-US" w:bidi="ar-SA"/>
              </w:rPr>
              <w:t>Wakelam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the Court concluded that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is a well-integrated scheme of economic regulation and that s. 36 limits recovery to the loss or damage actually suffered by the plaintiff, together with possible investigatory costs (at paras. 78-90). The Court's conclusion relied heavily on </w:t>
      </w:r>
      <w:r>
        <w:rPr>
          <w:rFonts w:ascii="arial" w:eastAsia="arial" w:hAnsi="arial" w:cs="arial"/>
          <w:i/>
          <w:color w:val="000000"/>
          <w:sz w:val="20"/>
          <w:lang w:val="en-US" w:eastAsia="en-US" w:bidi="ar-SA"/>
        </w:rPr>
        <w:t>General Motors of Canada Ltd. v. City National Leasing</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[1989] 1 S.C.R. 641</w:t>
        </w:r>
      </w:hyperlink>
      <w:r>
        <w:rPr>
          <w:rFonts w:ascii="arial" w:eastAsia="arial" w:hAnsi="arial" w:cs="arial"/>
          <w:color w:val="000000"/>
          <w:sz w:val="20"/>
          <w:lang w:val="en-US" w:eastAsia="en-US" w:bidi="ar-SA"/>
        </w:rPr>
        <w:t xml:space="preserve"> where the Supreme Court of Canada also found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to be a "well-orchestrated" and "complex scheme of economic regulation" (at 674-676). As a result, the Court concluded that Parliament did not intend to allow plaintiffs to augment the statutory cause of action in s. 36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with claims in tort or restitution in an attempt to remedy breaches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at para. 90). Restated, the Court in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found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to be a complete code with exhaustive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This conclusion appears to contradict the decision in </w:t>
      </w:r>
      <w:r>
        <w:rPr>
          <w:rFonts w:ascii="arial" w:eastAsia="arial" w:hAnsi="arial" w:cs="arial"/>
          <w:i/>
          <w:color w:val="000000"/>
          <w:sz w:val="20"/>
          <w:lang w:val="en-US" w:eastAsia="en-US" w:bidi="ar-SA"/>
        </w:rPr>
        <w:t>TELUS Communications Co. v. Rogers Communications Inc.</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2009 BCCA 581</w:t>
        </w:r>
      </w:hyperlink>
      <w:r>
        <w:rPr>
          <w:rFonts w:ascii="arial" w:eastAsia="arial" w:hAnsi="arial" w:cs="arial"/>
          <w:color w:val="000000"/>
          <w:sz w:val="20"/>
          <w:lang w:val="en-US" w:eastAsia="en-US" w:bidi="ar-SA"/>
        </w:rPr>
        <w:t xml:space="preserve">, where the Court held that that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was "not, on its face, a code purporting to comprehensively regulate an area of commerce" (at para. 43). However, the issue in </w:t>
      </w:r>
      <w:r>
        <w:rPr>
          <w:rFonts w:ascii="arial" w:eastAsia="arial" w:hAnsi="arial" w:cs="arial"/>
          <w:i/>
          <w:color w:val="000000"/>
          <w:sz w:val="20"/>
          <w:lang w:val="en-US" w:eastAsia="en-US" w:bidi="ar-SA"/>
        </w:rPr>
        <w:t>TELUS</w:t>
      </w:r>
      <w:r>
        <w:rPr>
          <w:rFonts w:ascii="arial" w:eastAsia="arial" w:hAnsi="arial" w:cs="arial"/>
          <w:color w:val="000000"/>
          <w:sz w:val="20"/>
          <w:lang w:val="en-US" w:eastAsia="en-US" w:bidi="ar-SA"/>
        </w:rPr>
        <w:t xml:space="preserve"> involved an interim injunction, whereas the facts and pleadings in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are apposite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Before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there was a line of authority from other Canadian jurisdictions, which supports the view that a breach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may found civil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Those authorities begin with </w:t>
      </w:r>
      <w:r>
        <w:rPr>
          <w:rFonts w:ascii="arial" w:eastAsia="arial" w:hAnsi="arial" w:cs="arial"/>
          <w:i/>
          <w:color w:val="000000"/>
          <w:sz w:val="20"/>
          <w:lang w:val="en-US" w:eastAsia="en-US" w:bidi="ar-SA"/>
        </w:rPr>
        <w:t>Westfair Foods Ltd. v. Lippens Inc.</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64 D.L.R. (4th) 335</w:t>
        </w:r>
      </w:hyperlink>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[1989] M.J. No. 572</w:t>
        </w:r>
      </w:hyperlink>
      <w:r>
        <w:rPr>
          <w:rFonts w:ascii="arial" w:eastAsia="arial" w:hAnsi="arial" w:cs="arial"/>
          <w:color w:val="000000"/>
          <w:sz w:val="20"/>
          <w:lang w:val="en-US" w:eastAsia="en-US" w:bidi="ar-SA"/>
        </w:rPr>
        <w:t xml:space="preserve"> (C.A.), leave to appeal ref'd </w:t>
      </w:r>
      <w:hyperlink r:id="rId147" w:history="1">
        <w:r>
          <w:rPr>
            <w:rFonts w:ascii="arial" w:eastAsia="arial" w:hAnsi="arial" w:cs="arial"/>
            <w:i/>
            <w:color w:val="0077CC"/>
            <w:sz w:val="20"/>
            <w:u w:val="single"/>
            <w:shd w:val="clear" w:color="auto" w:fill="FFFFFF"/>
            <w:lang w:val="en-US" w:eastAsia="en-US" w:bidi="ar-SA"/>
          </w:rPr>
          <w:t>[1990] S.C.C.A. No. 17</w:t>
        </w:r>
      </w:hyperlink>
      <w:r>
        <w:rPr>
          <w:rFonts w:ascii="arial" w:eastAsia="arial" w:hAnsi="arial" w:cs="arial"/>
          <w:color w:val="000000"/>
          <w:sz w:val="20"/>
          <w:lang w:val="en-US" w:eastAsia="en-US" w:bidi="ar-SA"/>
        </w:rPr>
        <w:t xml:space="preserve">. The issues before that Court included whether there was an independent cause of action for unlawful interference with economic interests and for conspiracy in a case alleging a breach of ss. 45 and 61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Justice Helper (for the Court) noted that both the tort of unlawful interference with economic interests and the tort of civil conspiracy exist at common law. He referred to the defendant's reliance on </w:t>
      </w:r>
      <w:r>
        <w:rPr>
          <w:rFonts w:ascii="arial" w:eastAsia="arial" w:hAnsi="arial" w:cs="arial"/>
          <w:i/>
          <w:color w:val="000000"/>
          <w:sz w:val="20"/>
          <w:lang w:val="en-US" w:eastAsia="en-US" w:bidi="ar-SA"/>
        </w:rPr>
        <w:t>The Queen v. Saskatchewan Wheat Pool</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xml:space="preserve">. But the learned judge distinguished that case as presented "exclusively on the basis of the statutory duty under the </w:t>
      </w:r>
      <w:r>
        <w:rPr>
          <w:rFonts w:ascii="arial" w:eastAsia="arial" w:hAnsi="arial" w:cs="arial"/>
          <w:i/>
          <w:color w:val="000000"/>
          <w:sz w:val="20"/>
          <w:lang w:val="en-US" w:eastAsia="en-US" w:bidi="ar-SA"/>
        </w:rPr>
        <w:t>Canada Grain Act</w:t>
      </w:r>
      <w:r>
        <w:rPr>
          <w:rFonts w:ascii="arial" w:eastAsia="arial" w:hAnsi="arial" w:cs="arial"/>
          <w:color w:val="000000"/>
          <w:sz w:val="20"/>
          <w:lang w:val="en-US" w:eastAsia="en-US" w:bidi="ar-SA"/>
        </w:rPr>
        <w:t>" (at 338).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Justice Helper continued (at 338):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analogy, in the present case, the use of the breach of the Competition Act as proof of the "unlawful means" of a conspiracy or an unlawful interference with economic interests is "intellectually acceptable." The statute in question here did not create the cause of action. Although English jurisprudence shows authority for allowing the pleading of a breach of a statute to substantiate a claim for damages [London Passenger Transport Board v. Upson, [1949] A.C. 155], the same is not true in Canada. The plaintiff is not pleading breach of a statutory duty giving rise to a cause of action. The plaintiff is pleading conspiracy and, in the alternative, unlawful interference with economic interests. The plaintiff will be obliged to prove the breach of the specific provisions of the Act as one of the elements of the torts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Justice Helper also relied on the Supreme Court of Canada's decision in </w:t>
      </w:r>
      <w:r>
        <w:rPr>
          <w:rFonts w:ascii="arial" w:eastAsia="arial" w:hAnsi="arial" w:cs="arial"/>
          <w:i/>
          <w:color w:val="000000"/>
          <w:sz w:val="20"/>
          <w:lang w:val="en-US" w:eastAsia="en-US" w:bidi="ar-SA"/>
        </w:rPr>
        <w:t>International Brotherhood of Teamsters v. Therien</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[1960] S.C.R. 265</w:t>
        </w:r>
      </w:hyperlink>
      <w:r>
        <w:rPr>
          <w:rFonts w:ascii="arial" w:eastAsia="arial" w:hAnsi="arial" w:cs="arial"/>
          <w:color w:val="000000"/>
          <w:sz w:val="20"/>
          <w:lang w:val="en-US" w:eastAsia="en-US" w:bidi="ar-SA"/>
        </w:rPr>
        <w:t xml:space="preserve">, which was followed by this Court in </w:t>
      </w:r>
      <w:r>
        <w:rPr>
          <w:rFonts w:ascii="arial" w:eastAsia="arial" w:hAnsi="arial" w:cs="arial"/>
          <w:i/>
          <w:color w:val="000000"/>
          <w:sz w:val="20"/>
          <w:lang w:val="en-US" w:eastAsia="en-US" w:bidi="ar-SA"/>
        </w:rPr>
        <w:t>Valley Salvage Ltd. v. Molson Brewery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Ltd.</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[1976] 1 W.W.R. 597</w:t>
        </w:r>
      </w:hyperlink>
      <w:r>
        <w:rPr>
          <w:rFonts w:ascii="arial" w:eastAsia="arial" w:hAnsi="arial" w:cs="arial"/>
          <w:color w:val="000000"/>
          <w:sz w:val="20"/>
          <w:lang w:val="en-US" w:eastAsia="en-US" w:bidi="ar-SA"/>
        </w:rPr>
        <w:t xml:space="preserve"> (B.C.S.C.). There, Justice Andrews held that an unlawful means conspiracy may be based upon conduct in breach of a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Westfair Foods</w:t>
      </w:r>
      <w:r>
        <w:rPr>
          <w:rFonts w:ascii="arial" w:eastAsia="arial" w:hAnsi="arial" w:cs="arial"/>
          <w:color w:val="000000"/>
          <w:sz w:val="20"/>
          <w:lang w:val="en-US" w:eastAsia="en-US" w:bidi="ar-SA"/>
        </w:rPr>
        <w:t xml:space="preserve"> case dealt with the submission that s. 36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provides an exclusive remedy (an argument given effect to in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The Court disagreed. Justice Helper referred to </w:t>
      </w:r>
      <w:r>
        <w:rPr>
          <w:rFonts w:ascii="arial" w:eastAsia="arial" w:hAnsi="arial" w:cs="arial"/>
          <w:i/>
          <w:color w:val="000000"/>
          <w:sz w:val="20"/>
          <w:lang w:val="en-US" w:eastAsia="en-US" w:bidi="ar-SA"/>
        </w:rPr>
        <w:t>General Motors of Canada Ltd.</w:t>
      </w:r>
      <w:r>
        <w:rPr>
          <w:rFonts w:ascii="arial" w:eastAsia="arial" w:hAnsi="arial" w:cs="arial"/>
          <w:color w:val="000000"/>
          <w:sz w:val="20"/>
          <w:lang w:val="en-US" w:eastAsia="en-US" w:bidi="ar-SA"/>
        </w:rPr>
        <w:t xml:space="preserve"> (relied on by the Court in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and the conclusion that s. 36 (then s. 31.1) does not create a general action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Justice Helper then stated (at 340):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above comments of the Chief Justice in the </w:t>
      </w:r>
      <w:r>
        <w:rPr>
          <w:rFonts w:ascii="arial" w:eastAsia="arial" w:hAnsi="arial" w:cs="arial"/>
          <w:i/>
          <w:color w:val="000000"/>
          <w:sz w:val="20"/>
          <w:lang w:val="en-US" w:eastAsia="en-US" w:bidi="ar-SA"/>
        </w:rPr>
        <w:t>General Motors</w:t>
      </w:r>
      <w:r>
        <w:rPr>
          <w:rFonts w:ascii="arial" w:eastAsia="arial" w:hAnsi="arial" w:cs="arial"/>
          <w:color w:val="000000"/>
          <w:sz w:val="20"/>
          <w:lang w:val="en-US" w:eastAsia="en-US" w:bidi="ar-SA"/>
        </w:rPr>
        <w:t xml:space="preserve"> case must be read in the context of his determination of the validity of s. 31(1) of the </w:t>
      </w:r>
      <w:r>
        <w:rPr>
          <w:rFonts w:ascii="arial" w:eastAsia="arial" w:hAnsi="arial" w:cs="arial"/>
          <w:i/>
          <w:color w:val="000000"/>
          <w:sz w:val="20"/>
          <w:lang w:val="en-US" w:eastAsia="en-US" w:bidi="ar-SA"/>
        </w:rPr>
        <w:t>Combines Investigation Act</w:t>
      </w:r>
      <w:r>
        <w:rPr>
          <w:rFonts w:ascii="arial" w:eastAsia="arial" w:hAnsi="arial" w:cs="arial"/>
          <w:color w:val="000000"/>
          <w:sz w:val="20"/>
          <w:lang w:val="en-US" w:eastAsia="en-US" w:bidi="ar-SA"/>
        </w:rPr>
        <w:t xml:space="preserve">, the forerunner of s. 36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There is no question that if the plaintiff had sued for damages for a breach of ss. 45 and 61, the defendant's argument would be compelling. However, such is not the case. The question to be answered here is whether that same prohibited conduct, if proved, can constitute an element in an independent cause of action, i.e., damages for an unlawful interference with economic interest or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He referred to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presumption that where a statute itself provides a remedy, that remedy is intended to be the only one. But that presumption is subject to the true construction of the particular statute concerned (at 341):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Motors case determined that the challenged provisions of the now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were functionally related to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There was no infringement on provincial jurisdiction dealing with civil rights and liberties. I would amplify that reasoning to conclude that there is presently no inconsistency with recognized remedies available at common law. By relying upon breach of a federal statute to prove one of the elements of an existing common law remedy, there is no infringement on provincial jurisdiction. By allowing the plaintiff to rely upon a breach of a federal statute to prove the unlawful element of the common law right of action, the court is not endorsing the encroachment by Parliament upon provincial jurisdiction. By recognizing potential alternative causes of action to those set out in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Parliament is not using its power </w:t>
      </w:r>
      <w:r>
        <w:rPr>
          <w:rFonts w:ascii="arial" w:eastAsia="arial" w:hAnsi="arial" w:cs="arial"/>
          <w:i/>
          <w:color w:val="000000"/>
          <w:sz w:val="20"/>
          <w:lang w:val="en-US" w:eastAsia="en-US" w:bidi="ar-SA"/>
        </w:rPr>
        <w:t>ipso facto</w:t>
      </w:r>
      <w:r>
        <w:rPr>
          <w:rFonts w:ascii="arial" w:eastAsia="arial" w:hAnsi="arial" w:cs="arial"/>
          <w:color w:val="000000"/>
          <w:sz w:val="20"/>
          <w:lang w:val="en-US" w:eastAsia="en-US" w:bidi="ar-SA"/>
        </w:rPr>
        <w:t xml:space="preserve"> to expand those existing causes of action. Each statutory prohibition or restriction is subject to the scrutiny of the courts in recognition of the division of power between the federal and provincial governments.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62 [of the </w:t>
      </w:r>
      <w:r>
        <w:rPr>
          <w:rFonts w:ascii="arial" w:eastAsia="arial" w:hAnsi="arial" w:cs="arial"/>
          <w:i/>
          <w:color w:val="000000"/>
          <w:sz w:val="20"/>
          <w:lang w:val="en-US" w:eastAsia="en-US" w:bidi="ar-SA"/>
        </w:rPr>
        <w:t>Competition</w:t>
      </w:r>
      <w:r>
        <w:rPr>
          <w:rFonts w:ascii="arial" w:eastAsia="arial" w:hAnsi="arial" w:cs="arial"/>
          <w:color w:val="000000"/>
          <w:sz w:val="20"/>
          <w:lang w:val="en-US" w:eastAsia="en-US" w:bidi="ar-SA"/>
        </w:rPr>
        <w:t xml:space="preserve"> Act] which reads: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Except as otherwise provided in this Part, nothing in this Part shall be construed as depriving any person of any civil right of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leads me to conclude that Parliament recognized provincial jurisdiction in the area of civil rights and liberties and rebuts the presumption...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Since </w:t>
      </w:r>
      <w:r>
        <w:rPr>
          <w:rFonts w:ascii="arial" w:eastAsia="arial" w:hAnsi="arial" w:cs="arial"/>
          <w:i/>
          <w:color w:val="000000"/>
          <w:sz w:val="20"/>
          <w:lang w:val="en-US" w:eastAsia="en-US" w:bidi="ar-SA"/>
        </w:rPr>
        <w:t>Westfair Foods Ltd.</w:t>
      </w:r>
      <w:r>
        <w:rPr>
          <w:rFonts w:ascii="arial" w:eastAsia="arial" w:hAnsi="arial" w:cs="arial"/>
          <w:color w:val="000000"/>
          <w:sz w:val="20"/>
          <w:lang w:val="en-US" w:eastAsia="en-US" w:bidi="ar-SA"/>
        </w:rPr>
        <w:t xml:space="preserve">, and prior to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many provincial appellate courts have either approved </w:t>
      </w:r>
      <w:r>
        <w:rPr>
          <w:rFonts w:ascii="arial" w:eastAsia="arial" w:hAnsi="arial" w:cs="arial"/>
          <w:i/>
          <w:color w:val="000000"/>
          <w:sz w:val="20"/>
          <w:lang w:val="en-US" w:eastAsia="en-US" w:bidi="ar-SA"/>
        </w:rPr>
        <w:t>Westfair Foods Ltd.</w:t>
      </w:r>
      <w:r>
        <w:rPr>
          <w:rFonts w:ascii="arial" w:eastAsia="arial" w:hAnsi="arial" w:cs="arial"/>
          <w:color w:val="000000"/>
          <w:sz w:val="20"/>
          <w:lang w:val="en-US" w:eastAsia="en-US" w:bidi="ar-SA"/>
        </w:rPr>
        <w:t xml:space="preserve"> or allowed a breach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to ground other causes of action. Examples include: </w:t>
      </w:r>
      <w:r>
        <w:rPr>
          <w:rFonts w:ascii="arial" w:eastAsia="arial" w:hAnsi="arial" w:cs="arial"/>
          <w:i/>
          <w:color w:val="000000"/>
          <w:sz w:val="20"/>
          <w:lang w:val="en-US" w:eastAsia="en-US" w:bidi="ar-SA"/>
        </w:rPr>
        <w:t>Polar Ice Express Ltd. v. Arctic Glacier Inc.</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2009 ABCA 20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Acier Leroux Inc. v. Tremblay</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[2004] R.J.Q. 839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Industrial Union of Marine and Shipbuilding Workers of Canada, Local 1 v. International Brotherhood of Electrical Workers, Local 625</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2002 NSCA 56</w:t>
        </w:r>
      </w:hyperlink>
      <w:r>
        <w:rPr>
          <w:rFonts w:ascii="arial" w:eastAsia="arial" w:hAnsi="arial" w:cs="arial"/>
          <w:color w:val="000000"/>
          <w:sz w:val="20"/>
          <w:lang w:val="en-US" w:eastAsia="en-US" w:bidi="ar-SA"/>
        </w:rPr>
        <w:t xml:space="preserve">. The Supreme Court of Canada has, of course, allowed a breach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to ground other civil claims as recently as </w:t>
      </w:r>
      <w:r>
        <w:rPr>
          <w:rFonts w:ascii="arial" w:eastAsia="arial" w:hAnsi="arial" w:cs="arial"/>
          <w:i/>
          <w:color w:val="000000"/>
          <w:sz w:val="20"/>
          <w:lang w:val="en-US" w:eastAsia="en-US" w:bidi="ar-SA"/>
        </w:rPr>
        <w:t>Microsoft.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In particular, </w:t>
      </w:r>
      <w:r>
        <w:rPr>
          <w:rFonts w:ascii="arial" w:eastAsia="arial" w:hAnsi="arial" w:cs="arial"/>
          <w:i/>
          <w:color w:val="000000"/>
          <w:sz w:val="20"/>
          <w:lang w:val="en-US" w:eastAsia="en-US" w:bidi="ar-SA"/>
        </w:rPr>
        <w:t>Westfair Foods Ltd.</w:t>
      </w:r>
      <w:r>
        <w:rPr>
          <w:rFonts w:ascii="arial" w:eastAsia="arial" w:hAnsi="arial" w:cs="arial"/>
          <w:color w:val="000000"/>
          <w:sz w:val="20"/>
          <w:lang w:val="en-US" w:eastAsia="en-US" w:bidi="ar-SA"/>
        </w:rPr>
        <w:t xml:space="preserve"> was followed by the Ontario Court of Appeal in 2000 in </w:t>
      </w:r>
      <w:r>
        <w:rPr>
          <w:rFonts w:ascii="arial" w:eastAsia="arial" w:hAnsi="arial" w:cs="arial"/>
          <w:i/>
          <w:color w:val="000000"/>
          <w:sz w:val="20"/>
          <w:lang w:val="en-US" w:eastAsia="en-US" w:bidi="ar-SA"/>
        </w:rPr>
        <w:t>Apotex Inc. v. Hoffmann LaRoche Ltd.</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[2000] O.J. No. 4732</w:t>
        </w:r>
      </w:hyperlink>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195 D.L.R. (4th) 244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Apotex</w:t>
      </w:r>
      <w:r>
        <w:rPr>
          <w:rFonts w:ascii="arial" w:eastAsia="arial" w:hAnsi="arial" w:cs="arial"/>
          <w:color w:val="000000"/>
          <w:sz w:val="20"/>
          <w:lang w:val="en-US" w:eastAsia="en-US" w:bidi="ar-SA"/>
        </w:rPr>
        <w:t xml:space="preserve">, the Court held (at para. 21), applying </w:t>
      </w:r>
      <w:r>
        <w:rPr>
          <w:rFonts w:ascii="arial" w:eastAsia="arial" w:hAnsi="arial" w:cs="arial"/>
          <w:i/>
          <w:color w:val="000000"/>
          <w:sz w:val="20"/>
          <w:lang w:val="en-US" w:eastAsia="en-US" w:bidi="ar-SA"/>
        </w:rPr>
        <w:t>Westfair Foods Ltd.</w:t>
      </w:r>
      <w:r>
        <w:rPr>
          <w:rFonts w:ascii="arial" w:eastAsia="arial" w:hAnsi="arial" w:cs="arial"/>
          <w:color w:val="000000"/>
          <w:sz w:val="20"/>
          <w:lang w:val="en-US" w:eastAsia="en-US" w:bidi="ar-SA"/>
        </w:rPr>
        <w:t xml:space="preserve">, that it was open to the appellant to rely upon a breach of s. 52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to supply the element of unlawful means for both unlawful interference with economic interests and civil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It is notable that an alleged breach of s. 52 was also before the Court in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but as noted by the plaintiff before me,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unlike </w:t>
      </w:r>
      <w:r>
        <w:rPr>
          <w:rFonts w:ascii="arial" w:eastAsia="arial" w:hAnsi="arial" w:cs="arial"/>
          <w:i/>
          <w:color w:val="000000"/>
          <w:sz w:val="20"/>
          <w:lang w:val="en-US" w:eastAsia="en-US" w:bidi="ar-SA"/>
        </w:rPr>
        <w:t>Apotex</w:t>
      </w:r>
      <w:r>
        <w:rPr>
          <w:rFonts w:ascii="arial" w:eastAsia="arial" w:hAnsi="arial" w:cs="arial"/>
          <w:color w:val="000000"/>
          <w:sz w:val="20"/>
          <w:lang w:val="en-US" w:eastAsia="en-US" w:bidi="ar-SA"/>
        </w:rPr>
        <w:t>, did not include claims in civil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Apart from a claim for unlawful interference with economic relations which was struck by the chambers judge (for want of a third party, as here), only remedies in restitution were based on the alleged breach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also appears to contradict the result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where the Court ultimately certified tortious and restitutionary claims predicated on a breach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However, the issue was not considered by the Court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and does not appear to have been raised by the parties to that case. Further, the judgment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was considered by the Court in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and it was found supportive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at paras. 79-80 and 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Pleadings alleging breaches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as the basis for tort and restitutionary claims were also not struck and were permitted to proceed to trial by the Court of Appeal in both </w:t>
      </w:r>
      <w:r>
        <w:rPr>
          <w:rFonts w:ascii="arial" w:eastAsia="arial" w:hAnsi="arial" w:cs="arial"/>
          <w:i/>
          <w:color w:val="000000"/>
          <w:sz w:val="20"/>
          <w:lang w:val="en-US" w:eastAsia="en-US" w:bidi="ar-SA"/>
        </w:rPr>
        <w:t>Infineon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Steele v. Toyota Canada Inc.</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2011 BCCA 98</w:t>
        </w:r>
      </w:hyperlink>
      <w:r>
        <w:rPr>
          <w:rFonts w:ascii="arial" w:eastAsia="arial" w:hAnsi="arial" w:cs="arial"/>
          <w:color w:val="000000"/>
          <w:sz w:val="20"/>
          <w:lang w:val="en-US" w:eastAsia="en-US" w:bidi="ar-SA"/>
        </w:rPr>
        <w:t xml:space="preserve">. While these cases were cited by the Court in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this nuance was not expressly noted.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In the end, however, I am left with the Court's clear conclusion in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Referring to s. 36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[90] ...I see nothing in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to indicate that Parliament intended that the statutory right of action should be augmented by a general right in consumers to sue in tort or to seek restitutionary remedies on the basis of breaches of Part VI. It follows in my view that the certification judge did err in finding that the pleading disclosed a cause of action under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for which a court might grant restitutionary relief;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Accordingly, the plaintiff's claims under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cannot constitute the foundation for other causes of action. It is not open to the plaintiff to plead unjust enrichment or waiver of tort to the extent that those pleadings rely on acts that are only unlawful as a result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As previously discussed, this effect of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combined with a relevant limitation period and repeal of s. 61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is fatal to the plaintiff's claim under that section. Similarly, even if the plaintiff's claim in unlawful interference with economic relations was otherwise certifiable, the decision in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would be fatal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Moreover, the plaintiff's unlawful means conspiracy claim must fail, as it is based exclusively on a breach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the issue of merger and the principles in </w:t>
      </w:r>
      <w:r>
        <w:rPr>
          <w:rFonts w:ascii="arial" w:eastAsia="arial" w:hAnsi="arial" w:cs="arial"/>
          <w:i/>
          <w:color w:val="000000"/>
          <w:sz w:val="20"/>
          <w:lang w:val="en-US" w:eastAsia="en-US" w:bidi="ar-SA"/>
        </w:rPr>
        <w:t>Tortora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 xml:space="preserve"> do not need to be considered in light of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I would accordingly strike the unlawful means conspiracy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However, the decision in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does not affect the plaintiff's conspiracy to injure claim as it is independent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and can survive even if the conduct of the defendants has been entirely lawful. As a result, the plaintiff's restitutionary claims should not be struck; they can attach to the surviving conspiracy to injure claim. As the plaintiff must now prove that the defendants acted predominately with a view to harming merchants, as opposed to in their own economic self-interest, these claims are now tenuous. However, the plaintiff must still be afforded the opportunity to prove the actual predominant purpose at trial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at paras. 77-78).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That said, I wish to point out exactly how tenuous the plaintiff's conspiracy to injure claim appears to be. As the plaintiff states in her Reply Submissions for Certification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Let us not be naïve. These corporations have a single objective - to maximize their own profits. It is not simply a question of their wanting to maximize the collective benefits of their merchant and consumer customers. These companies are under an obligation to their shareholders to maximize </w:t>
      </w:r>
      <w:r>
        <w:rPr>
          <w:rFonts w:ascii="arial" w:eastAsia="arial" w:hAnsi="arial" w:cs="arial"/>
          <w:color w:val="000000"/>
          <w:sz w:val="20"/>
          <w:u w:val="single"/>
          <w:lang w:val="en-US" w:eastAsia="en-US" w:bidi="ar-SA"/>
        </w:rPr>
        <w:t>their own share</w:t>
      </w:r>
      <w:r>
        <w:rPr>
          <w:rFonts w:ascii="arial" w:eastAsia="arial" w:hAnsi="arial" w:cs="arial"/>
          <w:color w:val="000000"/>
          <w:sz w:val="20"/>
          <w:lang w:val="en-US" w:eastAsia="en-US" w:bidi="ar-SA"/>
        </w:rPr>
        <w:t xml:space="preserve"> from their unique position in the middle of the transaction.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Accordingly, and since the conspiracy to injure claim is now the linchpin of some of the plaintiff's claims, the utility of proceeding to trial on it must be questioned. Nevertheless, the plaintiff has met the requirements of s. 4(1)(a) and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in this regard, so the claim cannot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In conclusion, as a result of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the plaintiff now has two completely distinct categories of claims. The first category is her claim under s. 45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The second category is comprised of her claims in conspiracy to injure, unjust enrichment and waiver of tort. The plaintiff's desired terms of relief beyond tort or restitutionary damages, including punitive damages, declaratory relief, and injunctive relief can similarly attach to the conspiracy to injure claim, even if such remedies are not found in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As discussed above, it is plain and obvious that her claims under s. 61 of the </w:t>
      </w:r>
      <w:r>
        <w:rPr>
          <w:rFonts w:ascii="arial" w:eastAsia="arial" w:hAnsi="arial" w:cs="arial"/>
          <w:i/>
          <w:color w:val="000000"/>
          <w:sz w:val="20"/>
          <w:lang w:val="en-US" w:eastAsia="en-US" w:bidi="ar-SA"/>
        </w:rPr>
        <w:t>Competition</w:t>
      </w:r>
      <w:r>
        <w:rPr>
          <w:rFonts w:ascii="arial" w:eastAsia="arial" w:hAnsi="arial" w:cs="arial"/>
          <w:color w:val="000000"/>
          <w:sz w:val="20"/>
          <w:lang w:val="en-US" w:eastAsia="en-US" w:bidi="ar-SA"/>
        </w:rPr>
        <w:t xml:space="preserve"> Act, and in unlawful means conspiracy, unlawful interference with economic interests, and constructive trust will fail and they must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As these matters are usually litigated to higher Courts, I should also deal with the merger argument by way of </w:t>
      </w:r>
      <w:r>
        <w:rPr>
          <w:rFonts w:ascii="arial" w:eastAsia="arial" w:hAnsi="arial" w:cs="arial"/>
          <w:i/>
          <w:color w:val="000000"/>
          <w:sz w:val="20"/>
          <w:lang w:val="en-US" w:eastAsia="en-US" w:bidi="ar-SA"/>
        </w:rPr>
        <w:t>obiter dicta</w:t>
      </w:r>
      <w:r>
        <w:rPr>
          <w:rFonts w:ascii="arial" w:eastAsia="arial" w:hAnsi="arial" w:cs="arial"/>
          <w:color w:val="000000"/>
          <w:sz w:val="20"/>
          <w:lang w:val="en-US" w:eastAsia="en-US" w:bidi="ar-SA"/>
        </w:rPr>
        <w:t>, at least as it relates to the claim in unlawful means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The defendants argue that the conspiracy claims should merge with the other claims, specifically the alleged breach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the Court stated (at 991-992):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Finally, the defendants also submit that a cause of action in conspiracy is not available when a plaintiff has available another cause of action. Since the plaintiff has alleged in paragraph 20 of his statement of claim that the defendants engaged in various tortious acts, the defendants contend that it is not open to the plaintiff to proceed with his claim in conspiracy.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there are at least two problems with this submission. First, while it may be arguable that if one succeeds under a distinct nominate tort against an individual defendant, then an action in conspiracy should not be available against that defendant, it is far from clear that the mere fact that a plaintiff </w:t>
      </w:r>
      <w:r>
        <w:rPr>
          <w:rFonts w:ascii="arial" w:eastAsia="arial" w:hAnsi="arial" w:cs="arial"/>
          <w:color w:val="000000"/>
          <w:sz w:val="20"/>
          <w:u w:val="single"/>
          <w:lang w:val="en-US" w:eastAsia="en-US" w:bidi="ar-SA"/>
        </w:rPr>
        <w:t>alleges</w:t>
      </w:r>
      <w:r>
        <w:rPr>
          <w:rFonts w:ascii="arial" w:eastAsia="arial" w:hAnsi="arial" w:cs="arial"/>
          <w:color w:val="000000"/>
          <w:sz w:val="20"/>
          <w:lang w:val="en-US" w:eastAsia="en-US" w:bidi="ar-SA"/>
        </w:rPr>
        <w:t xml:space="preserve"> that a defendant committed other torts is a bar to pleading the tort of conspiracy. It seems to me that one can only determine whether the plaintiff should be barred from recovery under the tort of conspiracy once one ascertains whether he has established that the defendant did in fact commit the other alleged torts. And while on a motion to strike we are required to assume that the </w:t>
      </w:r>
      <w:r>
        <w:rPr>
          <w:rFonts w:ascii="arial" w:eastAsia="arial" w:hAnsi="arial" w:cs="arial"/>
          <w:color w:val="000000"/>
          <w:sz w:val="20"/>
          <w:u w:val="single"/>
          <w:lang w:val="en-US" w:eastAsia="en-US" w:bidi="ar-SA"/>
        </w:rPr>
        <w:t>facts</w:t>
      </w:r>
      <w:r>
        <w:rPr>
          <w:rFonts w:ascii="arial" w:eastAsia="arial" w:hAnsi="arial" w:cs="arial"/>
          <w:color w:val="000000"/>
          <w:sz w:val="20"/>
          <w:lang w:val="en-US" w:eastAsia="en-US" w:bidi="ar-SA"/>
        </w:rPr>
        <w:t xml:space="preserve"> as pleaded are true, I do not think that it is open to us to assume that the plaintiff will necessarily succeed in persuading the court that these facts establish the commission of the other alleged nominate torts. Thus, even if one were to accept the appellants' (defendants) submission that "upon proof of the commission of the tortious acts alleged" in paragraph 20 of the plaintiff's statement of claim "the conspiracy merges with the tort", one simply could not decide whether this "merger" had taken place without first deciding whether the plaintiff had proved that the other tortious acts had been committed.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brings me to the second difficulty I have with the defendants' submission. It seems to me totally inappropriate on a motion to strike out a statement of claim to get into the question whether the plaintiff's allegations concerning other nominate torts will be successful. This [is] a matter that should be considered at trial where evidence with respect to the other torts can be led and where a fully informed decision about the applicability of the tort of conspiracy can be made in light of that evidence and the submissions of counsel. If the plaintiff is successful with respect to the other nominate torts, then the trial judge can consider the defendants' arguments about the unavailability of the tort of conspiracy. If the plaintiff is unsuccessful with respect to the other nominate torts, then the trial judge can consider whether he might still succeed in conspiracy. Regardless of the outcome, it seems to me inappropriate at this stage in the proceedings to reach a conclusion about the validity of the defendants' claims about merger. I believe that this matter is also properly left for the consideration of the trial judge.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However, in </w:t>
      </w:r>
      <w:r>
        <w:rPr>
          <w:rFonts w:ascii="arial" w:eastAsia="arial" w:hAnsi="arial" w:cs="arial"/>
          <w:i/>
          <w:color w:val="000000"/>
          <w:sz w:val="20"/>
          <w:lang w:val="en-US" w:eastAsia="en-US" w:bidi="ar-SA"/>
        </w:rPr>
        <w:t>Tortora</w:t>
      </w:r>
      <w:r>
        <w:rPr>
          <w:rFonts w:ascii="arial" w:eastAsia="arial" w:hAnsi="arial" w:cs="arial"/>
          <w:color w:val="000000"/>
          <w:sz w:val="20"/>
          <w:lang w:val="en-US" w:eastAsia="en-US" w:bidi="ar-SA"/>
        </w:rPr>
        <w:t xml:space="preserve">, the Court, referencing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found that (at paras. 52-53):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In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the defendants submitted that "a cause of action in conspiracy is not available when a plaintiff has available another cause of action". The Court rejected this on the basis it was premature to bar conspiracy until it was known whether the other causes of action would succeed. The Court also concluded a trial judge should determine whether to allow the conspiracy claim: in light of the evidence, if the other nominate torts succeeded, the trial judge could consider submissions concerning the unavailability of conspiracy and if the nominate tort claims failed, the judge could consider whether the plaintiff could succeed in conspiracy. In my view, the situation in the case at bar is markedly different.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The conspiracy claim in this case relates to the alleged commission splitting. The unlawful acts alleged to support the conspiracy claim are breach of contract and breach of fiduciary duty. If there were no breach of contract or breach of fiduciary duty there would be no unlawful act. If there were a breach of contract or breach of fiduciary duty, the conspiracy allegation against Ms. Tortora and Ms. Poonja adds nothing. In my view, the judge correctly held the conspiracy claim is merged with the other claims and properly struck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further (at para. 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We have been provided with no authority for the proposition a conspiracy pleading can never be struck based on merger. In a case like this, where the unlawful acts alleged to constitute the conspiracy are breach of contract and breach of fiduciary duty which are advanced as claims in the proceeding, in my view, a claim for unlawful act conspiracy is merged with those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The reasoning in </w:t>
      </w:r>
      <w:r>
        <w:rPr>
          <w:rFonts w:ascii="arial" w:eastAsia="arial" w:hAnsi="arial" w:cs="arial"/>
          <w:i/>
          <w:color w:val="000000"/>
          <w:sz w:val="20"/>
          <w:lang w:val="en-US" w:eastAsia="en-US" w:bidi="ar-SA"/>
        </w:rPr>
        <w:t>Tortora</w:t>
      </w:r>
      <w:r>
        <w:rPr>
          <w:rFonts w:ascii="arial" w:eastAsia="arial" w:hAnsi="arial" w:cs="arial"/>
          <w:color w:val="000000"/>
          <w:sz w:val="20"/>
          <w:lang w:val="en-US" w:eastAsia="en-US" w:bidi="ar-SA"/>
        </w:rPr>
        <w:t xml:space="preserve"> was expanded in </w:t>
      </w:r>
      <w:r>
        <w:rPr>
          <w:rFonts w:ascii="arial" w:eastAsia="arial" w:hAnsi="arial" w:cs="arial"/>
          <w:i/>
          <w:color w:val="000000"/>
          <w:sz w:val="20"/>
          <w:lang w:val="en-US" w:eastAsia="en-US" w:bidi="ar-SA"/>
        </w:rPr>
        <w:t>Waters v. Michie</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2011 BCCA 364</w:t>
        </w:r>
      </w:hyperlink>
      <w:r>
        <w:rPr>
          <w:rFonts w:ascii="arial" w:eastAsia="arial" w:hAnsi="arial" w:cs="arial"/>
          <w:color w:val="000000"/>
          <w:sz w:val="20"/>
          <w:lang w:val="en-US" w:eastAsia="en-US" w:bidi="ar-SA"/>
        </w:rPr>
        <w:t>, where the Court held (at paras. 60-63):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Despite these comments in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many Canadian courts have applied the doctrine of merger to strike conspiracy claims at the pleading stage, including this Court in the recent case of </w:t>
      </w:r>
      <w:r>
        <w:rPr>
          <w:rFonts w:ascii="arial" w:eastAsia="arial" w:hAnsi="arial" w:cs="arial"/>
          <w:i/>
          <w:color w:val="000000"/>
          <w:sz w:val="20"/>
          <w:lang w:val="en-US" w:eastAsia="en-US" w:bidi="ar-SA"/>
        </w:rPr>
        <w:t>Bank of Montreal v. Tortora</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2010 BCCA 139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In </w:t>
      </w:r>
      <w:r>
        <w:rPr>
          <w:rFonts w:ascii="arial" w:eastAsia="arial" w:hAnsi="arial" w:cs="arial"/>
          <w:i/>
          <w:color w:val="000000"/>
          <w:sz w:val="20"/>
          <w:lang w:val="en-US" w:eastAsia="en-US" w:bidi="ar-SA"/>
        </w:rPr>
        <w:t>Tortora</w:t>
      </w:r>
      <w:r>
        <w:rPr>
          <w:rFonts w:ascii="arial" w:eastAsia="arial" w:hAnsi="arial" w:cs="arial"/>
          <w:color w:val="000000"/>
          <w:sz w:val="20"/>
          <w:lang w:val="en-US" w:eastAsia="en-US" w:bidi="ar-SA"/>
        </w:rPr>
        <w:t xml:space="preserve">, the Court struck conspiracy claims against two former employees of the plaintiff bank on the basis of merger. The Bank alleged that the defendants split commissions on mortgages, which conduct amounted to breaches of their employment contracts, breaches of their fiduciary duties, and conspiracy by unlawful conduct. Mr. Justice Chiasson, writing for the Court, rejected the view that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stood for the proposition that a conspiracy claim could never be struck at the pleadings stage on the basis of merger. He distinguished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on the basis that in that case the plaintiff had pleaded no claim against Carey other than the conspiracy claim, which had been pleaded on the basis of both lawful and unlawful acts. As a result, the plaintiff might have succeeded in its conspiracy claim even if he failed to establish any tortious conduct on the part of any of the defendants. He concluded (at para. 53):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a case like this, where the unlawful acts alleged to constitute the conspiracy are breach of contract and breach of fiduciary duty which are advanced as claims in the proceeding, in my view, a claim for unlawful act conspiracy is merged with those causes of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 Framed in more general terms, the Court held that merger precludes a claim of unlawful act conspiracy where the alleged unlawful acts are torts or other independently actionable claims that have also been pleaded, such that the conspiracy claim adds nothing.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For the same reasons set out above with respect to the effect of the applicable family law and creditor protection legislative schemes, the application of the concept of merger to these facts leads to the same result: the conspiracy claim adds nothing to the statutory claims, and thus raises no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My understanding of the effect of these decisions is that it is appropriate to consider whether the claim of unlawful means conspiracy is redundant </w:t>
      </w:r>
      <w:r>
        <w:rPr>
          <w:rFonts w:ascii="arial" w:eastAsia="arial" w:hAnsi="arial" w:cs="arial"/>
          <w:i/>
          <w:color w:val="000000"/>
          <w:sz w:val="20"/>
          <w:lang w:val="en-US" w:eastAsia="en-US" w:bidi="ar-SA"/>
        </w:rPr>
        <w:t>regardless of whether</w:t>
      </w:r>
      <w:r>
        <w:rPr>
          <w:rFonts w:ascii="arial" w:eastAsia="arial" w:hAnsi="arial" w:cs="arial"/>
          <w:color w:val="000000"/>
          <w:sz w:val="20"/>
          <w:lang w:val="en-US" w:eastAsia="en-US" w:bidi="ar-SA"/>
        </w:rPr>
        <w:t xml:space="preserve"> a distinct claim succeeds. This appears consistent with s. 4(1)(a)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In Ontario the test was recently succinctly stated as (</w:t>
      </w:r>
      <w:r>
        <w:rPr>
          <w:rFonts w:ascii="arial" w:eastAsia="arial" w:hAnsi="arial" w:cs="arial"/>
          <w:i/>
          <w:color w:val="000000"/>
          <w:sz w:val="20"/>
          <w:lang w:val="en-US" w:eastAsia="en-US" w:bidi="ar-SA"/>
        </w:rPr>
        <w:t>Cannon v. Funds For Canada Foundation</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2012 ONSC 399</w:t>
        </w:r>
      </w:hyperlink>
      <w:r>
        <w:rPr>
          <w:rFonts w:ascii="arial" w:eastAsia="arial" w:hAnsi="arial" w:cs="arial"/>
          <w:color w:val="000000"/>
          <w:sz w:val="20"/>
          <w:lang w:val="en-US" w:eastAsia="en-US" w:bidi="ar-SA"/>
        </w:rPr>
        <w:t xml:space="preserve"> at para. 214):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[214] ...whether it is plain and obvious that if the other causes of action do not succeed, the conspiracy claim could also not succeed, or that if the other cause of action does succeed, the conspiracy claim could add nothing.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 consider this an accurate statement of the law in British Columbia following the decisions in </w:t>
      </w:r>
      <w:r>
        <w:rPr>
          <w:rFonts w:ascii="arial" w:eastAsia="arial" w:hAnsi="arial" w:cs="arial"/>
          <w:i/>
          <w:color w:val="000000"/>
          <w:sz w:val="20"/>
          <w:lang w:val="en-US" w:eastAsia="en-US" w:bidi="ar-SA"/>
        </w:rPr>
        <w:t>Tortora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The only unlawful act pled for the purpose of unlawful means conspiracy is a breach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(Amended Claim at para. 55). The plaintiff relies on a line of cases from Ontario, of which the decision in </w:t>
      </w:r>
      <w:r>
        <w:rPr>
          <w:rFonts w:ascii="arial" w:eastAsia="arial" w:hAnsi="arial" w:cs="arial"/>
          <w:i/>
          <w:color w:val="000000"/>
          <w:sz w:val="20"/>
          <w:lang w:val="en-US" w:eastAsia="en-US" w:bidi="ar-SA"/>
        </w:rPr>
        <w:t>Cannon</w:t>
      </w:r>
      <w:r>
        <w:rPr>
          <w:rFonts w:ascii="arial" w:eastAsia="arial" w:hAnsi="arial" w:cs="arial"/>
          <w:color w:val="000000"/>
          <w:sz w:val="20"/>
          <w:lang w:val="en-US" w:eastAsia="en-US" w:bidi="ar-SA"/>
        </w:rPr>
        <w:t xml:space="preserve"> is largely representative (at paras. 216-218):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[216] This is a case in which several causes of action are asserted against five sets of defendants. The allegations of conspiracy in the pleading are general and it is impossible to speculate what constellation of facts or combination of facts may ultimately be proven at trial and what underlying causes of action may ultimately be established against which defendants. It is possible, for example, that the unlawful conduct of the defendants might be sufficient to support the underlying cause of action, such as misrepresentation, fraud, or breach of the </w:t>
      </w:r>
      <w:r>
        <w:rPr>
          <w:rFonts w:ascii="arial" w:eastAsia="arial" w:hAnsi="arial" w:cs="arial"/>
          <w:i/>
          <w:color w:val="000000"/>
          <w:sz w:val="20"/>
          <w:lang w:val="en-US" w:eastAsia="en-US" w:bidi="ar-SA"/>
        </w:rPr>
        <w:t>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2002</w:t>
      </w:r>
      <w:r>
        <w:rPr>
          <w:rFonts w:ascii="arial" w:eastAsia="arial" w:hAnsi="arial" w:cs="arial"/>
          <w:color w:val="000000"/>
          <w:sz w:val="20"/>
          <w:lang w:val="en-US" w:eastAsia="en-US" w:bidi="ar-SA"/>
        </w:rPr>
        <w:t>, but that the cause of action itself might fail for any number of reasons, leaving the cause of action for conspiracy still standing.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[217] I am unable to say that it is plain and obvious that if none of the several causes of action succeeds, the conspiracy claim could not succeed, or, that if one of those claims does succeed, the conspiracy claim would add nothing.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[218] I prefer, therefore, in this complex and multi-party action, to adopt the course suggested by Wilson J. in </w:t>
      </w:r>
      <w:r>
        <w:rPr>
          <w:rFonts w:ascii="arial" w:eastAsia="arial" w:hAnsi="arial" w:cs="arial"/>
          <w:i/>
          <w:color w:val="000000"/>
          <w:sz w:val="20"/>
          <w:lang w:val="en-US" w:eastAsia="en-US" w:bidi="ar-SA"/>
        </w:rPr>
        <w:t>Hunt v. Carey</w:t>
      </w:r>
      <w:r>
        <w:rPr>
          <w:rFonts w:ascii="arial" w:eastAsia="arial" w:hAnsi="arial" w:cs="arial"/>
          <w:color w:val="000000"/>
          <w:sz w:val="20"/>
          <w:lang w:val="en-US" w:eastAsia="en-US" w:bidi="ar-SA"/>
        </w:rPr>
        <w:t xml:space="preserve"> and to leave it to the trial judge to determine, after all the evidence is in, whether conspiracy and any of the other causes of action have been made out and, if so, whether the conspiracy claim adds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The plaintiff also relies on </w:t>
      </w:r>
      <w:r>
        <w:rPr>
          <w:rFonts w:ascii="arial" w:eastAsia="arial" w:hAnsi="arial" w:cs="arial"/>
          <w:i/>
          <w:color w:val="000000"/>
          <w:sz w:val="20"/>
          <w:lang w:val="en-US" w:eastAsia="en-US" w:bidi="ar-SA"/>
        </w:rPr>
        <w:t>Fournier v. Mercedes-Benz Canada</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2012 ONSC 2752</w:t>
        </w:r>
      </w:hyperlink>
      <w:r>
        <w:rPr>
          <w:rFonts w:ascii="arial" w:eastAsia="arial" w:hAnsi="arial" w:cs="arial"/>
          <w:color w:val="000000"/>
          <w:sz w:val="20"/>
          <w:lang w:val="en-US" w:eastAsia="en-US" w:bidi="ar-SA"/>
        </w:rPr>
        <w:t xml:space="preserve"> where the Court followed </w:t>
      </w:r>
      <w:r>
        <w:rPr>
          <w:rFonts w:ascii="arial" w:eastAsia="arial" w:hAnsi="arial" w:cs="arial"/>
          <w:i/>
          <w:color w:val="000000"/>
          <w:sz w:val="20"/>
          <w:lang w:val="en-US" w:eastAsia="en-US" w:bidi="ar-SA"/>
        </w:rPr>
        <w:t>Cannon</w:t>
      </w:r>
      <w:r>
        <w:rPr>
          <w:rFonts w:ascii="arial" w:eastAsia="arial" w:hAnsi="arial" w:cs="arial"/>
          <w:color w:val="000000"/>
          <w:sz w:val="20"/>
          <w:lang w:val="en-US" w:eastAsia="en-US" w:bidi="ar-SA"/>
        </w:rPr>
        <w:t xml:space="preserve"> while apparently dismissing </w:t>
      </w:r>
      <w:r>
        <w:rPr>
          <w:rFonts w:ascii="arial" w:eastAsia="arial" w:hAnsi="arial" w:cs="arial"/>
          <w:i/>
          <w:color w:val="000000"/>
          <w:sz w:val="20"/>
          <w:lang w:val="en-US" w:eastAsia="en-US" w:bidi="ar-SA"/>
        </w:rPr>
        <w:t>Tortora</w:t>
      </w:r>
      <w:r>
        <w:rPr>
          <w:rFonts w:ascii="arial" w:eastAsia="arial" w:hAnsi="arial" w:cs="arial"/>
          <w:color w:val="000000"/>
          <w:sz w:val="20"/>
          <w:lang w:val="en-US" w:eastAsia="en-US" w:bidi="ar-SA"/>
        </w:rPr>
        <w:t xml:space="preserve"> (at paras. 86-92).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With respect to these cases, it may be difficult to envision a scenario where the plaintiff's claim under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fails but the unlawful means conspiracy succeeds. As the defendants submit, if there is no breach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there is no unlawful act and hence no unlawful means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Cannon</w:t>
      </w:r>
      <w:r>
        <w:rPr>
          <w:rFonts w:ascii="arial" w:eastAsia="arial" w:hAnsi="arial" w:cs="arial"/>
          <w:color w:val="000000"/>
          <w:sz w:val="20"/>
          <w:lang w:val="en-US" w:eastAsia="en-US" w:bidi="ar-SA"/>
        </w:rPr>
        <w:t xml:space="preserve">, a case with a wider variety of defendants and causes of action, found that such a scenario was possible, but did not provide a single example (at para. 216). The plaintiff has also failed to provide an example of such a scenario and instead merely relies on </w:t>
      </w:r>
      <w:r>
        <w:rPr>
          <w:rFonts w:ascii="arial" w:eastAsia="arial" w:hAnsi="arial" w:cs="arial"/>
          <w:i/>
          <w:color w:val="000000"/>
          <w:sz w:val="20"/>
          <w:lang w:val="en-US" w:eastAsia="en-US" w:bidi="ar-SA"/>
        </w:rPr>
        <w:t>Cannon</w:t>
      </w:r>
      <w:r>
        <w:rPr>
          <w:rFonts w:ascii="arial" w:eastAsia="arial" w:hAnsi="arial" w:cs="arial"/>
          <w:color w:val="000000"/>
          <w:sz w:val="20"/>
          <w:lang w:val="en-US" w:eastAsia="en-US" w:bidi="ar-SA"/>
        </w:rPr>
        <w:t xml:space="preserve"> and similar cases with similarly general language. However, those cases are from Ontario and while informative, this Court is obviously bound to follow </w:t>
      </w:r>
      <w:r>
        <w:rPr>
          <w:rFonts w:ascii="arial" w:eastAsia="arial" w:hAnsi="arial" w:cs="arial"/>
          <w:i/>
          <w:color w:val="000000"/>
          <w:sz w:val="20"/>
          <w:lang w:val="en-US" w:eastAsia="en-US" w:bidi="ar-SA"/>
        </w:rPr>
        <w:t>Tortora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 xml:space="preserve"> before </w:t>
      </w:r>
      <w:r>
        <w:rPr>
          <w:rFonts w:ascii="arial" w:eastAsia="arial" w:hAnsi="arial" w:cs="arial"/>
          <w:i/>
          <w:color w:val="000000"/>
          <w:sz w:val="20"/>
          <w:lang w:val="en-US" w:eastAsia="en-US" w:bidi="ar-SA"/>
        </w:rPr>
        <w:t>Cannon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Fournier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Merging the claims in this case would, however, appear to contradict the result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where the two aspects of civil conspiracy were successfully pled together despite the submission that the alleged unlawful means (a breach of s. 36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was clearly and obviously deficient. It is not clear that merger was argued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it was not addressed in the judgment. The Court simply concluded (at para. 83):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83 [The causes of action in unlawful means conspiracy and unlawful interference with economic interests] must be dealt with summarily as the proper approach to the unlawful means requirement common to both torts is presently under reserve in this Court in </w:t>
      </w:r>
      <w:r>
        <w:rPr>
          <w:rFonts w:ascii="arial" w:eastAsia="arial" w:hAnsi="arial" w:cs="arial"/>
          <w:i/>
          <w:color w:val="000000"/>
          <w:sz w:val="20"/>
          <w:lang w:val="en-US" w:eastAsia="en-US" w:bidi="ar-SA"/>
        </w:rPr>
        <w:t>Bram Enterprises Ltd. v. A.I. Enterprises Ltd.</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2012 NBCA 33</w:t>
        </w:r>
      </w:hyperlink>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387 N.B.R. (2d) 215</w:t>
        </w:r>
      </w:hyperlink>
      <w:r>
        <w:rPr>
          <w:rFonts w:ascii="arial" w:eastAsia="arial" w:hAnsi="arial" w:cs="arial"/>
          <w:color w:val="000000"/>
          <w:sz w:val="20"/>
          <w:lang w:val="en-US" w:eastAsia="en-US" w:bidi="ar-SA"/>
        </w:rPr>
        <w:t xml:space="preserve">, leave to appeal granted, </w:t>
      </w:r>
      <w:hyperlink r:id="rId126" w:history="1">
        <w:r>
          <w:rPr>
            <w:rFonts w:ascii="arial" w:eastAsia="arial" w:hAnsi="arial" w:cs="arial"/>
            <w:i/>
            <w:color w:val="0077CC"/>
            <w:sz w:val="20"/>
            <w:u w:val="single"/>
            <w:shd w:val="clear" w:color="auto" w:fill="FFFFFF"/>
            <w:lang w:val="en-US" w:eastAsia="en-US" w:bidi="ar-SA"/>
          </w:rPr>
          <w:t>[2012] S.C.C.A. 263</w:t>
        </w:r>
      </w:hyperlink>
      <w:r>
        <w:rPr>
          <w:rFonts w:ascii="arial" w:eastAsia="arial" w:hAnsi="arial" w:cs="arial"/>
          <w:color w:val="000000"/>
          <w:sz w:val="20"/>
          <w:lang w:val="en-US" w:eastAsia="en-US" w:bidi="ar-SA"/>
        </w:rPr>
        <w:t xml:space="preserve">, Suffice it to say that at this point it is not plain and obvious that there is no cause of action in unlawful means conspiracy or in intentional interference with economic interests. I would therefore not strike these claims. Depending on the decision of this Court in </w:t>
      </w:r>
      <w:r>
        <w:rPr>
          <w:rFonts w:ascii="arial" w:eastAsia="arial" w:hAnsi="arial" w:cs="arial"/>
          <w:i/>
          <w:color w:val="000000"/>
          <w:sz w:val="20"/>
          <w:lang w:val="en-US" w:eastAsia="en-US" w:bidi="ar-SA"/>
        </w:rPr>
        <w:t>Bram</w:t>
      </w:r>
      <w:r>
        <w:rPr>
          <w:rFonts w:ascii="arial" w:eastAsia="arial" w:hAnsi="arial" w:cs="arial"/>
          <w:color w:val="000000"/>
          <w:sz w:val="20"/>
          <w:lang w:val="en-US" w:eastAsia="en-US" w:bidi="ar-SA"/>
        </w:rPr>
        <w:t>, it will be open to Microsoft to raise the matter in the BCSC should it consider it advisable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I do not read the Court's decision in </w:t>
      </w:r>
      <w:r>
        <w:rPr>
          <w:rFonts w:ascii="arial" w:eastAsia="arial" w:hAnsi="arial" w:cs="arial"/>
          <w:i/>
          <w:color w:val="000000"/>
          <w:sz w:val="20"/>
          <w:lang w:val="en-US" w:eastAsia="en-US" w:bidi="ar-SA"/>
        </w:rPr>
        <w:t>Bram Enterprises Ltd.</w:t>
      </w:r>
      <w:r>
        <w:rPr>
          <w:rFonts w:ascii="arial" w:eastAsia="arial" w:hAnsi="arial" w:cs="arial"/>
          <w:color w:val="000000"/>
          <w:sz w:val="20"/>
          <w:lang w:val="en-US" w:eastAsia="en-US" w:bidi="ar-SA"/>
        </w:rPr>
        <w:t xml:space="preserve"> as resolving the merger argument in the cause of action in unlawful means conspiracy. As a result, I prefer to follow the approach of the Court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and not merge the unlawful means conspiracy claim at this stage of the proceedings. While </w:t>
      </w:r>
      <w:r>
        <w:rPr>
          <w:rFonts w:ascii="arial" w:eastAsia="arial" w:hAnsi="arial" w:cs="arial"/>
          <w:i/>
          <w:color w:val="000000"/>
          <w:sz w:val="20"/>
          <w:lang w:val="en-US" w:eastAsia="en-US" w:bidi="ar-SA"/>
        </w:rPr>
        <w:t>Tortora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 xml:space="preserve"> are binding on this Court, unlike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they do not deal with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as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does. As a result, it is not now plain and obvious that the plaintiff's claim in unlawful means conspiracy will merge.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882"/>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6.</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The Defendants' Genuine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 </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Controversy Arguments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Before I leave the s. 4(1)(a) requirement, I must comment on the defendants' suggestion that some "genuine controversy" must be demonstrated by the plaintiff, even in meeting the cause of action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I agree with the plaintiff that this is the effect of the defendants' submissions. This is demonstrated in a number of areas of the defendants' written submissions but I note in particular, and by way of example, para. 170 of the Defendants' Joint Submissions where the defendants complain of the plaintiff's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claims:</w:t>
      </w:r>
      <w:r>
        <w:rPr>
          <w:rFonts w:ascii="arial" w:eastAsia="arial" w:hAnsi="arial" w:cs="arial"/>
          <w:sz w:val="20"/>
          <w:lang w:val="en-US" w:eastAsia="en-US" w:bidi="ar-SA"/>
        </w:rPr>
        <w:cr/>
      </w:r>
    </w:p>
    <w:p>
      <w:pPr>
        <w:numPr>
          <w:numId w:val="7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Moreover, no basis in fact is provided by the evidence to show this to be more than a bald and speculative assertion. Indeed, the reason it can only be formulaically recited is that it is without substance. The uncontroverted evidence concerning the operation of the networks throughout the period that the new section 45 has been in force is that there are no relevant agreements between competitors at all. There is simply no basis in fact for the plaintiff's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The "some basis in fact" threshold is one that is relevant in the consideration of the remaining requirements set out in s. 4(1)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I agree with the plaintiff that the defendants are effectively importing it into the cause of action requirement where it is well established I am to take the pleadings as written.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To the extent that the defendants say that the plaintiff must show, in their phrase, some "genuine controversy", in respect of the other s. 4(1) requirements, I say first, that I do not adopt that phrase or notion as a proper characterization of the threshold plaintiffs must meet under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I prefer the established language in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of "some basis in fact" and the description of the plaintiff's burden reiterated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(at paras. 102-105):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102 I cannot agree with Microsoft's submissions on this issue. Had McLachlin C.J. intended that the standard of proof to meet the certification requirements was a "balance of probabilities", that is what she would have stated. There is nothing obscure here. The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standard has never been judicially interpreted to require evidence on a balance of probabilities. Further, Microsoft's reliance on U.S. law is novel and departs from the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standard. The "some basis in fact" standard does not require that the court resolve conflicting facts and evidence at the certification stage. Rather, it reflects the fact that at the certification stage "the court is ill-equipped to resolve conflicts in the evidence or to engage in the finely calibrated assessments of evidentiary weight" (</w:t>
      </w:r>
      <w:r>
        <w:rPr>
          <w:rFonts w:ascii="arial" w:eastAsia="arial" w:hAnsi="arial" w:cs="arial"/>
          <w:i/>
          <w:color w:val="000000"/>
          <w:sz w:val="20"/>
          <w:lang w:val="en-US" w:eastAsia="en-US" w:bidi="ar-SA"/>
        </w:rPr>
        <w:t>Cloud</w:t>
      </w:r>
      <w:r>
        <w:rPr>
          <w:rFonts w:ascii="arial" w:eastAsia="arial" w:hAnsi="arial" w:cs="arial"/>
          <w:color w:val="000000"/>
          <w:sz w:val="20"/>
          <w:lang w:val="en-US" w:eastAsia="en-US" w:bidi="ar-SA"/>
        </w:rPr>
        <w:t xml:space="preserve">, at para. 50; </w:t>
      </w:r>
      <w:r>
        <w:rPr>
          <w:rFonts w:ascii="arial" w:eastAsia="arial" w:hAnsi="arial" w:cs="arial"/>
          <w:i/>
          <w:color w:val="000000"/>
          <w:sz w:val="20"/>
          <w:lang w:val="en-US" w:eastAsia="en-US" w:bidi="ar-SA"/>
        </w:rPr>
        <w:t>Irving Paper Ltd. v. Atofina Chemicals Inc.</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(2009), 99 O.R. (3d) 358</w:t>
        </w:r>
      </w:hyperlink>
      <w:r>
        <w:rPr>
          <w:rFonts w:ascii="arial" w:eastAsia="arial" w:hAnsi="arial" w:cs="arial"/>
          <w:color w:val="000000"/>
          <w:sz w:val="20"/>
          <w:lang w:val="en-US" w:eastAsia="en-US" w:bidi="ar-SA"/>
        </w:rPr>
        <w:t xml:space="preserve"> (S.C.J.), at para. 119, citing </w:t>
      </w:r>
      <w:r>
        <w:rPr>
          <w:rFonts w:ascii="arial" w:eastAsia="arial" w:hAnsi="arial" w:cs="arial"/>
          <w:i/>
          <w:color w:val="000000"/>
          <w:sz w:val="20"/>
          <w:lang w:val="en-US" w:eastAsia="en-US" w:bidi="ar-SA"/>
        </w:rPr>
        <w:t>Hague v. Liberty Mutual Insurance Co.</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(2004), 13 C.P.C. (6th) 1</w:t>
        </w:r>
      </w:hyperlink>
      <w:r>
        <w:rPr>
          <w:rFonts w:ascii="arial" w:eastAsia="arial" w:hAnsi="arial" w:cs="arial"/>
          <w:color w:val="000000"/>
          <w:sz w:val="20"/>
          <w:lang w:val="en-US" w:eastAsia="en-US" w:bidi="ar-SA"/>
        </w:rPr>
        <w:t xml:space="preserve"> (Ont. S.C.J.)). The certification stage does not involve an assessment of the merits of the claim and is not intended to be a pronouncement on the viability or strength of the action; "rather, [it] focuses on the form of the action in order to determine whether the action can appropriately go forward as a class proceeding" (</w:t>
      </w:r>
      <w:r>
        <w:rPr>
          <w:rFonts w:ascii="arial" w:eastAsia="arial" w:hAnsi="arial" w:cs="arial"/>
          <w:i/>
          <w:color w:val="000000"/>
          <w:sz w:val="20"/>
          <w:lang w:val="en-US" w:eastAsia="en-US" w:bidi="ar-SA"/>
        </w:rPr>
        <w:t>Infineon</w:t>
      </w:r>
      <w:r>
        <w:rPr>
          <w:rFonts w:ascii="arial" w:eastAsia="arial" w:hAnsi="arial" w:cs="arial"/>
          <w:color w:val="000000"/>
          <w:sz w:val="20"/>
          <w:lang w:val="en-US" w:eastAsia="en-US" w:bidi="ar-SA"/>
        </w:rPr>
        <w:t>, at para. 65).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103 Nevertheless, it has been well over a decade since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was decided, and it is worth reaffirming the importance of certification as a meaningful screening device. The standard for assessing evidence at certification does not give rise to "a determination of the merits of the proceeding"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s. 5(7)); nor does it involve such a superficial level of analysis into the sufficiency of the evidence that it would amount to nothing more than symbolic scrutiny.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104 In any event, in my respectful opinion, there is limited utility in attempting to define "some basis in fact" in the abstract. Each case must be decided on its own facts. There must be sufficient facts to satisfy the applications judge that the conditions for certification have been met to a degree that should allow the matter to proceed on a class basis without foundering at the merits stage by reason of the requirements of s. 4(1)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not having been met.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105 Finally, I would note that Canadian courts have resisted the U.S. approach of engaging in a robust analysis of the merits at the certification stage. Consequently, the outcome of a certification application will not be predictive of the success of the action at the trial of the common issues. I think it important to emphasize that the Canadian approach at the certification stage does not allow for an extensive assessment of the complexities and challenges that a plaintiff may face in establishing its case at trial. After an action has been certified, additional information may come to light calling into question whether the requirements of s. 4(1) continue to be met. It is for this reason that enshrined in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is the power of the court to decertify the action if at any time it is found that the conditions for certification are no longer met (s.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Second, even if the threshold could be characterized as requiring a plaintiff to demonstrate a "genuine controversy" I say, respectfully, that for all of the defendants high dudgeon at the plaintiff's allegations, in light of the Competition Tribunal proceedings and subsequent federal government interest, the U.S. class action litigation, the Australian experience and the European Union proceedings, there certainly can be said to be a genuine controversy engaging the alleged anti-competitiveness of the Network Rules and the setting and collection of Default Interchange Fees in the international credit card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controversy is not simply an international one involving other Visa and MasterCard networks, it very much extends to Canada, as the Competition Tribunal proceedings indicate, and it includes the Retail Council of Canada ("RCC") which advances the interests of retailers in Canada. Diane J. Brisbois, the Chief Executive Officer of the RCC, has filed an affidavit on this application. The RCC represents approximately 45,000 retail establishments across Canada from big box stores to independent retailers. The RCC has a history of representing merchants concerned with increasing credit card fees and in that role appeared before the Senate Banking Committee in 2009. The Senate's study of the credit card industry in Canada led to its report "Transparency, Balance and Choice: Canada's Credit Card and Debit Card Systems". That report recommended that the federal government take action to permit surcharging by merchants and prohibit the enforcement of the Honour All Cards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RCC was also involved in making submissions which led to the Department of Finance's voluntary "Code of Conduct for the Credit and Debit Card Industry in Canada", which came into effect in August 2010. Ms. Brisbois has reviewed the pleadings in this matter, including the Amended Claim, and she has deposed (at para. 17):</w:t>
      </w:r>
      <w:r>
        <w:rPr>
          <w:rFonts w:ascii="arial" w:eastAsia="arial" w:hAnsi="arial" w:cs="arial"/>
          <w:sz w:val="20"/>
          <w:lang w:val="en-US" w:eastAsia="en-US" w:bidi="ar-SA"/>
        </w:rPr>
        <w:cr/>
      </w:r>
    </w:p>
    <w:p>
      <w:pPr>
        <w:numPr>
          <w:numId w:val="7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RCC supports the certification of this action as a class proceeding for the benefit of all retailers as the most effective, if not only, means to resolve the financial claims of the retailers who are members of the Class. The injunctive relief sought with respect to the Merchant Restraints would also be of value to the merchants represented by the RCC.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Finally, surely the length and complexity of these certification proceedings is suggestive of a "genuine controversy" between the parties. Indeed, one might suggest, not cynically, that the strength of the genuiness of the controversy joined by a plaintiff rises in direct proportion to the length of the defendants' submissions in these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Section 4(1)(b)</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The Certification Application defines the "Visa Class"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British Columbia resident persons who, during some or all of the period commencing March 28, 2001 and continuing through to the present (the "Class Period"), accepted payments for the supply of goods or services by way of Visa credit cards pursuant to the terms of merchant agreements,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There is an identical definition of the "MasterCard Class" with the exception that they accepted payment by way of MasterCard credit cards instead of Visa credit cards.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This definition identifies two or more persons. The definition references objective criteria and does not rely on the merits of the action. Every member of the class is not named but whether any given person is a member of the class can be readily ascertained.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Notably, in their lengthy submissions opposing certification, this is the only requirement that the defendants do not challenge.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plaintiff has met the requirements of s. 4(1)(b).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Section 4(1)(c)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plaintiff proposes 22 common issues which I have attached to these reasons as Appendix A (Notice of Application for Certification, Schedule A). At the outset, issue 6 is not certifiable as it relates solely to the unlawful means conspiracy claim. Similarly, issue 9 is not certifiable as it relates exclusively to the unlawful interference with economic interests claim and issues 13 and 14 are not certifiable as they relate solely to the constructive trust issue. Also, I will not consider issue 16 as it is subsumed within issue 19 and is accordingly redundant.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the Supreme Court of Canada distinguished between issues relating to the scope and existence of the causes of action and issues relating to loss. As the Court noted, issues of the latter variety are inevitably tied to expert evidence in indirect purchaser class actions (at paras. 114-126). Indeed, the defendants here base most of their objections to commonality on criticisms of Dr. Brander's evidence. That evidence is largely confined to loss-related issues. Accordingly, I will deal with the cause of action issues first. I will then turn to the loss-related issues and the issues relating to remedies for any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882"/>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Cause of Action Issues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These appear to include issues 1, 3, 4, 5, and 7. Issues 10, 11 and 12 have cause of action elements but also involve a finding of liability based on restitutionary principles and will be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thrust of the defendants' objections to the certification of these issues is that there is no price, product or agreement that is common to the proposed classes. The defendants point out that merchants interact with the alleged conspiracy by dealing with Acquirers and that merchants only pay Merchant Discount Fees, regardless of how such fees are calculated. The defendants reference substantial affidavit evidence throughout their submissions, and specifically in Appendix D, that demonstrates the market between merchants and Acquirers is diverse and competitive. Acquirers do not provide uniform products and services to merchants, and merchants receiving similar services are not necessarily charged similar Merchant Discount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The plaintiff's reply is simple. Essentially, she says that the only certainties in a merchant's life, in addition to death and taxes, are Default Interchange Fees and the Network Rules. Whatever variability might exist in the many other aspects of their relationships with Acquirers, there is commonality in respect of these issues. In response to the submission that merchants do not pay Default Interchange Fees, the plaintiff says that that overlooks the stark reality that Acquirers recover their costs and interchange is a consuming one which, in turn, makes up the bulk of Merchant Discount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Tribunal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Decision</w:t>
      </w:r>
      <w:r>
        <w:rPr>
          <w:rFonts w:ascii="arial" w:eastAsia="arial" w:hAnsi="arial" w:cs="arial"/>
          <w:color w:val="000000"/>
          <w:sz w:val="20"/>
          <w:lang w:val="en-US" w:eastAsia="en-US" w:bidi="ar-SA"/>
        </w:rPr>
        <w:t xml:space="preserve"> effectively confirmed the defendants' submissions concerning the variability in relationships between merchants and Acquirers (at paras. 20 and 31). The </w:t>
      </w:r>
      <w:r>
        <w:rPr>
          <w:rFonts w:ascii="arial" w:eastAsia="arial" w:hAnsi="arial" w:cs="arial"/>
          <w:i/>
          <w:color w:val="000000"/>
          <w:sz w:val="20"/>
          <w:lang w:val="en-US" w:eastAsia="en-US" w:bidi="ar-SA"/>
        </w:rPr>
        <w:t>Tribunal Decision</w:t>
      </w:r>
      <w:r>
        <w:rPr>
          <w:rFonts w:ascii="arial" w:eastAsia="arial" w:hAnsi="arial" w:cs="arial"/>
          <w:color w:val="000000"/>
          <w:sz w:val="20"/>
          <w:lang w:val="en-US" w:eastAsia="en-US" w:bidi="ar-SA"/>
        </w:rPr>
        <w:t xml:space="preserve"> also recognized that Default Interchange Fees are "rarely, if ever, departed from" and that Interchange Fees are generally passed on from Acquirers to merchants (at paras. 27, 29). I again recognize that these findings are not binding.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However, the record before this Court includes evidence from the defendants themselves which supports the view that Default Interchange Fees are effectively paid by merchants to Acquirers. In his first affidavit, Mr. Weiner deposes at paragraph 76:</w:t>
      </w:r>
      <w:r>
        <w:rPr>
          <w:rFonts w:ascii="arial" w:eastAsia="arial" w:hAnsi="arial" w:cs="arial"/>
          <w:sz w:val="20"/>
          <w:lang w:val="en-US" w:eastAsia="en-US" w:bidi="ar-SA"/>
        </w:rPr>
        <w:cr/>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already described, interchange represents revenue to Issuers and a cost to Acquirers on a typical purchase transaction. As such, to the extent that any merchant in Canada "pays" interchange, it does so indirectly, insofar as Acquirers include such costs in the Merchant Discount Fees they charge their merchant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Acquirers recovering their costs from merchants appears to be a constant fact even in a world of diverse arrangements between Acquirers and merchants. At paragraph 20, Mr. Weiner deposes:</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Visa is not privy to the specific fee arrangements between particular Acquirers and particular merchants, based on my knowledge of the payment card industry, I understand that the acquiring business in Canada is highly competitive and that the charges levied by Acquirers to merchants are highly variable. For example, I understand that certain large Canadian merchants, because of their purchasing power, </w:t>
      </w:r>
      <w:r>
        <w:rPr>
          <w:rFonts w:ascii="arial" w:eastAsia="arial" w:hAnsi="arial" w:cs="arial"/>
          <w:color w:val="000000"/>
          <w:sz w:val="20"/>
          <w:u w:val="single"/>
          <w:lang w:val="en-US" w:eastAsia="en-US" w:bidi="ar-SA"/>
        </w:rPr>
        <w:t>are able to negotiate various charges (generally referred to as Merchant Discount Fees) which are only marginally above their Acquirers' costs</w:t>
      </w:r>
      <w:r>
        <w:rPr>
          <w:rFonts w:ascii="arial" w:eastAsia="arial" w:hAnsi="arial" w:cs="arial"/>
          <w:color w:val="000000"/>
          <w:sz w:val="20"/>
          <w:lang w:val="en-US" w:eastAsia="en-US" w:bidi="ar-SA"/>
        </w:rPr>
        <w:t>. Merchant Discount Fees are discussed below.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xml:space="preserve">  It will be seen that while charges to merchants appear to be "highly variable" the base appears to be "Acquirers' costs", which include Default Interchange Fees. This appears to be so even in the case of Desjardins, which, as I noted, mounted a very thorough response to the certification application on the premise that Desjardins' business practices are very different from those of other Issuers and Acquirers, especially in the setting of Merchant Discount Fees. </w:t>
      </w:r>
      <w:r>
        <w:rPr>
          <w:rFonts w:ascii="arial" w:eastAsia="arial" w:hAnsi="arial" w:cs="arial"/>
          <w:b/>
          <w:color w:val="000000"/>
          <w:sz w:val="20"/>
          <w:lang w:val="en-US" w:eastAsia="en-US" w:bidi="ar-SA"/>
        </w:rPr>
        <w:t>[CONFIDENTIAL]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In this regard, this case is comparable to </w:t>
      </w:r>
      <w:r>
        <w:rPr>
          <w:rFonts w:ascii="arial" w:eastAsia="arial" w:hAnsi="arial" w:cs="arial"/>
          <w:i/>
          <w:color w:val="000000"/>
          <w:sz w:val="20"/>
          <w:lang w:val="en-US" w:eastAsia="en-US" w:bidi="ar-SA"/>
        </w:rPr>
        <w:t>Mackinnon v. National Money Mart Company</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2005 BCSC 271</w:t>
        </w:r>
      </w:hyperlink>
      <w:r>
        <w:rPr>
          <w:rFonts w:ascii="arial" w:eastAsia="arial" w:hAnsi="arial" w:cs="arial"/>
          <w:color w:val="000000"/>
          <w:sz w:val="20"/>
          <w:lang w:val="en-US" w:eastAsia="en-US" w:bidi="ar-SA"/>
        </w:rPr>
        <w:t>. The plaintiff in that case sought certification against effectively the entire pay-day loan industry in a criminal rate of interest case. Notably, certification was eventually granted against a single defendant (</w:t>
      </w:r>
      <w:hyperlink r:id="rId161" w:history="1">
        <w:r>
          <w:rPr>
            <w:rFonts w:ascii="arial" w:eastAsia="arial" w:hAnsi="arial" w:cs="arial"/>
            <w:i/>
            <w:color w:val="0077CC"/>
            <w:sz w:val="20"/>
            <w:u w:val="single"/>
            <w:shd w:val="clear" w:color="auto" w:fill="FFFFFF"/>
            <w:lang w:val="en-US" w:eastAsia="en-US" w:bidi="ar-SA"/>
          </w:rPr>
          <w:t>2007 BCSC 348</w:t>
        </w:r>
      </w:hyperlink>
      <w:r>
        <w:rPr>
          <w:rFonts w:ascii="arial" w:eastAsia="arial" w:hAnsi="arial" w:cs="arial"/>
          <w:color w:val="000000"/>
          <w:sz w:val="20"/>
          <w:lang w:val="en-US" w:eastAsia="en-US" w:bidi="ar-SA"/>
        </w:rPr>
        <w:t>). However, on the first application, the plaintiff failed to meet the commonality requirement due to the variety in the defendants' business practices, with the Court finding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The uninitiated may think that payday loan companies operate in a similar fashion and have similar loan agreements. In fact, the ways in which the various defendants conduct their businesses and the documents they use differ widely. Some of the defendants charge for credit searches. Some deliver a cheque and charge a delivery fee. In some cases, a loan is brokered by one company, and a fee charged for brokerage, but a related company makes the loan and charges interest on the loan. Many of the defendants have changed their manner of conducting business and their loan agreements in the time frame contemplated by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further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Money Mart submits that, from its review of the materials filed on this application, over 20 different business models existed, more than 60 different forms were regularly used and over 50 different fees were charged, some payable to third parties. It was not unusual to negotiate individual arrangements with a borrower...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concluding, in part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While each claimant will require that each of the questions is answered, the answer to each for one claimant will not answer the questions for the next claimant, or for the same claimant against a different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Ultimately, any inquiry into Merchant Discount Fees in the aggregate would likely run into similar problems. If the plaintiff had merely alleged that Merchant Discount Fees were fixed, I might well conclude that the proposed issues were not common and refuse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However, the plaintiff's real case is not about Merchant Discount Fees in the aggregate, but about Interchange Fees, the largest component of Merchant Discount Fees, and the Network Rules. In contrast to Merchant Discount Fees in the aggregate, there is some basis in fact underlying the claim that the alleged conspiracy regarding Interchange Fees, and the Network Rules, is a common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xml:space="preserve">  Although not determinative of the commonality issue, in my view it is telling that for all of the defendants' complaints that the issues joined by the plaintiff are hopelessly bound up in the need for individual inquiries, the Competition Tribunal in the proceedings leading to the </w:t>
      </w:r>
      <w:r>
        <w:rPr>
          <w:rFonts w:ascii="arial" w:eastAsia="arial" w:hAnsi="arial" w:cs="arial"/>
          <w:i/>
          <w:color w:val="000000"/>
          <w:sz w:val="20"/>
          <w:lang w:val="en-US" w:eastAsia="en-US" w:bidi="ar-SA"/>
        </w:rPr>
        <w:t>Tribunal Decision</w:t>
      </w:r>
      <w:r>
        <w:rPr>
          <w:rFonts w:ascii="arial" w:eastAsia="arial" w:hAnsi="arial" w:cs="arial"/>
          <w:color w:val="000000"/>
          <w:sz w:val="20"/>
          <w:lang w:val="en-US" w:eastAsia="en-US" w:bidi="ar-SA"/>
        </w:rPr>
        <w:t xml:space="preserve"> apparently had no trouble considering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issues engaged by the No Surcharge Rule and the Honour All Cards Rule and the No Discrimination Rule in a generic hearing. And the European Commission, in various proceedings, has considered the issue of Interchange Fees, or at least their ilk generally, on an industry-wide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 affidavit evidence tendered by the plaintiff supports the contention that virtually all transactions attract the payment of Default Interchange Fees and that all merchants are affected by the Network Rules as a condition of participation. Proposed Issues 1, 3, 4, 5, and 7 (and to some extent Issues 10, 11, and 12) ask the Court to determine whether Interchange Fees are fixed and whether the Network Rules are illegal. Every class member faces these issues and resolving them advances the potential claim of every class member. Unlike their submissions on the loss-related issues, the defendants do not credibly suggest that the answers to these common questions will differ from class member to class member. I conclude that these issues are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xml:space="preserve">  As a result, Issues 1, 3, 4, 5, and 7 are acceptable for the purposes of certification. However, I would strike any reference to a conspiracy to increase Merchant Discount Fees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from them, and substitute the alleged conspiracy to increase Merchant Discount Fees by increasing Interchange Fees to the extent that it is necessary, for the reasons discussed above. This is not fatal to the plaintiff's certification application. As I concluded at the outset, the plaintiff's claim is not bound to fail because there might not be a true resale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882"/>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Loss-Related Issues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These are Issues 2, 8, 15, 17, 19, and 20. The commonality of these issues hinges on the evidence of the plaintiff's expert Dr. Brander, and defendants' experts, Dr. Ware and Dr. LaCasse.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discussed the requirements for expert economic evidence in indirect purchaser cases (at paras 114-115):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[114] One area in which difficulty is encountered in indirect purchaser actions is in assessing the commonality of the harm or loss-related issues. In order to determine if the loss-related issues meet the "some basis in fact" standard, some assurance is required that the questions are capable of resolution on a common basis. In indirect purchaser actions, plaintiffs generally seek to satisfy this requirement through the use of expert evidence in the form of economic models and methodologies.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[115] The role of the expert methodology is to establish that the overcharge was passed on to the indirect purchasers, making the issue common to the class as a whole (see </w:t>
      </w:r>
      <w:r>
        <w:rPr>
          <w:rFonts w:ascii="arial" w:eastAsia="arial" w:hAnsi="arial" w:cs="arial"/>
          <w:i/>
          <w:color w:val="000000"/>
          <w:sz w:val="20"/>
          <w:lang w:val="en-US" w:eastAsia="en-US" w:bidi="ar-SA"/>
        </w:rPr>
        <w:t>Chadha</w:t>
      </w:r>
      <w:r>
        <w:rPr>
          <w:rFonts w:ascii="arial" w:eastAsia="arial" w:hAnsi="arial" w:cs="arial"/>
          <w:color w:val="000000"/>
          <w:sz w:val="20"/>
          <w:lang w:val="en-US" w:eastAsia="en-US" w:bidi="ar-SA"/>
        </w:rPr>
        <w:t xml:space="preserve">, at para. 31). The requirement at the certification stage is not that the methodology quantify the damages in question; rather, the critical element that the methodology must establish is the ability to prove "common impact", as described in the U.S. antitrust case of </w:t>
      </w:r>
      <w:r>
        <w:rPr>
          <w:rFonts w:ascii="arial" w:eastAsia="arial" w:hAnsi="arial" w:cs="arial"/>
          <w:i/>
          <w:color w:val="000000"/>
          <w:sz w:val="20"/>
          <w:lang w:val="en-US" w:eastAsia="en-US" w:bidi="ar-SA"/>
        </w:rPr>
        <w:t>In Re: Linerboard Antitrust Litigation</w:t>
      </w:r>
      <w:r>
        <w:rPr>
          <w:rFonts w:ascii="arial" w:eastAsia="arial" w:hAnsi="arial" w:cs="arial"/>
          <w:color w:val="000000"/>
          <w:sz w:val="20"/>
          <w:lang w:val="en-US" w:eastAsia="en-US" w:bidi="ar-SA"/>
        </w:rPr>
        <w:t>, 305 F.3d 145 (3rd Cir. 2002). That is, plaintiffs must demonstrate that "sufficient proof [is] available, for use at trial, to prove antitrust impact common to all the members of the class" (</w:t>
      </w:r>
      <w:r>
        <w:rPr>
          <w:rFonts w:ascii="arial" w:eastAsia="arial" w:hAnsi="arial" w:cs="arial"/>
          <w:i/>
          <w:color w:val="000000"/>
          <w:sz w:val="20"/>
          <w:lang w:val="en-US" w:eastAsia="en-US" w:bidi="ar-SA"/>
        </w:rPr>
        <w:t>ibid.</w:t>
      </w:r>
      <w:r>
        <w:rPr>
          <w:rFonts w:ascii="arial" w:eastAsia="arial" w:hAnsi="arial" w:cs="arial"/>
          <w:color w:val="000000"/>
          <w:sz w:val="20"/>
          <w:lang w:val="en-US" w:eastAsia="en-US" w:bidi="ar-SA"/>
        </w:rPr>
        <w:t>, at p. 155). It is not necessary at the certification stage that the methodology establish the actual loss to the class, as long as the plaintiff has demonstrated that there is a methodology capable of doing so. In indirect purchaser actions, this means that the methodology must be able to establish that the overcharges have been passed on to the indirect-purchaser level in the distribution chain.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further (at paras. 118-119):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[118] In my view, the expert methodology must be sufficiently credible or plausible to establish some basis in fact for the commonality requirement. </w:t>
      </w:r>
      <w:r>
        <w:rPr>
          <w:rFonts w:ascii="arial" w:eastAsia="arial" w:hAnsi="arial" w:cs="arial"/>
          <w:color w:val="000000"/>
          <w:sz w:val="20"/>
          <w:u w:val="single"/>
          <w:lang w:val="en-US" w:eastAsia="en-US" w:bidi="ar-SA"/>
        </w:rPr>
        <w:t>This means that the methodology must offer a realistic prospect of establishing loss on a class-wide basis so that, if the overcharge is eventually established at the trial of the common issues, there is a means by which to demonstrate that it is common to the class (i.e. that passing on has occurred).</w:t>
      </w:r>
      <w:r>
        <w:rPr>
          <w:rFonts w:ascii="arial" w:eastAsia="arial" w:hAnsi="arial" w:cs="arial"/>
          <w:color w:val="000000"/>
          <w:sz w:val="20"/>
          <w:lang w:val="en-US" w:eastAsia="en-US" w:bidi="ar-SA"/>
        </w:rPr>
        <w:t xml:space="preserve"> The methodology cannot be purely theoretical or hypothetical, but must be grounded in the facts of the particular case in question. There must be some evidence of the availability of the data to which the methodology is to be applied.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[119] To hold the methodology to the robust or rigorous standard suggested by Microsoft, for instance to require the plaintiff to demonstrate actual harm, would be inappropriate at the certification stage...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xml:space="preserve">  However,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did not involve a two-sided market. Indeed, so far as I and the parties are aware, there is no Canadian jurisprudence dealing with two-sided markets. As I will discuss below, such markets are characterized in part by so-called network effects, also known as feedback effects, which significantly complicates the measurement of any net harm to the merchants by collusion in the setting of Default Interchange Fees; which, in turn, complicates the calculation of what the plaintiff characterizes as the "Visa Overcharge and MasterCard Overcharge", the excess between what merchants pay for credit card network services and what they would pay in the absence of the alleged illegal collusive conduct - the so-called "But For" world. As a result of this complication, it is necessary to provide some background on two-sided markets and network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Though the market for credit cards is quite complex, two-sided markets, also known as two-sided networks, are relatively common. As Dr. Ware describes in paragraph 14 of his first affidavit:</w:t>
      </w:r>
      <w:r>
        <w:rPr>
          <w:rFonts w:ascii="arial" w:eastAsia="arial" w:hAnsi="arial" w:cs="arial"/>
          <w:sz w:val="20"/>
          <w:lang w:val="en-US" w:eastAsia="en-US" w:bidi="ar-SA"/>
        </w:rPr>
        <w:cr/>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simpler example of a two-sided market is an advertising print publication, such as </w:t>
      </w:r>
      <w:r>
        <w:rPr>
          <w:rFonts w:ascii="arial" w:eastAsia="arial" w:hAnsi="arial" w:cs="arial"/>
          <w:i/>
          <w:color w:val="000000"/>
          <w:sz w:val="20"/>
          <w:lang w:val="en-US" w:eastAsia="en-US" w:bidi="ar-SA"/>
        </w:rPr>
        <w:t>AutoTrader</w:t>
      </w:r>
      <w:r>
        <w:rPr>
          <w:rFonts w:ascii="arial" w:eastAsia="arial" w:hAnsi="arial" w:cs="arial"/>
          <w:color w:val="000000"/>
          <w:sz w:val="20"/>
          <w:lang w:val="en-US" w:eastAsia="en-US" w:bidi="ar-SA"/>
        </w:rPr>
        <w:t xml:space="preserve"> (or any magazine that is predominantly populated by attractive advertisements). The magazine is sold to consumers at newsstands and stores at a certain purchase price. In addition, advertisers pay the publisher according to the size and prominence of the space used for their advertisement. The value of the publication to the customer increases, in part, with the number and quality of advertisements that are published, and the value to each advertiser increases with the number of customers who purchase the magazine. The publisher sets the newsstand price and the advertising rates so as to balance the net benefits received by the two sides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advertisers and magazine purchasers) and to ensure that both the number of magazines sold and the number of advertisements placed in each magazine are maximized. To achieve this goal, the two sides of the market must be carefully balanced.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Newspapers are another example commonly used to explain two-sided markets, even though the consumer's focus is usually the articles, not the advertisements.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As Dr. Ware describes, the supplier of a product to a two-sided market generally works to maximize the total profits received from both sides of the market. This can lead to drastically different prices charged to parties on different sides of the market. For example, some newspapers are given away for free to consumers, presumably because it is economically optimal for the publisher to distribute the newspaper to as many people as possible and thereby maximize advertising revenue while foregoing revenue from consumers. In some cases, one side of the market may even subsidize the participation of the other side of the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Network effects are a defining feature of two-sided markets. Typically, those on at least one side of the market benefit from the participation of those on the other side of the market. For example, newspaper advertisers benefit when more consumers read the newspaper; each additional consumer makes each advertisement more valuable. As a result of these network effects any change to one side of a two-sided market can have a significant impact on what happens to the other side of the market, and that impact can in turn have consequences for the side of the market that originally experienced the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Visa and MasterCard operate in complex two-sided markets. As Dr. Brander describes, Visa and MasterCard are essentially selling a platform that brings together a network of merchants and Acquirers (one side of the market) and a network of cardholders and Issuers (the other side of the market) thereby making it possible for them to interact more easily. As Dr. Ware describes (first affidavit at para. 18):</w:t>
      </w:r>
      <w:r>
        <w:rPr>
          <w:rFonts w:ascii="arial" w:eastAsia="arial" w:hAnsi="arial" w:cs="arial"/>
          <w:sz w:val="20"/>
          <w:lang w:val="en-US" w:eastAsia="en-US" w:bidi="ar-SA"/>
        </w:rPr>
        <w:cr/>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merchant's store becomes more attractive to a customer the more likely it is to accept a card that the customer possesses, and thus the customer is more likely to enter the store and potentially make a purchase. For a given merchant, the more customers that carry cards accepted at the merchant's store, the more likely the merchant is to make any particular sale, and the greater is the volume of sales that the merchant can expect in general. For a particular customer holding a credit card, the more merchants that accept the customer's card, the more attractive that card is to the customer. Any given card is more valuable to a cardholder the more merchants that accept it, and, similarly, the card is more valuable to a merchant the more customers that carry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Ultimately, a credit card network needs a critical mass of both merchants and cardholders in order to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The Visa and MasterCard networks use Interchange Fees to promote network effects. Interchange transfers funds from one side of the market to the other. Interchange Fees flow from merchants to Acquirers to Issuers. Issuers then use Interchange Fees to cover the cost of providing credit cards, including the collection costs and the costs of covering losses associated with fraud. Issuers also use Interchange Fees to subsidize cardholder rewards programs. As a result, the ultimate effect of Interchange Fees is that one side of the market (the merchants and Acquirers) subsidizes the other side of the market (the Issuers and consumers). This occurs, according to Dr. Ware, to balance the benefits received by both sides of the market in order to maximize the total volume and value of transactions, which is in the best interests of Visa and MasterCard, if not all of the network participants.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As a result, Interchange is not analogous to the price in a one-sided market for the purposes of a case alleging a price-fixing conspiracy. In a typical price-fixing case, where a one-sided market exists, a price increase is inherently harmful to consumers as the product or service they receive in return for that price remains unchanged. That rule does not apply directly to two-sided markets. It is conceivable that an increase in the rate of a two-sided market subsidy, like Interchange, could actually benefit both sides of the market through network effects. For example, it may be that an increase in cardholder rewards programs, funded by Interchange Fees, causes more consumers to acquire a credit card and thereby causes those consumers to make purchases from merchants they might not otherwise have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xml:space="preserve">  While it would be wholly premature to reach a finding on the economically optimal level of interchange at this certification hearing, it is entirely plausible, if not probable, that it is greater than zero and that merchants might benefit from a certain level of interchange. Indeed, in contrast to the Network Rules, the plaintiff does not allege that Interchange Fees are anti-competitive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Further, even if a merchant would be better off by paying a lower level of Interchange in the But For world, they could very well be better off by less than the value of any overcharge as the overcharge might also have improved the market as a whole and increased their profits by some partially off-setting amount. Dr. Ware gives the example of some consumers switching from Visa and MasterCard to American Express in response to a decrease in Interchange Fees and a corresponding decrease in cardholder rewards programs offered by the defendants in this case. Dr. Ware notes that Visa and MasterCard's competitors have increased their market share by 5-6% in Australia since the 2003 regulation of Visa and MasterCard's interchange rates. Since American Express generally has higher Merchant Discount Fees than Visa and MasterCard, merchants might actually lose revenue from those cardholders that chose to switch to American Express, even if their revenue from Visa and MasterCard cardholders, and thus their total profit, increases. Ultimately, even if merchants have suffered harm as a result of any overcharge, quantifying that harm is considerably more difficult in a two-sided market than in a traditional price-fixing case featuring a one-sided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xml:space="preserve">  Thus, from an economic point of view, Dr. Ware and the defendants are correct to assert that network effects must be taken into account when analyzing the But For world. I will subsequently comment on the legal implications of this conclusion. However, I will first determine whether the plaintiff has met the standard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from this purely economic perspective.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So the question is this: with the presumption that such an overcharge exists in each network, do the methodologies proposed by Dr. Brander offer a realistic prospect of measuring that "overcharge" or, more importantly, any resulting "loss" or "harm" on a class-wide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has been joined by another recent Supreme Court of Canada decision in class action jurisprudence: </w:t>
      </w:r>
      <w:r>
        <w:rPr>
          <w:rFonts w:ascii="arial" w:eastAsia="arial" w:hAnsi="arial" w:cs="arial"/>
          <w:i/>
          <w:color w:val="000000"/>
          <w:sz w:val="20"/>
          <w:lang w:val="en-US" w:eastAsia="en-US" w:bidi="ar-SA"/>
        </w:rPr>
        <w:t>AIC Limited v. Fischer</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2013 SCC 69</w:t>
        </w:r>
      </w:hyperlink>
      <w:r>
        <w:rPr>
          <w:rFonts w:ascii="arial" w:eastAsia="arial" w:hAnsi="arial" w:cs="arial"/>
          <w:color w:val="000000"/>
          <w:sz w:val="20"/>
          <w:lang w:val="en-US" w:eastAsia="en-US" w:bidi="ar-SA"/>
        </w:rPr>
        <w:t xml:space="preserve">. Counsel put that decision before the Court without comment after the close of argument on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It is highly relevant to the preferability analysis under s. 4(1)(d) and s. 4(2)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But Justice Cromwell's reiteration of the principles describing the plaintiff's evidentiary burden on the certification application is helpful here. I reproduce these observations (at paras. 40, 42 and 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This Court recently reaffirmed these principles </w:t>
      </w:r>
      <w:r>
        <w:rPr>
          <w:rFonts w:ascii="arial" w:eastAsia="arial" w:hAnsi="arial" w:cs="arial"/>
          <w:i/>
          <w:color w:val="000000"/>
          <w:sz w:val="20"/>
          <w:lang w:val="en-US" w:eastAsia="en-US" w:bidi="ar-SA"/>
        </w:rPr>
        <w:t>in Pro-Sys Consultants Ltd. v. Microsoft Corporation</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2013 SCC 57</w:t>
        </w:r>
      </w:hyperlink>
      <w:r>
        <w:rPr>
          <w:rFonts w:ascii="arial" w:eastAsia="arial" w:hAnsi="arial" w:cs="arial"/>
          <w:color w:val="000000"/>
          <w:sz w:val="20"/>
          <w:lang w:val="en-US" w:eastAsia="en-US" w:bidi="ar-SA"/>
        </w:rPr>
        <w:t>, in the context of the similar British Columbia class actions regime. In his discussion of the standard of proof with regard to the commonality and preferability requirements (para. 101), Rothstein J. indicated that the "'some basis in fact' standard does not require that the court resolve conflicting facts and evidence at the certification stage" (para. 102). This reflects the fact that a certification court "is ill-equipped to resolve conflicts in the evidence or to engage in the finely calibrated assessments of evidentiary weight</w:t>
      </w:r>
      <w:r>
        <w:rPr>
          <w:rFonts w:ascii="arial" w:eastAsia="arial" w:hAnsi="arial" w:cs="arial"/>
          <w:i/>
          <w:color w:val="000000"/>
          <w:sz w:val="20"/>
          <w:lang w:val="en-US" w:eastAsia="en-US" w:bidi="ar-SA"/>
        </w:rPr>
        <w:t>": Pro-Sys</w:t>
      </w:r>
      <w:r>
        <w:rPr>
          <w:rFonts w:ascii="arial" w:eastAsia="arial" w:hAnsi="arial" w:cs="arial"/>
          <w:color w:val="000000"/>
          <w:sz w:val="20"/>
          <w:lang w:val="en-US" w:eastAsia="en-US" w:bidi="ar-SA"/>
        </w:rPr>
        <w:t xml:space="preserve">, at para. 102, citing </w:t>
      </w:r>
      <w:r>
        <w:rPr>
          <w:rFonts w:ascii="arial" w:eastAsia="arial" w:hAnsi="arial" w:cs="arial"/>
          <w:i/>
          <w:color w:val="000000"/>
          <w:sz w:val="20"/>
          <w:lang w:val="en-US" w:eastAsia="en-US" w:bidi="ar-SA"/>
        </w:rPr>
        <w:t>Cloud</w:t>
      </w:r>
      <w:r>
        <w:rPr>
          <w:rFonts w:ascii="arial" w:eastAsia="arial" w:hAnsi="arial" w:cs="arial"/>
          <w:color w:val="000000"/>
          <w:sz w:val="20"/>
          <w:lang w:val="en-US" w:eastAsia="en-US" w:bidi="ar-SA"/>
        </w:rPr>
        <w:t xml:space="preserve">, at para. 50; </w:t>
      </w:r>
      <w:r>
        <w:rPr>
          <w:rFonts w:ascii="arial" w:eastAsia="arial" w:hAnsi="arial" w:cs="arial"/>
          <w:i/>
          <w:color w:val="000000"/>
          <w:sz w:val="20"/>
          <w:lang w:val="en-US" w:eastAsia="en-US" w:bidi="ar-SA"/>
        </w:rPr>
        <w:t>Irving Paper Ltd. v. Atofina Chemicals Inc</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(2009), 99 O.R. (3d) 358</w:t>
        </w:r>
      </w:hyperlink>
      <w:r>
        <w:rPr>
          <w:rFonts w:ascii="arial" w:eastAsia="arial" w:hAnsi="arial" w:cs="arial"/>
          <w:color w:val="000000"/>
          <w:sz w:val="20"/>
          <w:lang w:val="en-US" w:eastAsia="en-US" w:bidi="ar-SA"/>
        </w:rPr>
        <w:t xml:space="preserve"> (S.C.J.), at para. 119, citing </w:t>
      </w:r>
      <w:r>
        <w:rPr>
          <w:rFonts w:ascii="arial" w:eastAsia="arial" w:hAnsi="arial" w:cs="arial"/>
          <w:i/>
          <w:color w:val="000000"/>
          <w:sz w:val="20"/>
          <w:lang w:val="en-US" w:eastAsia="en-US" w:bidi="ar-SA"/>
        </w:rPr>
        <w:t>Hague v. Liberty Mutual Insurance Co.</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(2004), 13 C.P.C. (6th) 1</w:t>
        </w:r>
      </w:hyperlink>
      <w:r>
        <w:rPr>
          <w:rFonts w:ascii="arial" w:eastAsia="arial" w:hAnsi="arial" w:cs="arial"/>
          <w:color w:val="000000"/>
          <w:sz w:val="20"/>
          <w:lang w:val="en-US" w:eastAsia="en-US" w:bidi="ar-SA"/>
        </w:rPr>
        <w:t xml:space="preserve"> (Ont. S.C.J.). Further, the "some basis in fact" standard cannot be assessed in a vacuum. As Rothstein J. puts it: "... there is limited utility in attempting to define 'some basis in fact' in the abstract. Each case must be decided on its own facts" (para. 104).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The jurisprudence emphasizes the importance of not allowing the requirement to establish "some basis in fact" to lead to a more fulsome assessment of contested facts going to the merits of the case. For example, in </w:t>
      </w:r>
      <w:r>
        <w:rPr>
          <w:rFonts w:ascii="arial" w:eastAsia="arial" w:hAnsi="arial" w:cs="arial"/>
          <w:i/>
          <w:color w:val="000000"/>
          <w:sz w:val="20"/>
          <w:lang w:val="en-US" w:eastAsia="en-US" w:bidi="ar-SA"/>
        </w:rPr>
        <w:t>Cloud</w:t>
      </w:r>
      <w:r>
        <w:rPr>
          <w:rFonts w:ascii="arial" w:eastAsia="arial" w:hAnsi="arial" w:cs="arial"/>
          <w:color w:val="000000"/>
          <w:sz w:val="20"/>
          <w:lang w:val="en-US" w:eastAsia="en-US" w:bidi="ar-SA"/>
        </w:rPr>
        <w:t xml:space="preserve">, the Ontario Court of Appeal indicated that the some basis in fact standard "does not entail any assessment of the merits at the certification stage" (para. 50). Similarly, in </w:t>
      </w:r>
      <w:r>
        <w:rPr>
          <w:rFonts w:ascii="arial" w:eastAsia="arial" w:hAnsi="arial" w:cs="arial"/>
          <w:i/>
          <w:color w:val="000000"/>
          <w:sz w:val="20"/>
          <w:lang w:val="en-US" w:eastAsia="en-US" w:bidi="ar-SA"/>
        </w:rPr>
        <w:t>Pearson</w:t>
      </w:r>
      <w:r>
        <w:rPr>
          <w:rFonts w:ascii="arial" w:eastAsia="arial" w:hAnsi="arial" w:cs="arial"/>
          <w:color w:val="000000"/>
          <w:sz w:val="20"/>
          <w:lang w:val="en-US" w:eastAsia="en-US" w:bidi="ar-SA"/>
        </w:rPr>
        <w:t xml:space="preserve">, the Ontario Court of Appeal, having concluded that the representative plaintiff had adduced evidence to show a negative impact on property values concluded that the "some basis in fact" standard with regard to the commonality of the issues had been met. The court pointed out that while the defendant disputed the plaintiff's evidence, "the certification motion is not the place for resolving that controversy" (para. 76). These evidentiary principles equally apply to the preferability criterion: see e.g. </w:t>
      </w:r>
      <w:r>
        <w:rPr>
          <w:rFonts w:ascii="arial" w:eastAsia="arial" w:hAnsi="arial" w:cs="arial"/>
          <w:i/>
          <w:color w:val="000000"/>
          <w:sz w:val="20"/>
          <w:lang w:val="en-US" w:eastAsia="en-US" w:bidi="ar-SA"/>
        </w:rPr>
        <w:t>1176560 Ontario Ltd. v. Great Atlantic &amp; Pacific Co. of Canada Ltd.</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(2002), 62 O.R. (3d) 535</w:t>
        </w:r>
      </w:hyperlink>
      <w:r>
        <w:rPr>
          <w:rFonts w:ascii="arial" w:eastAsia="arial" w:hAnsi="arial" w:cs="arial"/>
          <w:color w:val="000000"/>
          <w:sz w:val="20"/>
          <w:lang w:val="en-US" w:eastAsia="en-US" w:bidi="ar-SA"/>
        </w:rPr>
        <w:t xml:space="preserve"> (S.C.J.), at para. 27, aff'd </w:t>
      </w:r>
      <w:hyperlink r:id="rId163" w:history="1">
        <w:r>
          <w:rPr>
            <w:rFonts w:ascii="arial" w:eastAsia="arial" w:hAnsi="arial" w:cs="arial"/>
            <w:i/>
            <w:color w:val="0077CC"/>
            <w:sz w:val="20"/>
            <w:u w:val="single"/>
            <w:shd w:val="clear" w:color="auto" w:fill="FFFFFF"/>
            <w:lang w:val="en-US" w:eastAsia="en-US" w:bidi="ar-SA"/>
          </w:rPr>
          <w:t>(2004), 70 O.R. (3d) 182</w:t>
        </w:r>
      </w:hyperlink>
      <w:r>
        <w:rPr>
          <w:rFonts w:ascii="arial" w:eastAsia="arial" w:hAnsi="arial" w:cs="arial"/>
          <w:color w:val="000000"/>
          <w:sz w:val="20"/>
          <w:lang w:val="en-US" w:eastAsia="en-US" w:bidi="ar-SA"/>
        </w:rPr>
        <w:t xml:space="preserve"> (S.C.J. (Div. 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The standard of proof on a motion for certification was at the heart of the appeal in </w:t>
      </w:r>
      <w:r>
        <w:rPr>
          <w:rFonts w:ascii="arial" w:eastAsia="arial" w:hAnsi="arial" w:cs="arial"/>
          <w:i/>
          <w:color w:val="000000"/>
          <w:sz w:val="20"/>
          <w:lang w:val="en-US" w:eastAsia="en-US" w:bidi="ar-SA"/>
        </w:rPr>
        <w:t>Chadha v. Bayer Inc</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(2003), 63 O.R. (3d) 22</w:t>
        </w:r>
      </w:hyperlink>
      <w:r>
        <w:rPr>
          <w:rFonts w:ascii="arial" w:eastAsia="arial" w:hAnsi="arial" w:cs="arial"/>
          <w:color w:val="000000"/>
          <w:sz w:val="20"/>
          <w:lang w:val="en-US" w:eastAsia="en-US" w:bidi="ar-SA"/>
        </w:rPr>
        <w:t xml:space="preserve"> (C.A.), leave to appeal refused, [2003] 2 S.C.R. vi. The decision makes clear that at the certification stage, the court cannot engage in any detailed weighing of the evidence but should confine itself to whether there is some basis in the evidence to support the certification requirements. In </w:t>
      </w:r>
      <w:r>
        <w:rPr>
          <w:rFonts w:ascii="arial" w:eastAsia="arial" w:hAnsi="arial" w:cs="arial"/>
          <w:i/>
          <w:color w:val="000000"/>
          <w:sz w:val="20"/>
          <w:lang w:val="en-US" w:eastAsia="en-US" w:bidi="ar-SA"/>
        </w:rPr>
        <w:t>Chadha</w:t>
      </w:r>
      <w:r>
        <w:rPr>
          <w:rFonts w:ascii="arial" w:eastAsia="arial" w:hAnsi="arial" w:cs="arial"/>
          <w:color w:val="000000"/>
          <w:sz w:val="20"/>
          <w:lang w:val="en-US" w:eastAsia="en-US" w:bidi="ar-SA"/>
        </w:rPr>
        <w:t xml:space="preserve">, the court denied certification on the basis that there was </w:t>
      </w:r>
      <w:r>
        <w:rPr>
          <w:rFonts w:ascii="arial" w:eastAsia="arial" w:hAnsi="arial" w:cs="arial"/>
          <w:i/>
          <w:color w:val="000000"/>
          <w:sz w:val="20"/>
          <w:lang w:val="en-US" w:eastAsia="en-US" w:bidi="ar-SA"/>
        </w:rPr>
        <w:t>no</w:t>
      </w:r>
      <w:r>
        <w:rPr>
          <w:rFonts w:ascii="arial" w:eastAsia="arial" w:hAnsi="arial" w:cs="arial"/>
          <w:color w:val="000000"/>
          <w:sz w:val="20"/>
          <w:lang w:val="en-US" w:eastAsia="en-US" w:bidi="ar-SA"/>
        </w:rPr>
        <w:t xml:space="preserve"> evidence that the loss component of liability could be proved on a class-wide basis (and thus that there was no common issue). It was not necessary to establish that there was a compelling method to prove such loss, but it was necessary to provide some basis in fact to think that there was </w:t>
      </w:r>
      <w:r>
        <w:rPr>
          <w:rFonts w:ascii="arial" w:eastAsia="arial" w:hAnsi="arial" w:cs="arial"/>
          <w:i/>
          <w:color w:val="000000"/>
          <w:sz w:val="20"/>
          <w:lang w:val="en-US" w:eastAsia="en-US" w:bidi="ar-SA"/>
        </w:rPr>
        <w:t>some</w:t>
      </w:r>
      <w:r>
        <w:rPr>
          <w:rFonts w:ascii="arial" w:eastAsia="arial" w:hAnsi="arial" w:cs="arial"/>
          <w:color w:val="000000"/>
          <w:sz w:val="20"/>
          <w:lang w:val="en-US" w:eastAsia="en-US" w:bidi="ar-SA"/>
        </w:rPr>
        <w:t xml:space="preserve"> method to do so. The plaintiffs had failed to provide that basis. This Court reached the opposite conclusion in </w:t>
      </w:r>
      <w:r>
        <w:rPr>
          <w:rFonts w:ascii="arial" w:eastAsia="arial" w:hAnsi="arial" w:cs="arial"/>
          <w:i/>
          <w:color w:val="000000"/>
          <w:sz w:val="20"/>
          <w:lang w:val="en-US" w:eastAsia="en-US" w:bidi="ar-SA"/>
        </w:rPr>
        <w:t>Pro-Sys</w:t>
      </w:r>
      <w:r>
        <w:rPr>
          <w:rFonts w:ascii="arial" w:eastAsia="arial" w:hAnsi="arial" w:cs="arial"/>
          <w:color w:val="000000"/>
          <w:sz w:val="20"/>
          <w:lang w:val="en-US" w:eastAsia="en-US" w:bidi="ar-SA"/>
        </w:rPr>
        <w:t xml:space="preserve"> with regard to the commonality of the issues, because there was "an expert methodology that ha[d] been found to have a realistic prospect of establishing loss on a class-wide basis" (para. 140).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xml:space="preserve">  The defendants have launched a broad attack on Dr. Brander's methodologies based on the evidence of Dr. Ware and Dr. LaCasse. Per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A.I.C. Limited</w:t>
      </w:r>
      <w:r>
        <w:rPr>
          <w:rFonts w:ascii="arial" w:eastAsia="arial" w:hAnsi="arial" w:cs="arial"/>
          <w:color w:val="000000"/>
          <w:sz w:val="20"/>
          <w:lang w:val="en-US" w:eastAsia="en-US" w:bidi="ar-SA"/>
        </w:rPr>
        <w:t>, among many others, resolving the conflicts between these experts is not appropriate at certification. Regardless of the decision on this certification application, it may be that the evidence of Dr. Ware is preferred to the evidence of Dr. Brander in the final analysis. My task is not to declare a definitive winner in any battle of the experts presented by the evidence on this application. The only relevant question now is whether Dr. Brander's methodologies meet the realistic prospect standard; whether the plaintiff has provided some basis in fact to think that there is some method to measure the class members' loss on a class-wide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In his first affidavit, Dr. Brander deposes that economic methods can be used, on a class wide basis, to assess whether the class members paid an overcharge as a result of the alleged conduct and that such methods can quantify the overcharge. Dr. Brander suggests that the mark-up method and the benchmark method could be used to determine the price paid by merchants but-for the alleged overcharge. Dr. Brander describes the mark-up method as follows (at para. 65):</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color w:val="000000"/>
          <w:sz w:val="20"/>
          <w:lang w:val="en-US" w:eastAsia="en-US" w:bidi="ar-SA"/>
        </w:rPr>
        <w:t>mark-up method</w:t>
      </w:r>
      <w:r>
        <w:rPr>
          <w:rFonts w:ascii="arial" w:eastAsia="arial" w:hAnsi="arial" w:cs="arial"/>
          <w:color w:val="000000"/>
          <w:sz w:val="20"/>
          <w:lang w:val="en-US" w:eastAsia="en-US" w:bidi="ar-SA"/>
        </w:rPr>
        <w:t xml:space="preserve"> compares the mark-up of price over operating cost charged by the colluding firms with the mark-up that would be needed to allow the firms to earn a "normal" or competitive rate of return. Specifically we would obtain financial records from the defendants and determine their rate of return from credit card operations. It would then be necessary to obtain information about rates of return in undistorted parts of the financial sector to estimate an appropriate competitive rate of return - the return that should prevail in the absence of collusion. We could then determine the interchange fee and network fee that would be needed to allow the defendants to earn this normal rate of return rather than the supra-normal return that they would have earned from card acceptance fee overcharges.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the benchmark method (at para. 69):</w:t>
      </w:r>
      <w:r>
        <w:rPr>
          <w:rFonts w:ascii="arial" w:eastAsia="arial" w:hAnsi="arial" w:cs="arial"/>
          <w:sz w:val="20"/>
          <w:lang w:val="en-US" w:eastAsia="en-US" w:bidi="ar-SA"/>
        </w:rPr>
        <w:cr/>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color w:val="000000"/>
          <w:sz w:val="20"/>
          <w:lang w:val="en-US" w:eastAsia="en-US" w:bidi="ar-SA"/>
        </w:rPr>
        <w:t>benchmark method</w:t>
      </w:r>
      <w:r>
        <w:rPr>
          <w:rFonts w:ascii="arial" w:eastAsia="arial" w:hAnsi="arial" w:cs="arial"/>
          <w:color w:val="000000"/>
          <w:sz w:val="20"/>
          <w:lang w:val="en-US" w:eastAsia="en-US" w:bidi="ar-SA"/>
        </w:rPr>
        <w:t xml:space="preserve"> is based on comparing collusive prices with prices in a comparable but non-collusive market or "benchmark". In this case natural benchmarks would be other countries. The benchmark market should be similar to the collusive market under study, but the collusion should be absent. Ideally, the benchmark would be an undistorted competitive market. In this case, we expect that Visa and MasterCard would use similar arrangements to those used in Canada in other markets as well, so finding an undistorted benchmark might not be easy. However, if fees in other countries are lower than in Canada, after adjusting for relevant cost differences, that would suggest that overcharges are present in Canada. In short, it is not necessary to observe an undistorted market in order to use other countries (benchmarks) to infer the existence of overcharges in Canada. If other comparable countries have lower fees than in Canada and credit card networks are still able to willingly operate, this suggests overcharges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Dr. Brander deposes that the data necessary to perform either analysis is either publicly available or would be available from the defendants under normal discovery procedures. Dr. Brander further notes that credit card markets are two-sided networks and that this would not impair his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Concerning quantification, Dr. Brander deposes (at paras. 78-79):</w:t>
      </w:r>
      <w:r>
        <w:rPr>
          <w:rFonts w:ascii="arial" w:eastAsia="arial" w:hAnsi="arial" w:cs="arial"/>
          <w:sz w:val="20"/>
          <w:lang w:val="en-US" w:eastAsia="en-US" w:bidi="ar-SA"/>
        </w:rPr>
        <w:cr/>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normal measure of aggregate harm for a class is the price overcharge multiplied by the volume of the product sold to class members. In this case, as the relevant price is normally quoted in percentage terms, the calculation of aggregate economic harm is particularly easy. Suppose, for example, that the average card acceptance fee was 2.5% over the relevant period. Suppose further that this fee incorporated an overcharge of 0.5%, based on the interchange fee. The aggregate harm would be 0.5% of the total transaction volume. If the relevant volume of transactions was, say, $100 billion, then the aggregate economic harm would be 0.005*100 = 0.5 billion or $500 million. This overcharge could be readily applied on a merchant-by-merchant basis to each merchant's volume of sales if that level of detail was desired.</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assessing economic harm there might be additional factors to consider, such as the evolution of the price overcharge and the associated economic harm over time. However, in principle, going from the overcharge to economic harm is relatively straightforward.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In his consideration of the issues, and in response to Dr. Brander, Dr. Ware, as previously mentioned, deposes that Interchange Fees are a mechanism designed to balance the two sides of the credit card market and that they are not a traditional "price". As a result, Dr. Ware concludes that the concept of an overcharge does not apply to Interchange Fees in the traditional sense, or to network effects. Further, Dr. Ware deposes that any But For world would be dramatically different than the world today and that any given merchant could pay lower or higher Interchange Fees, depending on their bargaining power, in the absence of default rates. As a result, Dr. Ware concludes that any inquiry into harm, which he distinguishes from an overcharge, is inherently individual as there will inevitably be winners and losers. Dr. Ware reaches a similar conclusion regarding the elimination of the Network Rules. Moreover, Dr. Ware concludes that since merchants likely passed the cost of Interchange Fees onto consumers, they suffered no actual harm. Concerning Dr. Brander's proposed methodology, Dr. Ware deposes that no "normal" rate of return could be identified for the mark-up method and that interchange fees should not be tied to costs. Regarding the benchmark method, Dr. Ware concludes that there is no appropriate comparator country.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Dr. LaCasse's analysis is specific to one defendant, Desjardins, and is accordingly less useful when considering commonality. She deposes that the Merchant Discount Fees charged by Desjardins are not directly tied to Default Interchange Fees. She concludes that as Dr. Brander relied on this assumption in his affidavit, his conclusions are incorrect. In support of her conclusions, Dr. LaCasse undertook a statistical analysis and concludes that an increase in Interchange Fees does not cause a direct proportional increase in Merchant Discount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Dr. Brander swore a second affidavit in response to Dr. Ware and Dr. LaCasse. He notes that some of information that could be used to carry out his proposed methodology was revealed by Dr. LaCasse's statistical analysis. He further deposes that even if Desjardins' business practices differ from the other defendants, those differences do not compromise his proposed methodologies. Dr. Brander acknowledges that his methods may provide different results for different defendants, but that the same method can be used for each defendant. He disagrees with Dr. LaCasse's assertion that Merchant Discount Fees are not directly tied to Default Interchange Fees, criticizes her for not constructing a But For world in her analysis and questions the statistical reliability of her empirical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In response to Dr. Ware, Dr. Brander deposes that the concept of overcharge can apply to two-sided markets and to Interchange Fees specifically. Dr. Brander claims that the presence of a two-sided market might alter the results of his eventual analysis, but states that an overcharge by a cartel in a two-sided market is conceptually possible. In response to the individual winners and losers argument, Dr. Brander deposes that the preliminary evidence he has reviewed indicates that overcharges, not undercharges will be the norm. He further concludes that whether Interchange Fees are "prices" or "rates" or something else is a trivial semantic issue. In response to Dr. Ware's conclusion that merchants pass on their Interchange Fees, Dr. Brander asserts that this does not affect his analysis, which is concerned with the existence of an overcharge in the first place. Dr. Brander also deposes that he is not assuming that the Network Rules are anti-competitive, but that this will be determined based on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In response to Dr. Ware's critique of his methodologies, Dr. Brander deposes that variation in the rates of return of comparator firms does not preclude the determination of a normal rate of return. He also asserts that differences in foreign markets can be taken into account when comparing them to the Canadian market under the benchmark method. Ultimately, Dr. Brander concludes that Dr. Ware and Dr. LaCasse are raising issues outside the scope of his mandate for certification and focusing on issues that will arise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xml:space="preserve">  I accept that, in general, the methods proposed by Dr. Brander are common economic methods that can be used to determine overcharges in typical price-fixing cases. Despite differences in terminology, they resemble the methods that were deemed acceptable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Pro-Sys v. Microsoft</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2010 BCSC 285</w:t>
        </w:r>
      </w:hyperlink>
      <w:r>
        <w:rPr>
          <w:rFonts w:ascii="arial" w:eastAsia="arial" w:hAnsi="arial" w:cs="arial"/>
          <w:color w:val="000000"/>
          <w:sz w:val="20"/>
          <w:lang w:val="en-US" w:eastAsia="en-US" w:bidi="ar-SA"/>
        </w:rPr>
        <w:t xml:space="preserve"> at paras. 24-28). It is notable that Dr. Brander was an expert for the plaintiff in that case. However, the trial judge accepted the methodologies proposed by the other expert for the plaintiff and therefore found it unnecessary to consider Dr. Brander's evidence, even though it largely conformed to the evidence of the other expert (at paras. 28 and 164). The question that remains is therefore whether the methods offer a realistic prospect of success in this specific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The defendants marshal numerous arguments in support of their position that the loss-related issues are not common. These arguments can be grouped into various categories and I will deal with them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xml:space="preserve">  The first such category contains the arguments that support the idea that Default Interchange Fees and the Network Rules are beneficial due to the nature of the credit card industry as a two-sided market. The defendants argue that there are indirect benefits that flow to merchants from Interchange Fees, chiefly greater sales, and that cardholder behaviour is controlled in a beneficial manner. Similarly, Dr. Ware asserts that increases in Interchange Fees do not necessarily cause economic harm to merchants. Ultimately, the arguments in this category can be reduced to the argument that even if there is an overcharge in Interchange Fees that increases the </w:t>
      </w:r>
      <w:r>
        <w:rPr>
          <w:rFonts w:ascii="arial" w:eastAsia="arial" w:hAnsi="arial" w:cs="arial"/>
          <w:i/>
          <w:color w:val="000000"/>
          <w:sz w:val="20"/>
          <w:lang w:val="en-US" w:eastAsia="en-US" w:bidi="ar-SA"/>
        </w:rPr>
        <w:t>costs</w:t>
      </w:r>
      <w:r>
        <w:rPr>
          <w:rFonts w:ascii="arial" w:eastAsia="arial" w:hAnsi="arial" w:cs="arial"/>
          <w:color w:val="000000"/>
          <w:sz w:val="20"/>
          <w:lang w:val="en-US" w:eastAsia="en-US" w:bidi="ar-SA"/>
        </w:rPr>
        <w:t xml:space="preserve"> paid by merchants, the end result is that there is no resulting common harm, because the </w:t>
      </w:r>
      <w:r>
        <w:rPr>
          <w:rFonts w:ascii="arial" w:eastAsia="arial" w:hAnsi="arial" w:cs="arial"/>
          <w:i/>
          <w:color w:val="000000"/>
          <w:sz w:val="20"/>
          <w:lang w:val="en-US" w:eastAsia="en-US" w:bidi="ar-SA"/>
        </w:rPr>
        <w:t>profits</w:t>
      </w:r>
      <w:r>
        <w:rPr>
          <w:rFonts w:ascii="arial" w:eastAsia="arial" w:hAnsi="arial" w:cs="arial"/>
          <w:color w:val="000000"/>
          <w:sz w:val="20"/>
          <w:lang w:val="en-US" w:eastAsia="en-US" w:bidi="ar-SA"/>
        </w:rPr>
        <w:t xml:space="preserve"> of merchants actually improve, or at least do not suffer due to network effects. In any event, the defendants submit this is an individual inquiry given what would happen in a But For world. In the lexicon of this case, the defendants argue that an overcharge is not synonymous with the harm the plaintiff needs to prove to be entitled to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xml:space="preserve">  First and foremost, the question of whether Interchange Fees and the Network Rules are ultimately beneficial due to the feedback effects of a two-sided market is a factual finding for trial. The defendants acknowledge this and instead argue that Dr. Brander provided no evidence of </w:t>
      </w:r>
      <w:r>
        <w:rPr>
          <w:rFonts w:ascii="arial" w:eastAsia="arial" w:hAnsi="arial" w:cs="arial"/>
          <w:i/>
          <w:color w:val="000000"/>
          <w:sz w:val="20"/>
          <w:lang w:val="en-US" w:eastAsia="en-US" w:bidi="ar-SA"/>
        </w:rPr>
        <w:t>how</w:t>
      </w:r>
      <w:r>
        <w:rPr>
          <w:rFonts w:ascii="arial" w:eastAsia="arial" w:hAnsi="arial" w:cs="arial"/>
          <w:color w:val="000000"/>
          <w:sz w:val="20"/>
          <w:lang w:val="en-US" w:eastAsia="en-US" w:bidi="ar-SA"/>
        </w:rPr>
        <w:t xml:space="preserve"> it could be analyzed at trial and whether an analysis could take place on a common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This argument does not challenge Dr. Brander's methods for determining whether an overcharge exists, but rather his ability to quantify any resulting harm imposed by any potential overcharge. Dr. Ware's comments on this issue in his first affidavit are enlightening (at paras. 56-58):</w:t>
      </w:r>
      <w:r>
        <w:rPr>
          <w:rFonts w:ascii="arial" w:eastAsia="arial" w:hAnsi="arial" w:cs="arial"/>
          <w:sz w:val="20"/>
          <w:lang w:val="en-US" w:eastAsia="en-US" w:bidi="ar-SA"/>
        </w:rPr>
        <w:cr/>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there is no basis for the plaintiff's and Dr. Brander's assumption that lower Interchange rates would translate into merchants being better off. The lower Interchange rates postulated by the plaintiff in the absence of the alleged conspiracies would likely lead to a reduction in volume on the Visa and MasterCard networks due to a reduction in benefits (</w:t>
      </w:r>
      <w:r>
        <w:rPr>
          <w:rFonts w:ascii="arial" w:eastAsia="arial" w:hAnsi="arial" w:cs="arial"/>
          <w:i/>
          <w:color w:val="000000"/>
          <w:sz w:val="20"/>
          <w:lang w:val="en-US" w:eastAsia="en-US" w:bidi="ar-SA"/>
        </w:rPr>
        <w:t>e.g.</w:t>
      </w:r>
      <w:r>
        <w:rPr>
          <w:rFonts w:ascii="arial" w:eastAsia="arial" w:hAnsi="arial" w:cs="arial"/>
          <w:color w:val="000000"/>
          <w:sz w:val="20"/>
          <w:lang w:val="en-US" w:eastAsia="en-US" w:bidi="ar-SA"/>
        </w:rPr>
        <w:t>, rewards, credit limits, and insurance coverage) or increase in costs (</w:t>
      </w:r>
      <w:r>
        <w:rPr>
          <w:rFonts w:ascii="arial" w:eastAsia="arial" w:hAnsi="arial" w:cs="arial"/>
          <w:i/>
          <w:color w:val="000000"/>
          <w:sz w:val="20"/>
          <w:lang w:val="en-US" w:eastAsia="en-US" w:bidi="ar-SA"/>
        </w:rPr>
        <w:t>e.g.</w:t>
      </w:r>
      <w:r>
        <w:rPr>
          <w:rFonts w:ascii="arial" w:eastAsia="arial" w:hAnsi="arial" w:cs="arial"/>
          <w:color w:val="000000"/>
          <w:sz w:val="20"/>
          <w:lang w:val="en-US" w:eastAsia="en-US" w:bidi="ar-SA"/>
        </w:rPr>
        <w:t xml:space="preserve">, annual fees and interest rates) for cardholders, or both. The acceptance of credit cards increases customer traffic thereby likely resulting in additional sales for merchants that accept credit cards. Consumers use cards with rewards more frequently relative to other payment methods. This suggests that consumers value the benefits their credit cards provide and consider these benefits in their decisions to make purchases. If Interchange rates were lower in the but-for world, this would likely result in fewer benefits to cardholders and therefore reduced incentives for cardholders to use their credit cards, which would in turn result in lost sales and profits to merchants. </w:t>
      </w:r>
      <w:r>
        <w:rPr>
          <w:rFonts w:ascii="arial" w:eastAsia="arial" w:hAnsi="arial" w:cs="arial"/>
          <w:color w:val="000000"/>
          <w:sz w:val="20"/>
          <w:u w:val="single"/>
          <w:lang w:val="en-US" w:eastAsia="en-US" w:bidi="ar-SA"/>
        </w:rPr>
        <w:t>In other words, merchants' volumes of transactions may decrease and their net incomes may decline in a but-for world with lower Interchange rates.</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It is not appropriate to presume that Interchange rates were "overcharged" by X% and apply that percentage "overcharge" to the volume of transactions that occurred at the existing Interchange rate levels, as presumed by Dr. Brander.</w:t>
      </w:r>
      <w:r>
        <w:rPr>
          <w:rFonts w:ascii="arial" w:eastAsia="arial" w:hAnsi="arial" w:cs="arial"/>
          <w:color w:val="000000"/>
          <w:sz w:val="20"/>
          <w:lang w:val="en-US" w:eastAsia="en-US" w:bidi="ar-SA"/>
        </w:rPr>
        <w:t xml:space="preserve"> Even if there were a positive "overcharge"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the amount by which the actual Interchange rate is above the but-for Interchange rate), this does not imply that the Class members were harmed. Unlike in a typical price-fixing case where higher prices from a conspiracy translate into harm to consumers, "overcharge" is not equivalent to harm in this instance due to the nature of Interchange and the two-sided nature of the market.</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explained in the previous section, one must consider the two-sided nature of the market because Interchange rates are set to balance the two sides. Even if, as posited by the plaintiff, Interchange rates would be lower in the but-for world, a reduction in Interchange rates would produce changes in the behaviour of all participants: merchants, cardholders, issuers, acquirers, and the Visa and MasterCard networks. The resulting networks would be very different than the Visa and MasterCard networks that exist today. Even if a merchant could claim that it would pay less in the but-for world, it would be paying less to participate in a significantly inferior network. Thus, unlike in a typical price-fixing case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one involving a one-sided market), where higher prices from a conspiracy translate into harm to consumers, there is no reason to believe that lower Interchange rates would make Class members better off.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In his first affidavit, Dr. Brander does not expressly discuss how he would account for any benefits received by merchants as a result of higher Interchange Fees, to the extent there are any. In his second affidavit, Dr. Brander deposes that his view is that network externalities have not fully offset potential overcharges (at para. 114), but does not elaborate on how his methodology would account for this. In responding to Dr. Ware's criticism, Dr. Brander discusses two-sided networks and responds directly to most of Dr. Ware's points on this issue, but only responds generally to this point (at para. 63):</w:t>
      </w:r>
      <w:r>
        <w:rPr>
          <w:rFonts w:ascii="arial" w:eastAsia="arial" w:hAnsi="arial" w:cs="arial"/>
          <w:sz w:val="20"/>
          <w:lang w:val="en-US" w:eastAsia="en-US" w:bidi="ar-SA"/>
        </w:rPr>
        <w:cr/>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determine what actually happens in a two-sided network requires careful analysis, including both the application of economic principles and empirical analysis. This is the work I propose to carry out if certification is successful. It is unreasonable to attempt to rule out on a priori theoretical grounds the possibility of overcharges without even looking at the empirical evidence. The presence of a two-sided market might affect the actual outcomes that occur in a marketplace. However, the two-sided market issues do not compromise the methods to be used to assess those outcomes. Nor do they somehow preclude the possibility of overcharges.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In sum, the defendants submit, Dr. Brander was asked about overcharge and provided his opinion on overcharge, but this was the wrong question. An excerpt from the cross-examination of Dr. Brander reveals this alleged distinction (QQ 823-837):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from your perspective then you were asked to consider the kind of -- whether harm was visited on the merchants and not whether the merchants passed any of that downstream?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questions I don't believe contained the word "harm".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 don't. Overcharge.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was asked to consider the overcharge.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Let's pause there. We can agree there's a distinction between harm and overcharge,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were only asked to go so far as to address whether overcharge could be estimated on a class-wide basis,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that's what the questions asked.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were not asked to consider whether harm could be estimated on a class-wide basis?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is not contained in the questions.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therefore, that is your understanding, you were not asked that,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Obviously harm is an issue and obviously harm is closely related to overcharge.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didn't say it wasn't.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We've seen the questions, the questions are in the record. If we just want to re-read the questions and ask me does the word harm appear, no. Does the word pass-through appear, no. But of course the potential role of pass-through is out there but they were not part of the questions I was asked.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said before you are very literal minded about these things. I want to be able to understand how you approached this and what you understood your instructions to be. So you understood your instruction to be to consider whether the existence of overcharge could be assessed on a class-wide basis?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to consider whether the extent of overcharge could be assessed on a class-wide basis?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Those are the questions, absolutely.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same pair of questions for each of two parallel conspiracies?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Those are the questions.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your take on that was that overcharge and harm are not strictly speaking synonyms,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is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addressed the question of whether overcharge could be assessed, you did not assess the question of whether harm could be assessed, that not being the question you were asked.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 have comments about harm in my affidavit so it's not true to say that I don't address it but it is true to say that's not in the questions.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Ultimately your opinion at the end of your report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[Plaintiff's Counsel]: Which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first report for starters at paragraph 80. The question of whether class members paid an overcharge could be assessed on a class-wide basis?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While it's true in paragraph 78, for example, and elsewhere the word "harm" is used in sentences, when you come back to your conclusion you go back to the word "overcharge"?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conclusion is of course my response to the questions I was asked, all of which deal with overcharge.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However this difference might be based on different understandings of the word "overcharge", as demonstrated earlier in cross-examination (QQ 603-615):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we can't assume that the simple difference in price is all overcharge if what one gets in return has changed?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agree.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your first report you discussed quantifying harm and you said -- if you want the reference one place is your paragraph 78 and there's more than one place but this is a convenient place -- you say that the normal measure of aggregate harm for a class is the price overcharged multiplied by the volume.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that is the normal approach.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0"/>
        <w:gridCol w:w="154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Here you don't discuss the need to examine what the merchants or the class members are getting in return for the price as part of the analysis of harm, do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We might be talking at cross-purposes. We need to get the right price overcharge and we've just agreed that the overcharge does need to be adjusted for the range of services.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Where in your report do you discuss the need to consider what a merchant gets in return for a card acceptance fee as part of the evaluation of whether there was an overcharge in the first place?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 to the best of my recollection I don't discuss that step explicitly but of course it's a step that would be part of the merits of the case. When we come to compare with Australia we look at the experience of the merchants and the cardholders.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going to come back and ask my question again. Where in your report do you actually discuss, and I mean discuss -- you understand what the word "discuss" means?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Finish your question.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Where in your report do you actually discuss the need to consider what the merchants receive in return for their card acceptance fee in determining the level of overcharge?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I just answered that I think I said -- I forget my exact words but the basic point is that my affidavit does not go to that level of detail, but of course economists in constructing benchmarks or but-for worlds are concerned about the quality of the product as well as the price.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0"/>
        <w:gridCol w:w="154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So we'd agree then that the implementation of your methods would require a court to consider any changes in the value of what the merchants received in return for any different card acceptance fee in sorting out A, whether there was an overcharge, and B, if so, the extent of the overcharge?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As a substantive point I agree, that's part of the merits analysis.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06"/>
        <w:gridCol w:w="612"/>
        <w:gridCol w:w="236"/>
        <w:gridCol w:w="816"/>
        <w:gridCol w:w="236"/>
        <w:gridCol w:w="7230"/>
        <w:gridCol w:w="102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How that would be done is not discussed in your report?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Once again, I disagree. We can argue about level of detail but the idea that we would compare the Canadian experience with the experience in a benchmark case of course incorporates that. That's part of the comparison. I don't mention in detail every specific element of the comparison but that's the point of a benchmark.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Are you comfortable that you understand the word "expressly"? If I asked you whether you expressly mentioned any of that in your report would you be comfortable in understanding that question and answering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think I can write a blank cheque so why don't you try asking the question and I'll try answering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06"/>
        <w:gridCol w:w="612"/>
        <w:gridCol w:w="236"/>
        <w:gridCol w:w="816"/>
        <w:gridCol w:w="236"/>
        <w:gridCol w:w="7230"/>
        <w:gridCol w:w="102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Sure. You were concerned yesterday about some words having meanings you were uncomfortable with. I'll just try it then. Can you agree with me that you do not expressly comment on the need to consider changes, if any, in the value of what merchants receive in return for their card acceptance fee anywhere in your report?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 agree that I do not explicitly go to that level of detail.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But you say it's implicit in the methods you propose?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1673"/>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 xml:space="preserve">A: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take it based on this discussion that going back to paragraph 78 of your first report, when you say the normal measure of aggregate harm is the overcharge times volume, you're not trying to tell us that that would necessarily be the way that it would be calculated in this case because you'd need to check, first of all, to see whether the product that was sold was the same in the but-for world as the actual world?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there are a couple of ways of proceeding and once we got into the analysis we'd have to assess what is best based on the available data, but one way of proceeding would be to get the price overcharge by correcting for service quality. So once again, to go back to your example, let's suppose that merchants used to get cars when they signed on to use a credit card and in the but-for world they don't get cars but they pay a lower interchange fee. We would subtract the value of the car from the interchange fee they pay and that would give us the net interchange fee and we compare that with the amount that was actually paid in the allegedly collusive environment. What we'd be doing there is we'd be taking account of the change in the service in calculating the overcharge and then once we had we'd have the net overcharge and then we just multiply the overcharge by the volume and that's how we get damage. Alternatively, we might get what we might call the gross overcharge and then subsequently adjust that for the change in service quality. We could do it either way depending on what looks best once we get into the actual data analysis. I couldn't commit myself at this point to which particular approach might be best and you might do both.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06"/>
        <w:gridCol w:w="612"/>
        <w:gridCol w:w="236"/>
        <w:gridCol w:w="816"/>
        <w:gridCol w:w="236"/>
        <w:gridCol w:w="7230"/>
        <w:gridCol w:w="102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Briefly, what do you mean when you say a gross overcharge? Is that the same as an aggregate overcharge? You tell 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Let's suppose that we have -- just to keep things as simple as possible, I'm not saying that these numbers are correct or incorrect or anything like that, but let's suppose that we in Canada found that there was an aggregate average overcharge of 3 percent. Let's suppose in a benchmark, whether we construct the benchmark as another country or for that matter whether we use another industry or whatever, let's suppose that we conclude that the interchange fee is one and a half percent. That gives us a difference of one and a half percent. We say that's the gross overcharge. Then we say maybe the service is different. Maybe the service at the higher interchange fee is a more valuable service. Let's assess the value of that service and then we could add that on to the 1.5, and maybe we conclude that the value of the service was actually worth half a point. So then the net overcharge would be 3 minus 1.5 plus .5 so it would only be 1. So the net overcharge would be 1 even though the gross overcharge would be 1.5.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Questioning in this vein continues for some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What Dr. Brander is saying is that his methodologies, in particular, the benchmark method, implicitly take into account network effects in a two-sided market. His answers later in cross-examination return to this theme (QQ 705-725; 735-748):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I take it your report does not discuss the feedback effect or network effect that might arise if interchange was reduced and therefore benefits to cardholders were reduced and therefore the contribution, if you will, on the cardholder side of the market was changed?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assert at this stage that for the purposes of this affidavit for describing methods that I do not need to explicitly deal with the network issues that we've described. The network issues of course would come into the analysis at a later stage so they are part of the merits of the case but they're not in my view part of the method. The method implicitly includes consideration of network effects.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 me take that in chunks. You said that your methods implicitly include consideration of these feedback effects?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Your report does not expressly describe how those methods would take these feedback effects into account,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report does not explicitly go into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said that those effects would need to be examined at a later stage, right? That's what I wrote down.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you say at later stage you mean at trial?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was going to avoid saying at trial since you claimed I used that term too often before.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Use it as often as you like. All I need to get straight is what you have told us now as opposed to what you are telling us you or somebody will explain to a judge at trial. </w:t>
            </w:r>
            <w:r>
              <w:rPr>
                <w:rFonts w:ascii="arial" w:eastAsia="arial" w:hAnsi="arial" w:cs="arial"/>
                <w:color w:val="000000"/>
                <w:sz w:val="18"/>
                <w:u w:val="single"/>
                <w:lang w:val="en-US" w:eastAsia="en-US" w:bidi="ar-SA"/>
              </w:rPr>
              <w:t>So for today's purposes, for the purposes of your reports, you do not tell us how your methods will examine the feedback effect?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06"/>
        <w:gridCol w:w="612"/>
        <w:gridCol w:w="236"/>
        <w:gridCol w:w="816"/>
        <w:gridCol w:w="236"/>
        <w:gridCol w:w="7230"/>
        <w:gridCol w:w="102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 don't agree with that. I need to backtrack a little bit. For example, one method that I propose is to look at feedback -- to look at benchmark markets and one possible benchmark market which has been discussed a lot in this case is Australia. If we compare Canada with Australia and we see what's happening in Australia we will be evaluating the outcome of changes in the network structure. If, for example, a reduction in interchange fees causes the network to shrink we will see that. If it causes the network to expand we will see that. We inevitably will be examining the network effects by using the benchmark. Of course the network effects come into play because they are part of the benchmark.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do not tell us in your reports how we are going to do any of that with these feedback or network effects. What you've told us is that these methods will deal with that later?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haven't actually implemented the method.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didn't ask whether you had implemented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06"/>
        <w:gridCol w:w="612"/>
        <w:gridCol w:w="236"/>
        <w:gridCol w:w="816"/>
        <w:gridCol w:w="236"/>
        <w:gridCol w:w="7230"/>
        <w:gridCol w:w="102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The method is to compare Canada with Australia. This market is a network, a two-sided network in Australia just as it is in Canada, so of course we will be taking it into account and incorporating the network effects. That's part of the benchmark.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 haven't asked you whether you've actually done that work yet. All I'm trying to figure out for today's purposes is the degree to which you've told us how you will do that work. </w:t>
            </w:r>
            <w:r>
              <w:rPr>
                <w:rFonts w:ascii="arial" w:eastAsia="arial" w:hAnsi="arial" w:cs="arial"/>
                <w:color w:val="000000"/>
                <w:sz w:val="18"/>
                <w:u w:val="single"/>
                <w:lang w:val="en-US" w:eastAsia="en-US" w:bidi="ar-SA"/>
              </w:rPr>
              <w:t>What I hear you saying is that, to use your Australia benchmark example, if one did an Australia benchmark approach at trial the network feedback issue would be addressed then?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1673"/>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 xml:space="preserve">A: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It's part of the benchmark, absolutely.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 today's purposes you have not told us how that will happen. You've just said today it will happen; is that fair?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think that is fair. I think that the -- I've just told you how it would happen for example. So the concern about network effects, one concern, the concern that I believe your questions raise, is that if you readjust the pricing and lower the interchange fee perhaps you'll damage the network by reducing the readership which in this case would be the number of cardholders. That is the concern. That would be addressed very directly and I've just explained how. We would look at what has actually happened to the extent of cardholdership in Australia. It's very direct, it's right there. We look at it and we say has this change and interchange affected the extent of the network? It's very direct, it's right there. It's not some mystery. It's right in front of us.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would need to know, for example, if it had affected different parts of the network differently, like different sectors?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could certainly look at different sectors.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could but you don't -- all I'm trying to get straight is you don't discuss any of what you just said in your reports. You're telling me though that it's implicit in looking at a place like Australia?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what a benchmark does.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benchmark is what you say we would dig into at trial?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the benchmark method. Your alternative method was -- and I'll be coming back to the methods in more detail in a minute or two -- but your alternative was the so-called mark-up method where you would calculate returns from other portions of the financial services sector?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approach would not implicitly take into account this two-sided credit card market in the sense that you would be looking at other portions of the financial services industry which are not necessarily two-sided markets,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method is a correct method. It's not incomplete in some way. But with that method we're saying what should the returns be in the absence of collusion. So we looked at some closely related industry, in this case other parts of the financial sector.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Those other parts of the financial sector are not two-sided markets?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So for that type of analysis we don't need to look at the two-sided market issue.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you would be indifferent to whether -- let's go back a step. In the end the application of that approach would be to estimate a return for the credit card companies based on the returns from other financial sectors?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if that return was different than the current return, let's say lower for argument's sake, that would mean that there was less money in the system, so to speak, to fund, for example, benefits on the cardholder side,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a possibility.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Then you would need to know what effect on the value to merchants of what they received for accepting cards and paying card acceptance fees would be of that change in benefit to cardholders, in other words, the feedback effect?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This is going back to our earlier conversation. If there's a significant change in the quality of service, in this case losing card members would be a significant change in the quality of service, that would have to be added into the analysis to adjust the overcharge.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do not describe in your discussion of your mark-up method how that particular piece of analysis would be done?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don't describe it 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06"/>
        <w:gridCol w:w="612"/>
        <w:gridCol w:w="236"/>
        <w:gridCol w:w="816"/>
        <w:gridCol w:w="236"/>
        <w:gridCol w:w="7230"/>
        <w:gridCol w:w="102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In fact, you do not even identify in your description of the mark-up method that that piece of analysis would need to get done?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 don't identify it here. I would like to explain, say one more thing about these network effects. The crucial issue of course is how important are these network effects? Are they important or is this a footnote? In my judgment at this stage of the market based on what I have learned about the industry is that the credit cards have very high penetration. Network issues are all about expanding the network. In the early days of telephones, telephones were priced very cheaply so that more people would sign on because that made it more attractive to other people. In the early days of the credit card market the network expansion effects may have been important. Right now most merchants take credit cards and most consumers have credit cards. That is not going to change. These are things that can be evaluated by evidence and in my preliminary look at say the Australia case suggests that this is true but the issue is are these network effects big enough to require a significant adjustment to the overcharge. At this stage -- I mean, I agree that is an empirical matter that has to be assessed but at this stage my feeling is that it's unlikely that these network effects are that big.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fact, you've already determined that it is highly likely that these network effects have not fully offset what would otherwise be overcharges, you've already formed that opinion?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not the way I put it. That is my preliminary view but of course I would do the analysis.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Go to paragraph 114 of your second report, please.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at 114 you say that you formed what you describe as a preliminary view and you go on to say that from an economic point of view your view is that the alleged problems are more than plausible and are highly likely, and what is highly likely follows I take it which is that network externalities have not fully mitigated or offset the overcharges that you discuss earlier in the sentence,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say that's -- you described it as conclusion and I disagreed. I said it's a preliminary view. That's what it says here.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it's your preliminary view that this is highly likely?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that's without having done the definitive analysis?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Ultimately though the analysis would need to get done?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it would.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in neither of your reports do you tell us how that will get done?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as I've argued, as far as the benchmark analysis is concerned it's essentially automatic. In comparison with Australia automatically takes into account the network effects because this market in Australia is a network.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Let's pause there. Let's say that reduced interchange in Australia has had effects on the cardholder side of the market which have resulted in feedback effects,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have not told us anywhere in your report how you are going to take those -- how you're going to measure those feedback effects or how you're going to take them into account in determining the so-called right price for merchants in Canada to effectively pay at the end of this lawsuit; you haven't told that yet, have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haven't I told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haven't told us in your reports how we will figure out these network effects in Australia, nor how we will take any perceived effects in Australia and deal with them when considering what the but-for price in Canada would look like; you don't tell us the "how" of that in your reports?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go through every detail step by step. With respect to this issue of network effects I think it's important just to get one fact on the table which is that that these network effects would be important if they reduce the size of the cardholder base. That's what we're talking about. We're saying if we reduce interchange then maybe that causes a problem for merchants because it reduces what you call the feedback effect, it reduces the consumer base. So we look at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does two things. It reduces the number of people who take up cards and it would reduce the manner in which or the extent to which cardholders use their cards; there's two different effects?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You're right. So, the total volume effect. That's a relatively straightforward thing to address. My understanding is that in fact since the regulatory changes occurred in Australia the number of cardholders has gone up and the volume of transactions has gone up. This whole network issue just on that piece of data alone does not look like it is going to be a big issue but it will be in the analysis -- automatically in the Australian case.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I'm trying to get you to focus on is a pretty simple question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because of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Just a second. Let me ask it again. What I'm trying to get you to focus on is the following simple question. I hear you tell me that when you use the benchmark method these things will get dealt with. I'm focused on what your reports say and the words you have chosen to put in those reports and I want some if there is consensus to be had between us on the fact that your reports do not tell us how that will happen. I hear you say it will happen but your reports do not tell us how that will happen.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I already answered. I think I already agreed that my report does not contain that level of detail and then I went on to explain why.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06"/>
        <w:gridCol w:w="612"/>
        <w:gridCol w:w="236"/>
        <w:gridCol w:w="816"/>
        <w:gridCol w:w="236"/>
        <w:gridCol w:w="7230"/>
        <w:gridCol w:w="102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For the mark-up method, the other financial sector method, you simply don't discuss the network effects at all?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In my report, in my affidavit, I say that I considered network effects and I came to the conclusion that they are not significant and therefore for the purposes of my report, for the purposes of the method. The answer to the question is yes, I have not discussed them further in my affidavit but I have not ruled them out of the empirical analysis of course.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The defendants seek to avoid a "battle of the experts" scenario on this application because they are alive to the jurisprudence which directs that in such an event it is inappropriate to resolve the dispute against the plaintiff on certification. But, in my view, Dr. Brander's evidence, including that given on cross-examination, demonstrates that on this issue of "net overcharge" or "harm" we very much have a "battle of the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The defendants argue that on the issue of harm, Dr. Brander was asked the wrong question. He discussed only "overcharge" which does not take into account network effects. Dr. Brander responds that his benchmark method implicitly takes these into account and that while the mark-up method results must be adjusted for these effects, this can be done and, in any event, he does not anticipate that they will be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The "battle" extends to include the defendants' second category, the "winners and losers" argument. That is, the submission that in any But For world, due to differences in bargaining power, some merchants will be winners, as the fees they pay will drop, and others will be losers, as their fees will rise. The defendants submit that as a result of this fact the question of harm is inherently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Dr. Brander, in his second affidavit, responds in part (at para. 15):</w:t>
      </w:r>
      <w:r>
        <w:rPr>
          <w:rFonts w:ascii="arial" w:eastAsia="arial" w:hAnsi="arial" w:cs="arial"/>
          <w:sz w:val="20"/>
          <w:lang w:val="en-US" w:eastAsia="en-US" w:bidi="ar-SA"/>
        </w:rPr>
        <w:cr/>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individual variation between merchants could be easily handled at the distribution phase. For example, presumably the compensation provided to any merchant would be based on the volume and characteristics of credit card fees paid by that merchant. My understanding is that such information would be made available through discovery at trial. The analysis carried out by Dr. LaCasse illustrates the existence and use of some such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On his cross-examination, he expands his response (QQ 896-902):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In Dr. Ware's report, and you cite it, it's paragraph 14 (v) on page 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have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quote him as saying: "...in the but-for world, interchange rates can be lower, higher or unchanged..." and what he says is: "In the but-for world interchange rates could be lower, higher or unchanged depending on each class member's circumstances and characteristics."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You're satisfied that the partial quote that you used and the omission of the last part of his sentence fairly represented what you said?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In this case I am very comfortable with what I've done. Dr. Ware was basically making two points. Point number one, interchange rates can be higher, lower or unchanged. Point number two, he is asserting that individual class member's circumstances are relevant. I chose to comment on only on his first point. I see that as completely fair. The question of individual differences, obviously we can debate separately. </w:t>
            </w:r>
            <w:r>
              <w:rPr>
                <w:rFonts w:ascii="arial" w:eastAsia="arial" w:hAnsi="arial" w:cs="arial"/>
                <w:color w:val="000000"/>
                <w:sz w:val="18"/>
                <w:u w:val="single"/>
                <w:lang w:val="en-US" w:eastAsia="en-US" w:bidi="ar-SA"/>
              </w:rPr>
              <w:t>The basic point, that interchange fees could be higher, lower or unchanged, I think is an important point. It's a point I happen to agree with and it suggests to me that we would need to actually do the empirical analysis to assess the situation.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that context you understood him to be referring to the interchange rates being higher, lower or unchanged in respect of each given merchant?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One logical possibility is that every merchant has a lower interchange rate or a higher one or an unchanged one. That's a logical possibility. I clearly do understand that Dr. Ware is asserting or suggesting that individual variation might be important in this case.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come back to my question, you understood Dr. Ware to be referring to interchange rates in the but-for world that could be lower, higher or unchanged on a class member by class member basis?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understand that's what he is saying,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just wanted to make sure we're talking the same language. That is the proposition that you say you agree with and then go on to comment on in your paper?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are two propositions there in my opinion. My opinion is that, one, Dr. Ware is observing that interchange rates could logically be higher, lower or unchanged, those are logical possibilities. My view is that the suggestions about the importance of individual variation is a second point. I agree with the first point. I suspect that we disagree, Dr. Ware and I, on the importance of individual variation in this case.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something one would have to examine in order to determine whether it turns out to be important or immaterial?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exactly my point. It would have to be examined on the evidence. It doesn't affect the method.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xml:space="preserve">  As the cross-examination reveals, Dr. Brander acknowledges that fees could be higher or lower, but disagrees with Dr. Ware regarding the most likely alternative to the rules imposing Default Interchange Fees; another "battle of the experts". As Dr. Brander states, the analysis is necessary to understand what the But For world looks like. If it turns out that such a world is hopelessly individual, this Court possess flexible powers under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including decertification, that will prevent this case from becoming unmanageable. However, giving effect to the defendants' winners and losers argument at this point would be premature.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xml:space="preserve">  In my view, Dr. Brander's methodologies offer a plausible prospect of demonstrating net overcharge or harm on a class-wide basis. I am especially convinced that his benchmark method meets the criteria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but I do not rule out the mark-up method. Any individual characteristics of that harm can be addressed in the merits trial and proceedings arising out of that trial in the event the plaintiff succeeds.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xml:space="preserve">  I also note that the defendants complain that Dr. Brander's methodologies do not address the issue of harm from the perspective of merchants passing on the overcharge to their customers. This complaint is relevant to the so-called "pass on" defence advanced in the face of direct purchasers' claims where there are claims of indirect purchasers. In light of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it is not a defence which can be pressed in these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The third category of the defendants' argument contains the objections of Dr. LaCasse: increases in Default Interchange Fees do not correlate with increases in Merchant Discount Fees and Merchant Discount Fees are not correlated with Interchange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As previously mentioned, Dr. LaCasse's work is only representative of Desjardins, a single defendant and is therefore of limited value. The use of any expert methodology at trial might reveal that Desjardins is unique among the defendants. However, on certification the only issue is the existence of a methodology, not its results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at paras. 118-119). Dr. LaCasse's analysis is accordingly premature. If a methodology applies to a defendant and to the class as a whole, it meets the requirements from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regardless of whether the result of applying that methodology to that defendant at trial produces a unique result, or an unfavourable result from the plaintiff's point of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Further, as Dr. Brander points out in his second affidavit, an increase in Default Interchange Fees does not require a direct corresponding increase in Merchant Discount Fees. If the plaintiff's allegations are correct, it may be that the Acquirers are merely becoming less profitable even though the merchants are still being overcharged. Moreover, as the plaintiff points out, it may not be reasonably possible or practical for Acquirers to increase Merchant Discount Fees immediately following an increase in Default Interchange Fees; some lag is possible (at paras. 43-48).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I agree with Dr. Brander and with the plaintiff that Dr. LaCasse's analysis indicates that the defendants have the data necessary to carry out any acceptable analysis at trial. This makes Dr. LaCasse's work more helpful to the plaintiff that to the defendants. I would reject the defendants' arguments based on her work; they are either premature or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Finally, each of the parties in varying degrees attacks the credibility and reliability of the opposing expert(s) on the grounds of being argumentative, in the nature of advocacy and even as dramatically contrary to testimony given elsewhere. In my view, this application is not an appropriate forum within which to resolve these objections. I have the varying opinions of what all agree are recognized experts in their fields and that is enough at this point to conclude that we have on this application a so-called pitched "battle of the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xml:space="preserve">  In conclusion, I would certify issues 2, 8, 15, 17, and 20. I would certify issue 19, concerning punitive damages, following </w:t>
      </w:r>
      <w:r>
        <w:rPr>
          <w:rFonts w:ascii="arial" w:eastAsia="arial" w:hAnsi="arial" w:cs="arial"/>
          <w:i/>
          <w:color w:val="000000"/>
          <w:sz w:val="20"/>
          <w:lang w:val="en-US" w:eastAsia="en-US" w:bidi="ar-SA"/>
        </w:rPr>
        <w:t>Rumley v. British Columbia</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2001 SCC 69</w:t>
        </w:r>
      </w:hyperlink>
      <w:r>
        <w:rPr>
          <w:rFonts w:ascii="arial" w:eastAsia="arial" w:hAnsi="arial" w:cs="arial"/>
          <w:color w:val="000000"/>
          <w:sz w:val="20"/>
          <w:lang w:val="en-US" w:eastAsia="en-US" w:bidi="ar-SA"/>
        </w:rPr>
        <w:t>, at para. 34; assessing the alleged conspiracy will involve our assessment of the defendants' conduct (and this would extend to issues 17 and 20, so far as they apply to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xml:space="preserve">  The certification of a common issue relating to aggregate damages was also discussed at length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The Court overruled previous decisions in this province, such as </w:t>
      </w:r>
      <w:r>
        <w:rPr>
          <w:rFonts w:ascii="arial" w:eastAsia="arial" w:hAnsi="arial" w:cs="arial"/>
          <w:i/>
          <w:color w:val="000000"/>
          <w:sz w:val="20"/>
          <w:lang w:val="en-US" w:eastAsia="en-US" w:bidi="ar-SA"/>
        </w:rPr>
        <w:t>Infineon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Steele</w:t>
      </w:r>
      <w:r>
        <w:rPr>
          <w:rFonts w:ascii="arial" w:eastAsia="arial" w:hAnsi="arial" w:cs="arial"/>
          <w:color w:val="000000"/>
          <w:sz w:val="20"/>
          <w:lang w:val="en-US" w:eastAsia="en-US" w:bidi="ar-SA"/>
        </w:rPr>
        <w:t xml:space="preserve">, which permitted plaintiffs to rely on the aggregate damages provisions in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in order to establish liability. The Court concluded that the aggregate damages provisions can only be invoked following a finding of liability. They are a procedural tool, albeit a powerful one, to assist in the distribution of damages (at paras. 130-133). Further, I do not read the Court's brief discussion of the aggregate damages provisions in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as in any way limiting their availability for a claim under the </w:t>
      </w:r>
      <w:r>
        <w:rPr>
          <w:rFonts w:ascii="arial" w:eastAsia="arial" w:hAnsi="arial" w:cs="arial"/>
          <w:i/>
          <w:color w:val="000000"/>
          <w:sz w:val="20"/>
          <w:lang w:val="en-US" w:eastAsia="en-US" w:bidi="ar-SA"/>
        </w:rPr>
        <w:t>Competition</w:t>
      </w:r>
      <w:r>
        <w:rPr>
          <w:rFonts w:ascii="arial" w:eastAsia="arial" w:hAnsi="arial" w:cs="arial"/>
          <w:color w:val="000000"/>
          <w:sz w:val="20"/>
          <w:lang w:val="en-US" w:eastAsia="en-US" w:bidi="ar-SA"/>
        </w:rPr>
        <w:t xml:space="preserve"> Act (at paras. 93-95).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On the issue of when it is now appropriate to certify aggregate damages as a common issue, the Court held (at para. 134):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[134] The question of whether damages assessed in the aggregate are an appropriate remedy can be certified as a common issue. However, this common issue is only determined at the common issues trial after a finding of liability has been made. The ultimate decision as to whether the aggregate damages provisions of the CPA should be available is one that should be left to the common issues trial judge. Further, the failure to propose or certify aggregate damages, or another remedy, as a common issue does not preclude a trial judge from invoking the provisions if considered appropriate once liability is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xml:space="preserve">  Based on the methodologies proposed by Dr. Brander, I have concluded that the plaintiff has a reasonable prospect of success of proving liability on a class-wide basis without relying on the aggregate damages provisions. Accordingly, issue 18, concerning aggregate damages, is appropriate for certification at this time. However, as the Court held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the ultimate decision in this area rests with the trial judge, regardless of whether the issue is certified.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xml:space="preserve">  I turn briefly to the issues touching injunctive relief. These are issues 21 and 22. The defendants submit that as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does not provide for injunctive relief (or for punitive damages), these issues should be struck on the basis of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However, it is not necessary to decide this issue as other independent causes of action, which may result in injunctive relief, have survived s. 4(1)(a) scrutiny. Accordingly, these issues are suitable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882"/>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Restitutionary Issues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I now turn to consider issues 10, 11 and 12, which are related to the causes of action in waiver of tort and unjust enrichment. As I have described, the Amended Claim pleads waiver of tort and unjust enrichment and recovery under restitutionary principles as causes of action (which I have found survive s. 4(1)(a) scrutiny).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It is necessary to delve into these claims in some depth so I reproduce the Amended Claim's treatment of "Unjust Enrichment, Constructive Trust and Waiver of Tort" (at paras. 65-69):</w:t>
      </w:r>
      <w:r>
        <w:rPr>
          <w:rFonts w:ascii="arial" w:eastAsia="arial" w:hAnsi="arial" w:cs="arial"/>
          <w:sz w:val="20"/>
          <w:lang w:val="en-US" w:eastAsia="en-US" w:bidi="ar-SA"/>
        </w:rPr>
        <w:cr/>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plaintiff waives the tort and pleads that it and the other Visa and MasterCard Class Members are entitled to recover under restitutionary principles.</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have each been unjustly enriched by the receipt of the Visa Overcharge or MasterCard Overcharge. Visa and MasterCard Class Members have suffered a deprivation in the amount of such Visa Overcharge or MasterCard Overcharge.</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Visa Overcharge or MasterCard Overcharge that was received by the defendants from the Visa and MasterCard Class Members resulted from the defendants' wrongful or unlawful acts, there is and can be no juridical reason justifying the defendants' retaining any part of such overcharge.</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are constituted as constructive trustees in favour of the Visa and MasterCard Class Members for all of the Visa Overcharge or MasterCard Overcharge because, among other reasons:</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were unjustly enriched by receipt of the Visa Overcharge or MasterCard Overcharge ;</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Members suffered a deprivation by paying the Visa Overcharge or MasterCard Overcharge;</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engaged in inappropriate conduct and committed wrongful acts by engaging in the conspiracies alleged in this claim;</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Visa Overcharge or MasterCard Overcharge were acquired in such circumstances that the defendants may not in good conscience retain them;</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justice and good conscience require the imposition of a constructive trust;</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integrity of the marketplace would be undermined if the court did not impose a constructive trust; and</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no factors that would, in respect of the artificially induced overcharge, render the imposition of a constructive trust unjust.</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pleads that equity and good conscience requires the defendants to hold the Visa Overcharge or MasterCard Overcharge in trust for the plaintiff and the other Visa and MasterCard Class Members and to disgorge those amounts to the plaintiff and the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I note that the plaintiff here again speaks of the Visa Overcharge and the MasterCard Overcharge and I recall that the definition of these terms earlier in the Amended Claim at paragraph 62, that is, the amount by which the class member "paid more for credit card network services than they would have paid in the absence of the illegal agreements". The defendants say that this measure of the loss sought to be recovered on a restitutionary basis is defined in the same way as is the loss sought to be recovered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This leads the defendants to submit that the assessment of "Overcharges" will be the same for both disgorgement (restitution) and damages (tort); that the feedback effects of the two-sided market will have to be analyzed here, as well. The defendants concluded (Defendants' Joint Submissions at para. 342):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all the same individual issues arise if the case is recast from harm and damages to gain and disgorgement. A gains-based approach is not a panacea for the failures of the plaintiff's traditional harm-based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Because of the way the plaintiff has effectively defined the defendants' "gain" under the restitutionary claims, in a manner identical to the "Overcharges" for the purposes of the tort claims, the defendants' point takes on some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The plaintiff appears to adopt a different definition of "Overcharge" in the common issues proposed for the restitutionary claims. I reproduce the proposed common issues under this head:</w:t>
      </w:r>
      <w:r>
        <w:rPr>
          <w:rFonts w:ascii="arial" w:eastAsia="arial" w:hAnsi="arial" w:cs="arial"/>
          <w:sz w:val="20"/>
          <w:lang w:val="en-US" w:eastAsia="en-US" w:bidi="ar-SA"/>
        </w:rPr>
        <w:cr/>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Have the Defendants, or any of them, been unjustly enriched during the Class Period by receipt of supracompetitive Merchant Discount Fees and in particular default Interchange Fees, or any component thereof?</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Have the Visa or MasterCard Class Members suffered a corresponding deprivation by paying supracompetitive Merchant Discount Fees and in particular default Interchange Fees, or any component thereof, during the Class Period?</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any juristic reason justifying retention by the Defendants, or any of them, of some or all of the supracompetitive portion of Merchant Discount Fees and in particular default Interchange Fees or any component thereof (the "Overcharge") paid by the Visa or MasterCard Class Members?</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 the defendants be constituted as constructive trustees in favour of the Visa or MasterCard Class Members for the Overcharge?</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equity and good conscience require that the Defendants, or any of them, hold the Overcharge in trust for the plaintiff and the other Visa or MasterCard Class Members and to disgorge that amount to the plaintiff or other Visa and MasterCard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Note that, here, the "Overcharge" is defined as "...the supracompetitive portion of Merchant Discount Fees and in particular Default Interchange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xml:space="preserve">  I take this definition to include only the defendants' gains from the alleged anti-competitive conduct. These gains are not affected by any set-off of alleged advantages accruing to the merchants by conduct induced on the other side of the market. This "Overcharge" would not be assessed in the same way as would be net overcharge in the tort claim or under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Contrary to the defendants' submission, the claims based in restitution may well be the panacea for any failures in the plaintiff's harm-based claims, if they can be proven without the foundation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per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As discussed under the s. 4(1)(a) requirement, waiver of tort is a novel doctrine that allows a plaintiff to disgorge a defendant's gain from tortious conduct rather than recover his or her own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xml:space="preserve">  Justice Epstein, for the majority, discussed waiver of tort comprehensively in </w:t>
      </w:r>
      <w:r>
        <w:rPr>
          <w:rFonts w:ascii="arial" w:eastAsia="arial" w:hAnsi="arial" w:cs="arial"/>
          <w:i/>
          <w:color w:val="000000"/>
          <w:sz w:val="20"/>
          <w:lang w:val="en-US" w:eastAsia="en-US" w:bidi="ar-SA"/>
        </w:rPr>
        <w:t>Serhan (Estate) v. Johnson and Johnson</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(2006), 85 O.R. (3d) 665</w:t>
        </w:r>
      </w:hyperlink>
      <w:r>
        <w:rPr>
          <w:rFonts w:ascii="arial" w:eastAsia="arial" w:hAnsi="arial" w:cs="arial"/>
          <w:color w:val="000000"/>
          <w:sz w:val="20"/>
          <w:lang w:val="en-US" w:eastAsia="en-US" w:bidi="ar-SA"/>
        </w:rPr>
        <w:t xml:space="preserve"> (Div. Ct.) (a decision cited with approval by our Court of Appeal in </w:t>
      </w:r>
      <w:r>
        <w:rPr>
          <w:rFonts w:ascii="arial" w:eastAsia="arial" w:hAnsi="arial" w:cs="arial"/>
          <w:i/>
          <w:color w:val="000000"/>
          <w:sz w:val="20"/>
          <w:lang w:val="en-US" w:eastAsia="en-US" w:bidi="ar-SA"/>
        </w:rPr>
        <w:t>Infineon</w:t>
      </w:r>
      <w:r>
        <w:rPr>
          <w:rFonts w:ascii="arial" w:eastAsia="arial" w:hAnsi="arial" w:cs="arial"/>
          <w:color w:val="000000"/>
          <w:sz w:val="20"/>
          <w:lang w:val="en-US" w:eastAsia="en-US" w:bidi="ar-SA"/>
        </w:rPr>
        <w:t xml:space="preserve"> and</w:t>
      </w:r>
      <w:r>
        <w:rPr>
          <w:rFonts w:ascii="arial" w:eastAsia="arial" w:hAnsi="arial" w:cs="arial"/>
          <w:i/>
          <w:color w:val="000000"/>
          <w:sz w:val="20"/>
          <w:lang w:val="en-US" w:eastAsia="en-US" w:bidi="ar-SA"/>
        </w:rPr>
        <w:t xml:space="preserve"> Steele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As Justice Epstein notes (at para. 52), in restitution the plaintiff can avoid the necessity of having to prove the actual loss in tort. She writes (at para. 50):</w:t>
      </w:r>
      <w:r>
        <w:rPr>
          <w:rFonts w:ascii="arial" w:eastAsia="arial" w:hAnsi="arial" w:cs="arial"/>
          <w:sz w:val="20"/>
          <w:lang w:val="en-US" w:eastAsia="en-US" w:bidi="ar-SA"/>
        </w:rPr>
        <w:cr/>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practical purpose behind [waiver of tort] is that in certain situations, where a wrong has been committed, it may be to the plaintiff's advantage to seek recovery of an unjust enrichment accruing to the defendant rather than normal tort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xml:space="preserve">  As discussed in </w:t>
      </w:r>
      <w:r>
        <w:rPr>
          <w:rFonts w:ascii="arial" w:eastAsia="arial" w:hAnsi="arial" w:cs="arial"/>
          <w:i/>
          <w:color w:val="000000"/>
          <w:sz w:val="20"/>
          <w:lang w:val="en-US" w:eastAsia="en-US" w:bidi="ar-SA"/>
        </w:rPr>
        <w:t>Serhan</w:t>
      </w:r>
      <w:r>
        <w:rPr>
          <w:rFonts w:ascii="arial" w:eastAsia="arial" w:hAnsi="arial" w:cs="arial"/>
          <w:color w:val="000000"/>
          <w:sz w:val="20"/>
          <w:lang w:val="en-US" w:eastAsia="en-US" w:bidi="ar-SA"/>
        </w:rPr>
        <w:t>, the law of restitution is evolving (at para. 77):</w:t>
      </w:r>
      <w:r>
        <w:rPr>
          <w:rFonts w:ascii="arial" w:eastAsia="arial" w:hAnsi="arial" w:cs="arial"/>
          <w:sz w:val="20"/>
          <w:lang w:val="en-US" w:eastAsia="en-US" w:bidi="ar-SA"/>
        </w:rPr>
        <w:cr/>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Canada, the legal response to the person who has obtained a benefit unjustly, has been to develop remedies through the law of restitution. The modern law of restitution provides various monetary and proprietary remedies for both unearned windfalls and for wrongful acquisitions of property and profits. What animates the law of restitution and what appeared to compel the motion judge toward certification is the principle against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xml:space="preserve">  This has led to an extension of the law of restitution by the identification of the constructive trust as a remedy for unjust enrichment. The learned judge cites the Supreme Court of Canada's decision in </w:t>
      </w:r>
      <w:r>
        <w:rPr>
          <w:rFonts w:ascii="arial" w:eastAsia="arial" w:hAnsi="arial" w:cs="arial"/>
          <w:i/>
          <w:color w:val="000000"/>
          <w:sz w:val="20"/>
          <w:lang w:val="en-US" w:eastAsia="en-US" w:bidi="ar-SA"/>
        </w:rPr>
        <w:t>Pettkus v. Becker</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[1980] 2 S.C.R. 834</w:t>
        </w:r>
      </w:hyperlink>
      <w:r>
        <w:rPr>
          <w:rFonts w:ascii="arial" w:eastAsia="arial" w:hAnsi="arial" w:cs="arial"/>
          <w:color w:val="000000"/>
          <w:sz w:val="20"/>
          <w:lang w:val="en-US" w:eastAsia="en-US" w:bidi="ar-SA"/>
        </w:rPr>
        <w:t xml:space="preserve">. Justice Epstein then identifies the more recent extension of the constructive trust remedy in </w:t>
      </w:r>
      <w:r>
        <w:rPr>
          <w:rFonts w:ascii="arial" w:eastAsia="arial" w:hAnsi="arial" w:cs="arial"/>
          <w:i/>
          <w:color w:val="000000"/>
          <w:sz w:val="20"/>
          <w:lang w:val="en-US" w:eastAsia="en-US" w:bidi="ar-SA"/>
        </w:rPr>
        <w:t>Soulos v. Korkastzilas</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[1997] 2 S.C.R. 217</w:t>
        </w:r>
      </w:hyperlink>
      <w:r>
        <w:rPr>
          <w:rFonts w:ascii="arial" w:eastAsia="arial" w:hAnsi="arial" w:cs="arial"/>
          <w:color w:val="000000"/>
          <w:sz w:val="20"/>
          <w:lang w:val="en-US" w:eastAsia="en-US" w:bidi="ar-SA"/>
        </w:rPr>
        <w:t xml:space="preserve"> (at para. 81):</w:t>
      </w:r>
      <w:r>
        <w:rPr>
          <w:rFonts w:ascii="arial" w:eastAsia="arial" w:hAnsi="arial" w:cs="arial"/>
          <w:sz w:val="20"/>
          <w:lang w:val="en-US" w:eastAsia="en-US" w:bidi="ar-SA"/>
        </w:rPr>
        <w:cr/>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opening words of her judgment, McLachlin, J. (as she then was) said "this case stands for the proposition that a constructive trust over property may be imposed in the absence of enrichment of the defendant and corresponding deprivation of the plaintiff" (para. 1). Under the broad umbrella of the concept of good conscience, constructive trusts are recognized both to remedy unjust enrichment and corresponding deprivation, as well as to address wrongful acts like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xml:space="preserve">  As noted above, with the decision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the pleading at bar to the extent that it seeks the remedy of a constructive trust for the alleged unjust enrichment of the defendants, cannot be sustained. As explained by Justice Rothstein, </w:t>
      </w:r>
      <w:r>
        <w:rPr>
          <w:rFonts w:ascii="arial" w:eastAsia="arial" w:hAnsi="arial" w:cs="arial"/>
          <w:i/>
          <w:color w:val="000000"/>
          <w:sz w:val="20"/>
          <w:lang w:val="en-US" w:eastAsia="en-US" w:bidi="ar-SA"/>
        </w:rPr>
        <w:t>Kerr v. Baranow</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2011 SCC 10</w:t>
        </w:r>
      </w:hyperlink>
      <w:r>
        <w:rPr>
          <w:rFonts w:ascii="arial" w:eastAsia="arial" w:hAnsi="arial" w:cs="arial"/>
          <w:color w:val="000000"/>
          <w:sz w:val="20"/>
          <w:lang w:val="en-US" w:eastAsia="en-US" w:bidi="ar-SA"/>
        </w:rPr>
        <w:t xml:space="preserve">, is the controlling authority and it holds that in order to find that a constructive trust is made out, the plaintiff must be able to point to a link or causal connection between his or her contribution and the acquisition of specific property (at para. 91 of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91 </w:t>
      </w:r>
      <w:r>
        <w:rPr>
          <w:rFonts w:ascii="arial" w:eastAsia="arial" w:hAnsi="arial" w:cs="arial"/>
          <w:i/>
          <w:color w:val="000000"/>
          <w:sz w:val="20"/>
          <w:lang w:val="en-US" w:eastAsia="en-US" w:bidi="ar-SA"/>
        </w:rPr>
        <w:t>Kerr v. Baranow</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2011 SCC 10</w:t>
        </w:r>
      </w:hyperlink>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[2011] 1 S.C.R. 269</w:t>
        </w:r>
      </w:hyperlink>
      <w:r>
        <w:rPr>
          <w:rFonts w:ascii="arial" w:eastAsia="arial" w:hAnsi="arial" w:cs="arial"/>
          <w:color w:val="000000"/>
          <w:sz w:val="20"/>
          <w:lang w:val="en-US" w:eastAsia="en-US" w:bidi="ar-SA"/>
        </w:rPr>
        <w:t xml:space="preserve">, is the relevant controlling authority on constructive trusts. In </w:t>
      </w:r>
      <w:r>
        <w:rPr>
          <w:rFonts w:ascii="arial" w:eastAsia="arial" w:hAnsi="arial" w:cs="arial"/>
          <w:i/>
          <w:color w:val="000000"/>
          <w:sz w:val="20"/>
          <w:lang w:val="en-US" w:eastAsia="en-US" w:bidi="ar-SA"/>
        </w:rPr>
        <w:t>Kerr</w:t>
      </w:r>
      <w:r>
        <w:rPr>
          <w:rFonts w:ascii="arial" w:eastAsia="arial" w:hAnsi="arial" w:cs="arial"/>
          <w:color w:val="000000"/>
          <w:sz w:val="20"/>
          <w:lang w:val="en-US" w:eastAsia="en-US" w:bidi="ar-SA"/>
        </w:rPr>
        <w:t>, Justice Cromwell explains that in order to find that a constructive trust is made out, the plaintiff must be able to point to a link or causal connection between his or her contribution and the acquisition of specific property: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constructive trust is a broad and flexible equitable tool used to determine beneficial entitlement to property (</w:t>
      </w:r>
      <w:r>
        <w:rPr>
          <w:rFonts w:ascii="arial" w:eastAsia="arial" w:hAnsi="arial" w:cs="arial"/>
          <w:i/>
          <w:color w:val="000000"/>
          <w:sz w:val="20"/>
          <w:lang w:val="en-US" w:eastAsia="en-US" w:bidi="ar-SA"/>
        </w:rPr>
        <w:t>Pettkus</w:t>
      </w:r>
      <w:r>
        <w:rPr>
          <w:rFonts w:ascii="arial" w:eastAsia="arial" w:hAnsi="arial" w:cs="arial"/>
          <w:color w:val="000000"/>
          <w:sz w:val="20"/>
          <w:lang w:val="en-US" w:eastAsia="en-US" w:bidi="ar-SA"/>
        </w:rPr>
        <w:t>, at pp. 843-44 and 847-48). Where the plaintiff can demonstrate a link or causal connection between his or her contributions and the acquisition, preservation, maintenance or improvement of the disputed property, a share of the property proportionate to the unjust enrichment can be impressed with a constructive trust in his or her favour (</w:t>
      </w:r>
      <w:r>
        <w:rPr>
          <w:rFonts w:ascii="arial" w:eastAsia="arial" w:hAnsi="arial" w:cs="arial"/>
          <w:i/>
          <w:color w:val="000000"/>
          <w:sz w:val="20"/>
          <w:lang w:val="en-US" w:eastAsia="en-US" w:bidi="ar-SA"/>
        </w:rPr>
        <w:t>Pettkus</w:t>
      </w:r>
      <w:r>
        <w:rPr>
          <w:rFonts w:ascii="arial" w:eastAsia="arial" w:hAnsi="arial" w:cs="arial"/>
          <w:color w:val="000000"/>
          <w:sz w:val="20"/>
          <w:lang w:val="en-US" w:eastAsia="en-US" w:bidi="ar-SA"/>
        </w:rPr>
        <w:t xml:space="preserve">, at pp. 852-53; </w:t>
      </w:r>
      <w:r>
        <w:rPr>
          <w:rFonts w:ascii="arial" w:eastAsia="arial" w:hAnsi="arial" w:cs="arial"/>
          <w:i/>
          <w:color w:val="000000"/>
          <w:sz w:val="20"/>
          <w:lang w:val="en-US" w:eastAsia="en-US" w:bidi="ar-SA"/>
        </w:rPr>
        <w:t>Sorochan</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[1986] 2 S.C.R. 38</w:t>
        </w:r>
      </w:hyperlink>
      <w:r>
        <w:rPr>
          <w:rFonts w:ascii="arial" w:eastAsia="arial" w:hAnsi="arial" w:cs="arial"/>
          <w:color w:val="000000"/>
          <w:sz w:val="20"/>
          <w:lang w:val="en-US" w:eastAsia="en-US" w:bidi="ar-SA"/>
        </w:rPr>
        <w:t>, at p.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xml:space="preserve">  Justice Epstein in </w:t>
      </w:r>
      <w:r>
        <w:rPr>
          <w:rFonts w:ascii="arial" w:eastAsia="arial" w:hAnsi="arial" w:cs="arial"/>
          <w:i/>
          <w:color w:val="000000"/>
          <w:sz w:val="20"/>
          <w:lang w:val="en-US" w:eastAsia="en-US" w:bidi="ar-SA"/>
        </w:rPr>
        <w:t>Serhan</w:t>
      </w:r>
      <w:r>
        <w:rPr>
          <w:rFonts w:ascii="arial" w:eastAsia="arial" w:hAnsi="arial" w:cs="arial"/>
          <w:color w:val="000000"/>
          <w:sz w:val="20"/>
          <w:lang w:val="en-US" w:eastAsia="en-US" w:bidi="ar-SA"/>
        </w:rPr>
        <w:t xml:space="preserve"> identifies an alternative to the remedy of constructive trust, the remedy of an accounting and disgorgement based on waiver of tort (at para. 111):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[111] Drawing upon the work of earlier scholars, McCamus specifies two distinct types of benefits that the law of restitution seeks to have removed from the defendant and placed in the hands of the plaintiff: (1) benefits received by the defendant directly by the plaintiff (enrichment by subtraction), and (2) benefits acquired by the defendant through wrongful conduct (enrichment by wrong). It is the latter category of benefits that may be subject to disgorgement. In The Law of Restitution, supra, the learned authors refer to relief in the "disgorgement" measure as being "increasingly" used to describe "a form of relief that requires the defendant to hand over to the plaintiff the benefits acquired through wrongful conduct, whether or not the benefit has been acquired from the plaintiff in the subtraction sense". For McCamus, the remedy of disgorgement responds to a type of unjust enrichment; the finding of an underlying tortious conduct "provides the explanation for the wrongfulness of the defendant's conduct and...the reason why the enrichment is unjust". Other writers have subscribed to this 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In addition to the constructive trust claim, it appears to me that the plaintiff has endeavoured to plead the remedy of an accounting and disgorgement. However, the pleadings in paras. 65-69 of the Amended Claim could be significantly clearer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The attraction of these remedies from the plaintiff's perspective is that they focus on the defendants' gains as distinct from the harm or damages suffered by the plaintiff and the proposed classes. And the added attraction of the disgorgement remedy is that it requires the defendants to hand over to the plaintiff the benefits acquired through wrongful conduct whether or not the benefit has been acquired from the plaintiff in the "subtraction sense". But even in the case of the cause of action in unjust enrichment where the plaintiff, having demonstrated the defendants' wrongful gain, must also demonstrate her corresponding depravation, it is her initial depravation, the direct or indirect payment of the supra-competitive price (here, the Merchant Discount Fees engorged by fixed Interchange Fees), not her ultimate tort loss that defines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In my view, Dr. Brander's methodologies offer a very plausible prospect of establishing the defendants' unlawful gains on a class-wide basis and, thus, the clams in waiver of tort and unjust enrichment. The defendants' objections on the basis of the network effects are irrelevant for these claims. In addition to considering the need for minor (or technical) amendments to the Amended Claim to capture all aspects of the potential remedies addressing the waiver of tort and unjust enrichment claims, the plaintiff does not appear to clearly state the accounting and disgorgement remedy as a common issue separately from the constructive trust issue and this should be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In closing on the issue of proving class-wide loss on a common basis (I will use "loss" as an alternative to "harm" or "net overcharge" to include the claims pursued in restitution), I note again the defendants constant refrain that commonality is completely lacking here; that the network effects of the two-sided market and the prospect of "winners and losers" makes the analysis hopelessly individualized. The argument essentially breaks down to one that suggests either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may have illegally inflated Default Interchange Fees, but the benefits you, the merchants, receive in the two-sided market in the result are to your advantage.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may have done wrong but it is impossible for you to prove the net result on a common basis and accordingly, we are immune from class action scrutiny.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To the extent that the plaintiff can make out her case, such a plea is cynical and frustrating.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xml:space="preserve">  I echo Justice Epstein's conclusion in </w:t>
      </w:r>
      <w:r>
        <w:rPr>
          <w:rFonts w:ascii="arial" w:eastAsia="arial" w:hAnsi="arial" w:cs="arial"/>
          <w:i/>
          <w:color w:val="000000"/>
          <w:sz w:val="20"/>
          <w:lang w:val="en-US" w:eastAsia="en-US" w:bidi="ar-SA"/>
        </w:rPr>
        <w:t>Serhan</w:t>
      </w:r>
      <w:r>
        <w:rPr>
          <w:rFonts w:ascii="arial" w:eastAsia="arial" w:hAnsi="arial" w:cs="arial"/>
          <w:color w:val="000000"/>
          <w:sz w:val="20"/>
          <w:lang w:val="en-US" w:eastAsia="en-US" w:bidi="ar-SA"/>
        </w:rPr>
        <w:t xml:space="preserve"> (at paras. 146-147):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[146] In (</w:t>
      </w:r>
      <w:r>
        <w:rPr>
          <w:rFonts w:ascii="arial" w:eastAsia="arial" w:hAnsi="arial" w:cs="arial"/>
          <w:i/>
          <w:color w:val="000000"/>
          <w:sz w:val="20"/>
          <w:lang w:val="en-US" w:eastAsia="en-US" w:bidi="ar-SA"/>
        </w:rPr>
        <w:t>Fibrosa Spolka Akcyjna v. Fairbairn Lawson Combe Barbour, Ltd</w:t>
      </w:r>
      <w:r>
        <w:rPr>
          <w:rFonts w:ascii="arial" w:eastAsia="arial" w:hAnsi="arial" w:cs="arial"/>
          <w:color w:val="000000"/>
          <w:sz w:val="20"/>
          <w:lang w:val="en-US" w:eastAsia="en-US" w:bidi="ar-SA"/>
        </w:rPr>
        <w:t xml:space="preserve">.), [1943] A.C. 32 (H.L.), at p. 61, Lord Wright said "any civilized system of law is bound to provide remedies for cases of what has been called unjust enrichment or unjust benefit, that is to prevent a man from retaining the money of or some benefit derived from another which it is against conscience that he should keep". Over half a century later, in </w:t>
      </w:r>
      <w:r>
        <w:rPr>
          <w:rFonts w:ascii="arial" w:eastAsia="arial" w:hAnsi="arial" w:cs="arial"/>
          <w:i/>
          <w:color w:val="000000"/>
          <w:sz w:val="20"/>
          <w:lang w:val="en-US" w:eastAsia="en-US" w:bidi="ar-SA"/>
        </w:rPr>
        <w:t>Peel (Regional Municipality) v. Canada,</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[1992] 3 S.C.R. 762</w:t>
        </w:r>
      </w:hyperlink>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[1992] S.C.J. No. 101</w:t>
        </w:r>
      </w:hyperlink>
      <w:r>
        <w:rPr>
          <w:rFonts w:ascii="arial" w:eastAsia="arial" w:hAnsi="arial" w:cs="arial"/>
          <w:color w:val="000000"/>
          <w:sz w:val="20"/>
          <w:lang w:val="en-US" w:eastAsia="en-US" w:bidi="ar-SA"/>
        </w:rPr>
        <w:t xml:space="preserve">, McLachlin J. (as she then was) said, at para. 42, "The tri-partite principle of general application which this Court has recognized as the basis of the cause of action for unjust enrichment is thus seen to have grown out of the traditional categories of recovery. It is informed by them. It is capable, however, of going beyond them, allowing the law to develop in a flexible way as required to meet changing perceptions of justice." The suggestion is that like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categories of restitution may never be closed.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[147] And then came </w:t>
      </w:r>
      <w:r>
        <w:rPr>
          <w:rFonts w:ascii="arial" w:eastAsia="arial" w:hAnsi="arial" w:cs="arial"/>
          <w:i/>
          <w:color w:val="000000"/>
          <w:sz w:val="20"/>
          <w:lang w:val="en-US" w:eastAsia="en-US" w:bidi="ar-SA"/>
        </w:rPr>
        <w:t>Soulos</w:t>
      </w:r>
      <w:r>
        <w:rPr>
          <w:rFonts w:ascii="arial" w:eastAsia="arial" w:hAnsi="arial" w:cs="arial"/>
          <w:color w:val="000000"/>
          <w:sz w:val="20"/>
          <w:lang w:val="en-US" w:eastAsia="en-US" w:bidi="ar-SA"/>
        </w:rPr>
        <w:t xml:space="preserve"> and Carthy J.A.'s pronouncement in the Court of Appeal </w:t>
      </w:r>
      <w:hyperlink r:id="rId172" w:history="1">
        <w:r>
          <w:rPr>
            <w:rFonts w:ascii="arial" w:eastAsia="arial" w:hAnsi="arial" w:cs="arial"/>
            <w:i/>
            <w:color w:val="0077CC"/>
            <w:sz w:val="20"/>
            <w:u w:val="single"/>
            <w:shd w:val="clear" w:color="auto" w:fill="FFFFFF"/>
            <w:lang w:val="en-US" w:eastAsia="en-US" w:bidi="ar-SA"/>
          </w:rPr>
          <w:t>(1995), 25 O.R. (3d) 257</w:t>
        </w:r>
      </w:hyperlink>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[1995] O.J. No. 2488</w:t>
        </w:r>
      </w:hyperlink>
      <w:r>
        <w:rPr>
          <w:rFonts w:ascii="arial" w:eastAsia="arial" w:hAnsi="arial" w:cs="arial"/>
          <w:color w:val="000000"/>
          <w:sz w:val="20"/>
          <w:lang w:val="en-US" w:eastAsia="en-US" w:bidi="ar-SA"/>
        </w:rPr>
        <w:t>, at p. 261 O.R., that "it is the moral quality of the defendant's conduct that forms the fundamental reason for the court's intervention" and that equity will "intervene with a proprietary remedy to sustain the integrity of the laws which it supervises". These words were substantially adopted by the majority of the Supreme Court at paras. 14-15 of McLachlin J.'s judgment, which held that the constructive trust may apply even without an established loss to condemn wrongful conduct and maintain the integrity of equitable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On this point I also want to offer some further comments on the legal implications of two-sided markets and network effects. I have concluded that Dr. Brander's methods, especially the benchmark method, offer a reasonable prospect of success in quantifying the network effects in the credit card industry and establishing any resulting net harm from a strict economic perspective, as the defendants submit is necessary. However, given the novelty of two-sided markets in Canadian jurisprudence, I am not convinced that Dr. Brander or the plaintiff should be required to account for those network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The "pass on" defence has been definitively rejected in part because it is absurdly difficult to determine the ultimate location of the harm caused by any overcharge that might have been passed on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at para. 23 citing </w:t>
      </w:r>
      <w:r>
        <w:rPr>
          <w:rFonts w:ascii="arial" w:eastAsia="arial" w:hAnsi="arial" w:cs="arial"/>
          <w:i/>
          <w:color w:val="000000"/>
          <w:sz w:val="20"/>
          <w:lang w:val="en-US" w:eastAsia="en-US" w:bidi="ar-SA"/>
        </w:rPr>
        <w:t>Kingstreet Investments Ltd. v. New Brunswick (Finance)</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2007 SCC 1</w:t>
        </w:r>
      </w:hyperlink>
      <w:r>
        <w:rPr>
          <w:rFonts w:ascii="arial" w:eastAsia="arial" w:hAnsi="arial" w:cs="arial"/>
          <w:color w:val="000000"/>
          <w:sz w:val="20"/>
          <w:lang w:val="en-US" w:eastAsia="en-US" w:bidi="ar-SA"/>
        </w:rPr>
        <w:t xml:space="preserve"> at paras. 44 and 48). Similarly, in </w:t>
      </w:r>
      <w:r>
        <w:rPr>
          <w:rFonts w:ascii="arial" w:eastAsia="arial" w:hAnsi="arial" w:cs="arial"/>
          <w:i/>
          <w:color w:val="000000"/>
          <w:sz w:val="20"/>
          <w:lang w:val="en-US" w:eastAsia="en-US" w:bidi="ar-SA"/>
        </w:rPr>
        <w:t>British Columbia v. Canadian Forest Products Ltd.</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2004 SCC 38</w:t>
        </w:r>
      </w:hyperlink>
      <w:r>
        <w:rPr>
          <w:rFonts w:ascii="arial" w:eastAsia="arial" w:hAnsi="arial" w:cs="arial"/>
          <w:color w:val="000000"/>
          <w:sz w:val="20"/>
          <w:lang w:val="en-US" w:eastAsia="en-US" w:bidi="ar-SA"/>
        </w:rPr>
        <w:t xml:space="preserve">, Justice Binnie held that recognizing the "pass on" defence would require the Court to engage in the endless and futile exercise of following every transaction to its ultimate result (at para. 111, citing </w:t>
      </w:r>
      <w:r>
        <w:rPr>
          <w:rFonts w:ascii="arial" w:eastAsia="arial" w:hAnsi="arial" w:cs="arial"/>
          <w:i/>
          <w:color w:val="000000"/>
          <w:sz w:val="20"/>
          <w:lang w:val="en-US" w:eastAsia="en-US" w:bidi="ar-SA"/>
        </w:rPr>
        <w:t>Southern Pacific Co. v. Darnell-Taenzer Lumber Co.</w:t>
      </w:r>
      <w:r>
        <w:rPr>
          <w:rFonts w:ascii="arial" w:eastAsia="arial" w:hAnsi="arial" w:cs="arial"/>
          <w:color w:val="000000"/>
          <w:sz w:val="20"/>
          <w:lang w:val="en-US" w:eastAsia="en-US" w:bidi="ar-SA"/>
        </w:rPr>
        <w:t xml:space="preserve">, 245 U.S. 531 (1918) at 534). The trial in this case, or in any case involving two-sided markets, may reveal similar difficulties in proving net harm caused by an overcharge subject to network effects. In that event the law may respond as in </w:t>
      </w:r>
      <w:r>
        <w:rPr>
          <w:rFonts w:ascii="arial" w:eastAsia="arial" w:hAnsi="arial" w:cs="arial"/>
          <w:i/>
          <w:color w:val="000000"/>
          <w:sz w:val="20"/>
          <w:lang w:val="en-US" w:eastAsia="en-US" w:bidi="ar-SA"/>
        </w:rPr>
        <w:t>Fibrosa Spolka Akcyjna v. Fairbairn Lawson Combe Barbour, Ltd.</w:t>
      </w:r>
      <w:r>
        <w:rPr>
          <w:rFonts w:ascii="arial" w:eastAsia="arial" w:hAnsi="arial" w:cs="arial"/>
          <w:color w:val="000000"/>
          <w:sz w:val="20"/>
          <w:lang w:val="en-US" w:eastAsia="en-US" w:bidi="ar-SA"/>
        </w:rPr>
        <w:t xml:space="preserve"> [1943] A.C. 32 "to prevent a man from retaining the money of or some benefit derived from another which it is against conscience that he should keep" (at 61). This may prompt the court, for the same policy reasons that prompted the denial of the pass on defence, to deny defendants an offset for alleged benefits to plaintiffs by way of network effects. Or it may prompt that court to shift the burden of proving such offsets to the defendants, as at least one academic writer in the United States has suggested: Daniel M. Tracer, "Overcharge But Don't Overestimate: Calculating Damages for Antitrust Injuries in Two-Sided Markets" (2011) 33:2 Cardozo L. Rev. 807.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Nothing I say here about the difficulties the plaintiff may face in proving her (and the classes') losses in tort should be taken to discourage the ingenuity of counsel in this novel and evolving area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Section 4(1)(d) and Section 4(2)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xml:space="preserve">  I will turn first to each s. 4(2) factor. The defendants prefer a two-part analysis considering absolute and relative preferability. While grounded in the decision in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this approach appears to be more applicable in Ontario where there is no equivalent to s. 4(2)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Accordingly, I prefer to review the relevant factors individually: </w:t>
      </w:r>
      <w:r>
        <w:rPr>
          <w:rFonts w:ascii="arial" w:eastAsia="arial" w:hAnsi="arial" w:cs="arial"/>
          <w:i/>
          <w:color w:val="000000"/>
          <w:sz w:val="20"/>
          <w:lang w:val="en-US" w:eastAsia="en-US" w:bidi="ar-SA"/>
        </w:rPr>
        <w:t>Rumley</w:t>
      </w:r>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I will do so against the backdrop of the defendants' two essential submissions on the preferability requirement. First, the defendants say that even if the action involves some certifiable common issues (Defendants' Joint Submissions at para. 396):</w:t>
      </w:r>
      <w:r>
        <w:rPr>
          <w:rFonts w:ascii="arial" w:eastAsia="arial" w:hAnsi="arial" w:cs="arial"/>
          <w:sz w:val="20"/>
          <w:lang w:val="en-US" w:eastAsia="en-US" w:bidi="ar-SA"/>
        </w:rPr>
        <w:cr/>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remaining highly individualized issues will inevitably overwhelm this litigation. This class action will collapse into a plethora of complex individual trials on many critical issues including (amongst others) the fact and extent of any alleged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Second, the defendants strongly assert that other avenues for addressing their alleged misconduct exist and that these totally skew the analysis against the preferability of a class proceeding (at paras. 397 and 398):</w:t>
      </w:r>
      <w:r>
        <w:rPr>
          <w:rFonts w:ascii="arial" w:eastAsia="arial" w:hAnsi="arial" w:cs="arial"/>
          <w:sz w:val="20"/>
          <w:lang w:val="en-US" w:eastAsia="en-US" w:bidi="ar-SA"/>
        </w:rPr>
        <w:cr/>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Moreover, the proposed class action is not the preferable procedure when compared to other available avenues for addressing the forward-looking aspects of her claim. Contrary to the plaintiff's assertion, the defendants' evidence shows that other procedures are better suited to respond to her complaints, including:</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governmental regulatory oversight and review processes, such as those leading up to the Federal Government's Code of Conduct; and</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specialized competition proceedings, such as those launched by the Commissioner of Competition in December 2010 and [referred to earlier in these reasons].</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options - in which many class members have, in fact, participated - are substantially preferable to court proceedings because they are better equipped to address the polycentric issues raised by the Amended Claim. The preferability of regulatory mechanisms is amplified because at least some class members will actually be </w:t>
      </w:r>
      <w:r>
        <w:rPr>
          <w:rFonts w:ascii="arial" w:eastAsia="arial" w:hAnsi="arial" w:cs="arial"/>
          <w:i/>
          <w:color w:val="000000"/>
          <w:sz w:val="20"/>
          <w:lang w:val="en-US" w:eastAsia="en-US" w:bidi="ar-SA"/>
        </w:rPr>
        <w:t>harmed</w:t>
      </w:r>
      <w:r>
        <w:rPr>
          <w:rFonts w:ascii="arial" w:eastAsia="arial" w:hAnsi="arial" w:cs="arial"/>
          <w:color w:val="000000"/>
          <w:sz w:val="20"/>
          <w:lang w:val="en-US" w:eastAsia="en-US" w:bidi="ar-SA"/>
        </w:rPr>
        <w:t xml:space="preserve"> by the forward-looking injunctive relief claimed by the plaintiff. A class proceeding cannot possibly be preferable in these circumstances. Unlike the available regulatory mechanisms, class actions are not designed to separate winners from losers among class members.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882"/>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Section 4(2) Factors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Section 4(2)(a) provides:</w:t>
      </w:r>
      <w:r>
        <w:rPr>
          <w:rFonts w:ascii="arial" w:eastAsia="arial" w:hAnsi="arial" w:cs="arial"/>
          <w:sz w:val="20"/>
          <w:lang w:val="en-US" w:eastAsia="en-US" w:bidi="ar-SA"/>
        </w:rPr>
        <w:cr/>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class proceeding would be the preferable procedure for the fair and efficient resolution of the common issues, the court must consider all relevant matters including the following:</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The common issues which I have identified clearly go to the heart of the major issues in this case, namely, the fact and form of any anti-competitive behaviour, the existence of two distinct conspiracies in that regard, the harm or loss to the proposed class members, and the remedies available to them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xml:space="preserve">  In my view, contrary to the defendants' submissions, the common issues overwhelm the potential individual issues. While some of those individual issues may be challenging (although not overly so, according to Dr. Brander's evidence), I note our Court of Appeal's statement in </w:t>
      </w:r>
      <w:r>
        <w:rPr>
          <w:rFonts w:ascii="arial" w:eastAsia="arial" w:hAnsi="arial" w:cs="arial"/>
          <w:i/>
          <w:color w:val="000000"/>
          <w:sz w:val="20"/>
          <w:lang w:val="en-US" w:eastAsia="en-US" w:bidi="ar-SA"/>
        </w:rPr>
        <w:t>Infineon</w:t>
      </w:r>
      <w:r>
        <w:rPr>
          <w:rFonts w:ascii="arial" w:eastAsia="arial" w:hAnsi="arial" w:cs="arial"/>
          <w:color w:val="000000"/>
          <w:sz w:val="20"/>
          <w:lang w:val="en-US" w:eastAsia="en-US" w:bidi="ar-SA"/>
        </w:rPr>
        <w:t xml:space="preserve"> (at para. 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[76] I do not minimize the potential difficulties of proof arising out of the complexities involved in the marketing and distribution of DRAM. However,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is a powerful procedural statute. It gives the case management judge flexible tools to deal with such complexities and if, despite this flexibility, it should turn out that a common issues trial is unmanageable, it gives the judge the power to decertify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The defendants, at paragraph 409 of their Joint Submissions, continue their submission that this proceeding is beset by highly individualized issues:</w:t>
      </w:r>
      <w:r>
        <w:rPr>
          <w:rFonts w:ascii="arial" w:eastAsia="arial" w:hAnsi="arial" w:cs="arial"/>
          <w:sz w:val="20"/>
          <w:lang w:val="en-US" w:eastAsia="en-US" w:bidi="ar-SA"/>
        </w:rPr>
        <w:cr/>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...Certifying this case would require the court to assess the highly idiosyncratic circumstance of </w:t>
      </w:r>
      <w:r>
        <w:rPr>
          <w:rFonts w:ascii="arial" w:eastAsia="arial" w:hAnsi="arial" w:cs="arial"/>
          <w:i/>
          <w:color w:val="000000"/>
          <w:sz w:val="20"/>
          <w:lang w:val="en-US" w:eastAsia="en-US" w:bidi="ar-SA"/>
        </w:rPr>
        <w:t>hundreds of thousands</w:t>
      </w:r>
      <w:r>
        <w:rPr>
          <w:rFonts w:ascii="arial" w:eastAsia="arial" w:hAnsi="arial" w:cs="arial"/>
          <w:color w:val="000000"/>
          <w:sz w:val="20"/>
          <w:lang w:val="en-US" w:eastAsia="en-US" w:bidi="ar-SA"/>
        </w:rPr>
        <w:t xml:space="preserve"> of merchants who accepted credit cards over a ten-year period to determine whether any of them were harmed, and if so, to what extent...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The defendants then set out at length some 18 issues that they say must be resolved in respect of "each and every merchant class member throughout the Class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These issues largely center on individualized harm enquiries. For the reasons set out above, I have accepted that there is a realistic prospect of resolving the loss-related issues on a class-wide basis as common issues. In my view, in light of these conclusions, the force of the defendants' submissions here, very much falls away. And that is strikingly so with respect to loss and the restitutionary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Section 4(2)(b) provides:</w:t>
      </w:r>
      <w:r>
        <w:rPr>
          <w:rFonts w:ascii="arial" w:eastAsia="arial" w:hAnsi="arial" w:cs="arial"/>
          <w:sz w:val="20"/>
          <w:lang w:val="en-US" w:eastAsia="en-US" w:bidi="ar-SA"/>
        </w:rPr>
        <w:cr/>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class proceeding would be the preferable procedure for the fair and efficient resolution of the common issues, the court must consider all relevant matters including the following:</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xml:space="preserve">  There is no direct evidence that potential class members have a valid interest in controlling the prosecution of separate actions. It could be inferred that some merchants, who prefer the current system and who might be losers in the absence of the alleged collusion would prefer that the action not proceed, but this is different than wanting to prosecute a separate action. Moreover, as the Court said in </w:t>
      </w:r>
      <w:r>
        <w:rPr>
          <w:rFonts w:ascii="arial" w:eastAsia="arial" w:hAnsi="arial" w:cs="arial"/>
          <w:i/>
          <w:color w:val="000000"/>
          <w:sz w:val="20"/>
          <w:lang w:val="en-US" w:eastAsia="en-US" w:bidi="ar-SA"/>
        </w:rPr>
        <w:t>Markson v. MBNA Canada Bank</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2007 ONCA 334</w:t>
        </w:r>
      </w:hyperlink>
      <w:r>
        <w:rPr>
          <w:rFonts w:ascii="arial" w:eastAsia="arial" w:hAnsi="arial" w:cs="arial"/>
          <w:color w:val="000000"/>
          <w:sz w:val="20"/>
          <w:lang w:val="en-US" w:eastAsia="en-US" w:bidi="ar-SA"/>
        </w:rPr>
        <w:t xml:space="preserve"> (at para. 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[75] ...It may be that some customers of the defendant would prefer that it continue to have the right to break the criminal law (if it is doing so), in order to offer its customers some added advantages. In this sense, allowing the plaintiff to pursue a class proceeding may be seen as unfair to some of the customers. In an organized society however, I do not see this as the kind of fairness concern that should prevent a court from intervening. Rather, the concern should be whether the defendant is acting in accordance with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I note again the evidence of the Retail Council of Canada. In my view, a consideration of this factor favours the preferability of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Section 4(2)(c) provides:</w:t>
      </w:r>
      <w:r>
        <w:rPr>
          <w:rFonts w:ascii="arial" w:eastAsia="arial" w:hAnsi="arial" w:cs="arial"/>
          <w:sz w:val="20"/>
          <w:lang w:val="en-US" w:eastAsia="en-US" w:bidi="ar-SA"/>
        </w:rPr>
        <w:cr/>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class proceeding would be the preferable procedure for the fair and efficient resolution of the common issues, the court must consider all relevant matters including the following:</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Apart from proceedings in other provinces similar to this proceeding and prosecuted by the same counsel, there appears to be only one other proceeding extant in Canada, that is in Alberta, brought by the Merchant Law Group. It has been stayed by Associate Chief Justice Rooke pending the decision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The defendants submit that some proposed class members will be forced to submit their claims to arbitration pursuant to dispute resolution provisions in their contracts with Acquirers.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There is limited evidence before the Court on the extent of such clauses, and in the absence of a stay application I conclude that this factor still favours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Section 4(2)(d) provides:</w:t>
      </w:r>
      <w:r>
        <w:rPr>
          <w:rFonts w:ascii="arial" w:eastAsia="arial" w:hAnsi="arial" w:cs="arial"/>
          <w:sz w:val="20"/>
          <w:lang w:val="en-US" w:eastAsia="en-US" w:bidi="ar-SA"/>
        </w:rPr>
        <w:cr/>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class proceeding would be the preferable procedure for the fair and efficient resolution of the common issues, the court must consider all relevant matters including the following:</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The plaintiff submits that the only alternative to a class proceeding is individual litigation, which would be cost-prohibitive. The defendants argue that Competition Tribunal proceedings and government regulation offer preferable approaches given the significant policy issues that would arise from a dramatic change in the credit card industry. The plaintiff objects to these approaches as they are unlikely to result in an award of damages to the class even if they offer prospective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Tribunal Decision</w:t>
      </w:r>
      <w:r>
        <w:rPr>
          <w:rFonts w:ascii="arial" w:eastAsia="arial" w:hAnsi="arial" w:cs="arial"/>
          <w:color w:val="000000"/>
          <w:sz w:val="20"/>
          <w:lang w:val="en-US" w:eastAsia="en-US" w:bidi="ar-SA"/>
        </w:rPr>
        <w:t xml:space="preserve"> endorsed federal regulation (at paras. 393-401), but the Tribunal was considering whether to award a discretionary remedy. As the plaintiff points out, the primary remedies sought by the class are non-discretionary damages awards flowing from breaches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that would be awarded in the event of a successful claim by the plaintiff, regardless of whether or not she is representing a class at the time. It is not open to the Court to refuse to grant a remedy that flows from an illegal conspiracy because it would lead to the potential for subsequent economic harm to cardholders via excessive surcharging. If such a situation comes to pass, it would be up to Parliament to address it, but it does not follow that government regulation offers a more practical or efficient venue for the resolution of these </w:t>
      </w:r>
      <w:r>
        <w:rPr>
          <w:rFonts w:ascii="arial" w:eastAsia="arial" w:hAnsi="arial" w:cs="arial"/>
          <w:i/>
          <w:color w:val="000000"/>
          <w:sz w:val="20"/>
          <w:lang w:val="en-US" w:eastAsia="en-US" w:bidi="ar-SA"/>
        </w:rPr>
        <w:t>claims</w:t>
      </w:r>
      <w:r>
        <w:rPr>
          <w:rFonts w:ascii="arial" w:eastAsia="arial" w:hAnsi="arial" w:cs="arial"/>
          <w:color w:val="000000"/>
          <w:sz w:val="20"/>
          <w:lang w:val="en-US" w:eastAsia="en-US" w:bidi="ar-SA"/>
        </w:rPr>
        <w:t>. The Commissioner of Competition also announced that he would be pursuing a regulatory solution, an approach apparently endorsed by the Minister of Finance, but this does not affect my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I observe in passing that government's acknowledged ability to comprehensively oversee Visa and MasterCard's default interchange, credit card acceptance fees, and Merchant Rules belies the suggestion that these issues are so individualized in their impacts on merchants that they defy generic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xml:space="preserve">  Once again, however, in my view, the defendants' submission under this head has been overtaken by the Supreme Court of Canada's decision in </w:t>
      </w:r>
      <w:r>
        <w:rPr>
          <w:rFonts w:ascii="arial" w:eastAsia="arial" w:hAnsi="arial" w:cs="arial"/>
          <w:i/>
          <w:color w:val="000000"/>
          <w:sz w:val="20"/>
          <w:lang w:val="en-US" w:eastAsia="en-US" w:bidi="ar-SA"/>
        </w:rPr>
        <w:t>AIC Limited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I note the defendants' submission at paragraph 417 of their Joint Submissions:</w:t>
      </w:r>
      <w:r>
        <w:rPr>
          <w:rFonts w:ascii="arial" w:eastAsia="arial" w:hAnsi="arial" w:cs="arial"/>
          <w:sz w:val="20"/>
          <w:lang w:val="en-US" w:eastAsia="en-US" w:bidi="ar-SA"/>
        </w:rPr>
        <w:cr/>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the Canadian Federal Government has comprehensively overseen - and continues to oversee - Visa and MasterCard's Default Interchange, credit card acceptance fees, and Merchant Rules. Since 2009, several government processes have extensively considered merchants' concerns about the costs of credit card acceptance, including Default Interchange rate and the effects of Visa and MasterCard's respective Honour All Cards and No Surcharge Rules. These processes have included:</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Governmental study and investigations culminating in the Code of Conduct; and</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 study and continued regulatory oversight through the Department of Finance's Payments Task Force and Payments Council and various Senate and Parliamentary committee hearings.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AIC Limited</w:t>
      </w:r>
      <w:r>
        <w:rPr>
          <w:rFonts w:ascii="arial" w:eastAsia="arial" w:hAnsi="arial" w:cs="arial"/>
          <w:color w:val="000000"/>
          <w:sz w:val="20"/>
          <w:lang w:val="en-US" w:eastAsia="en-US" w:bidi="ar-SA"/>
        </w:rPr>
        <w:t>, Justice Cromwell concluded that a class action will serve the goal of access to justice if there are access to justice concerns that a class action could address and these concerns remain when alternative avenues are considered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In pursuing this inquiry, the Court should address a series of questions (at paras. 26-38):</w:t>
      </w:r>
      <w:r>
        <w:rPr>
          <w:rFonts w:ascii="arial" w:eastAsia="arial" w:hAnsi="arial" w:cs="arial"/>
          <w:sz w:val="20"/>
          <w:lang w:val="en-US" w:eastAsia="en-US" w:bidi="ar-SA"/>
        </w:rPr>
        <w:cr/>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barriers to access to justice?</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potential of the class proceeding to address those barriers?</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alternatives to class proceedings?</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what extent do the alternatives address the relevant barriers?</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do the two proceedings compare?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I have already noted the plaintiff's response to questions 1 and 2. In my view, these proceedings clearly address the barriers to access noted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xml:space="preserve">  I have suggested my conclusion on questions 3, 4 and 5. As in </w:t>
      </w:r>
      <w:r>
        <w:rPr>
          <w:rFonts w:ascii="arial" w:eastAsia="arial" w:hAnsi="arial" w:cs="arial"/>
          <w:i/>
          <w:color w:val="000000"/>
          <w:sz w:val="20"/>
          <w:lang w:val="en-US" w:eastAsia="en-US" w:bidi="ar-SA"/>
        </w:rPr>
        <w:t>AIC Limited</w:t>
      </w:r>
      <w:r>
        <w:rPr>
          <w:rFonts w:ascii="arial" w:eastAsia="arial" w:hAnsi="arial" w:cs="arial"/>
          <w:color w:val="000000"/>
          <w:sz w:val="20"/>
          <w:lang w:val="en-US" w:eastAsia="en-US" w:bidi="ar-SA"/>
        </w:rPr>
        <w:t xml:space="preserve">, the plaintiff has pleaded viable causes of action calling for damages among other remedies. Like the Ontario Securities Commission proceedings in </w:t>
      </w:r>
      <w:r>
        <w:rPr>
          <w:rFonts w:ascii="arial" w:eastAsia="arial" w:hAnsi="arial" w:cs="arial"/>
          <w:i/>
          <w:color w:val="000000"/>
          <w:sz w:val="20"/>
          <w:lang w:val="en-US" w:eastAsia="en-US" w:bidi="ar-SA"/>
        </w:rPr>
        <w:t>AIC Limited</w:t>
      </w:r>
      <w:r>
        <w:rPr>
          <w:rFonts w:ascii="arial" w:eastAsia="arial" w:hAnsi="arial" w:cs="arial"/>
          <w:color w:val="000000"/>
          <w:sz w:val="20"/>
          <w:lang w:val="en-US" w:eastAsia="en-US" w:bidi="ar-SA"/>
        </w:rPr>
        <w:t xml:space="preserve">, regulation or Competition Tribunal proceedings will not address the losses which the class members make out in these proceedings. Indeed, in </w:t>
      </w:r>
      <w:r>
        <w:rPr>
          <w:rFonts w:ascii="arial" w:eastAsia="arial" w:hAnsi="arial" w:cs="arial"/>
          <w:i/>
          <w:color w:val="000000"/>
          <w:sz w:val="20"/>
          <w:lang w:val="en-US" w:eastAsia="en-US" w:bidi="ar-SA"/>
        </w:rPr>
        <w:t>AIC Limited</w:t>
      </w:r>
      <w:r>
        <w:rPr>
          <w:rFonts w:ascii="arial" w:eastAsia="arial" w:hAnsi="arial" w:cs="arial"/>
          <w:color w:val="000000"/>
          <w:sz w:val="20"/>
          <w:lang w:val="en-US" w:eastAsia="en-US" w:bidi="ar-SA"/>
        </w:rPr>
        <w:t>, there were OSC approved settlement agreements that paid investors "millions", nevertheless, the Court concluded "that substantive access to justice concerns still remain" (at para.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In the case at bar, the substantive access to justice concerns remain effectively completely unanswered. In my view, the alternative proceeding and regulatory enquiries suggested by the defendants do not offer a comparable alternative. The preferability analysis under this subsection favours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Section 4(2)(e) provides:</w:t>
      </w:r>
      <w:r>
        <w:rPr>
          <w:rFonts w:ascii="arial" w:eastAsia="arial" w:hAnsi="arial" w:cs="arial"/>
          <w:sz w:val="20"/>
          <w:lang w:val="en-US" w:eastAsia="en-US" w:bidi="ar-SA"/>
        </w:rPr>
        <w:cr/>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class proceeding would be the preferable procedure for the fair and efficient resolution of the common issues, the court must consider all relevant matters including the following:</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This factor effectively overlaps with the three goals of class actions, specifically the goal of judicial economy, and I prefer to deal with it in that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1"/>
        <w:gridCol w:w="1755"/>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Three Goals of Class Actions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xml:space="preserve">  In turn, much of the analysis pertaining to the goal of judicial economy overlaps with the analysis under s. 4(2)(a). As previously noted, the defendants' primary objection in this area is that any trial in this case will become a leviathan of inquiries into individual issues of liability and harm. As I have concluded that Dr. Brander's methods offer a reasonable prospect of success, this submission is unsustainable. Moreover, I have concluded that there are common issues related to the causes of action and common issues related to harm. Further, if all of the common issues are resolved they would be determinative of the defendants' liability. Accordingly, administering this case as a class action should be more efficient than administering thousands of cases for individual merchants. As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Infineon</w:t>
      </w:r>
      <w:r>
        <w:rPr>
          <w:rFonts w:ascii="arial" w:eastAsia="arial" w:hAnsi="arial" w:cs="arial"/>
          <w:color w:val="000000"/>
          <w:sz w:val="20"/>
          <w:lang w:val="en-US" w:eastAsia="en-US" w:bidi="ar-SA"/>
        </w:rPr>
        <w:t>, judicial economy is served by certification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xml:space="preserve">  Similarly, my comments on s. 4(2)(d) and </w:t>
      </w:r>
      <w:r>
        <w:rPr>
          <w:rFonts w:ascii="arial" w:eastAsia="arial" w:hAnsi="arial" w:cs="arial"/>
          <w:i/>
          <w:color w:val="000000"/>
          <w:sz w:val="20"/>
          <w:lang w:val="en-US" w:eastAsia="en-US" w:bidi="ar-SA"/>
        </w:rPr>
        <w:t>AIC</w:t>
      </w:r>
      <w:r>
        <w:rPr>
          <w:rFonts w:ascii="arial" w:eastAsia="arial" w:hAnsi="arial" w:cs="arial"/>
          <w:color w:val="000000"/>
          <w:sz w:val="20"/>
          <w:lang w:val="en-US" w:eastAsia="en-US" w:bidi="ar-SA"/>
        </w:rPr>
        <w:t xml:space="preserve"> above are applicable to the access to justice goal. Ms. Watson's first affidavit indicates that she appears to pay less than $200 per month in Merchant Discount Fees. She also deposes to her belief that she could not afford to bring an individual claim against the defendants. In this regard, her situation is undoubtedly typical of many class members. According to </w:t>
      </w:r>
      <w:r>
        <w:rPr>
          <w:rFonts w:ascii="arial" w:eastAsia="arial" w:hAnsi="arial" w:cs="arial"/>
          <w:i/>
          <w:color w:val="000000"/>
          <w:sz w:val="20"/>
          <w:lang w:val="en-US" w:eastAsia="en-US" w:bidi="ar-SA"/>
        </w:rPr>
        <w:t>AIC Limited</w:t>
      </w:r>
      <w:r>
        <w:rPr>
          <w:rFonts w:ascii="arial" w:eastAsia="arial" w:hAnsi="arial" w:cs="arial"/>
          <w:color w:val="000000"/>
          <w:sz w:val="20"/>
          <w:lang w:val="en-US" w:eastAsia="en-US" w:bidi="ar-SA"/>
        </w:rPr>
        <w:t xml:space="preserve"> a "class action will serve the goal of access to justice if (1) there are access to justice concerns that a class action could address; and (2) these concerns remain even when alternative avenues of redress are considered" (at para. 26). As previously discussed, I am satisfied that access to justice concerns exist in this case. Moreover, having considered individual litigation, proceedings before the Competition Tribunal, and the possibility of federal regulation, I am of the view that those concerns remain.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xml:space="preserve">  Behaviour modification is the third goal of the class action regime and I am satisfied that this case might cause the defendants and others involved in the credit card industry to modify their business practices if the plaintiff is successful. While federal regulation might also address this goal, there is no guarantee that the industry will be regulated, despite the </w:t>
      </w:r>
      <w:r>
        <w:rPr>
          <w:rFonts w:ascii="arial" w:eastAsia="arial" w:hAnsi="arial" w:cs="arial"/>
          <w:i/>
          <w:color w:val="000000"/>
          <w:sz w:val="20"/>
          <w:lang w:val="en-US" w:eastAsia="en-US" w:bidi="ar-SA"/>
        </w:rPr>
        <w:t>Tribunal Decision</w:t>
      </w:r>
      <w:r>
        <w:rPr>
          <w:rFonts w:ascii="arial" w:eastAsia="arial" w:hAnsi="arial" w:cs="arial"/>
          <w:color w:val="000000"/>
          <w:sz w:val="20"/>
          <w:lang w:val="en-US" w:eastAsia="en-US" w:bidi="ar-SA"/>
        </w:rPr>
        <w:t xml:space="preserve"> and the subsequent comments of the Commissioner and the 2014 Economic Action Plan. In any event, merchants cannot effect behaviour modification via regulation in the same way that they can effect it through this case. Further, given the significant damages sought by the plaintiff, I am not satisfied that a broad promise of regulation is an alternative process capable of resolving the class members' claims within the meaning of </w:t>
      </w:r>
      <w:r>
        <w:rPr>
          <w:rFonts w:ascii="arial" w:eastAsia="arial" w:hAnsi="arial" w:cs="arial"/>
          <w:i/>
          <w:color w:val="000000"/>
          <w:sz w:val="20"/>
          <w:lang w:val="en-US" w:eastAsia="en-US" w:bidi="ar-SA"/>
        </w:rPr>
        <w:t>AIC</w:t>
      </w:r>
      <w:r>
        <w:rPr>
          <w:rFonts w:ascii="arial" w:eastAsia="arial" w:hAnsi="arial" w:cs="arial"/>
          <w:color w:val="000000"/>
          <w:sz w:val="20"/>
          <w:lang w:val="en-US" w:eastAsia="en-US" w:bidi="ar-SA"/>
        </w:rPr>
        <w:t xml:space="preserve"> Limited (at para. 19). As a result, this goal also favors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None of which is to say that the plaintiff's claims will succeed at a trial of the common issues. There might not be a conspiracy. Dr. Ware's testimony might be preferred over Dr. Brander's. This case might even be decertified in line with the defendants' submissions. However, the plaintiff does not need to prove that the goals of the class action regime will actually be met in this case, only that there is some basis in fact to conclude that a class action would the preferable method to resolve the claims. At this point I am satisfied that a trial of the common issues would be preferable having regard to the factors in s. 4(2) and the goals of the class action regime. The plaintiff has accordingly met this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Section 4(1)(e)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I will again turn to each requirement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Section 4(1)(e)(i)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(1) The court must certify a proceeding as a class proceeding on an application under section 2 or 3 if all of the following requirements are met:</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xml:space="preserve">  The defendants argue that no single plaintiff, including Ms. Watson could fairly or adequately represent the diverse class of merchants in this proceeding. Specifically, they submit that Ms. Watson cannot represent the interests of large public companies like Walmart given their allegedly diverse interests. This argument is effectively a watered-down generic version of the argument that the plaintiff is in a conflict of interest with other merchants due to the possibility of winners and losers in the absence of Default Interchange Fees. It is appropriately considered under s. 4(1)(e)(iii), not (i), and I will address it there. The merchants in this case are not materially more diverse than the software purchasers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for the purposes of fair and adequate representation. Whether they have diverse </w:t>
      </w:r>
      <w:r>
        <w:rPr>
          <w:rFonts w:ascii="arial" w:eastAsia="arial" w:hAnsi="arial" w:cs="arial"/>
          <w:i/>
          <w:color w:val="000000"/>
          <w:sz w:val="20"/>
          <w:lang w:val="en-US" w:eastAsia="en-US" w:bidi="ar-SA"/>
        </w:rPr>
        <w:t>interests</w:t>
      </w:r>
      <w:r>
        <w:rPr>
          <w:rFonts w:ascii="arial" w:eastAsia="arial" w:hAnsi="arial" w:cs="arial"/>
          <w:color w:val="000000"/>
          <w:sz w:val="20"/>
          <w:lang w:val="en-US" w:eastAsia="en-US" w:bidi="ar-SA"/>
        </w:rPr>
        <w:t xml:space="preserve"> is a different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When assessing Ms. Watson's adequacy for the task, this Court must consider her motivations, the competence of class counsel, and her ability to bear any necessary costs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at para. 41). Based on her first affidavit I accept that Ms. Watson is a capable plaintiff who is not acting for improper motives. She has retained experienced and skilled counsel who have offered to fund all the expenses of this litigation. Further, Ms. Watson understands the role of a representative plaintiff and is sufficiently informed of the issues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Ms. Watson does not need to be the best possible representative or even typical of the class. What matters is whether she will vigorously and capably prosecute the interests of the class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at para. 41). Again, temporarily leaving aside the issue of whether those interests are divergent, I conclude that Ms. Watson could and would vigorously prosecute any common interests shared by the class in a capable manner. She meets the requirements of s. 4(1)(e)(i).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Section 4(1)(e)(ii)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(1) The court must certify a proceeding as a class proceeding on an application under section 2 or 3 if all of the following requirements are met:</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xml:space="preserve">  The proposed litigation plan is Exhibit Q to Ms. Watson's first affidavit. The defendants attack the adequacy of the plan on several grounds. The thrust of the defendants' arguments is that the plan is hopelessly generic and does not set out how a trial would unfold, beyond requesting 45 days of court time. The defendants also submit that it is inappropriate to leave individual issues of harm and liability in the hands of a third-party referee under s. 27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as they are significant issues that go to the heart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xml:space="preserve">  As previously noted, the purpose of a litigation plan was set out in </w:t>
      </w:r>
      <w:r>
        <w:rPr>
          <w:rFonts w:ascii="arial" w:eastAsia="arial" w:hAnsi="arial" w:cs="arial"/>
          <w:i/>
          <w:color w:val="000000"/>
          <w:sz w:val="20"/>
          <w:lang w:val="en-US" w:eastAsia="en-US" w:bidi="ar-SA"/>
        </w:rPr>
        <w:t>Fakhri v. Alfalfa's Canada Inc.</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2003 BCSC 1717</w:t>
        </w:r>
      </w:hyperlink>
      <w:r>
        <w:rPr>
          <w:rFonts w:ascii="arial" w:eastAsia="arial" w:hAnsi="arial" w:cs="arial"/>
          <w:color w:val="000000"/>
          <w:sz w:val="20"/>
          <w:lang w:val="en-US" w:eastAsia="en-US" w:bidi="ar-SA"/>
        </w:rPr>
        <w:t xml:space="preserve"> (at para. 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[77] The purpose of the plan for proceeding at the certification stage is to aid the court by providing a framework within which the case may proceed and to demonstrate that the representative plaintiff and class counsel have a clear grasp of the complexities involved in the case which are apparent at the time of certification and a plan to address them. The court does not scrutinize the plan at the certification hearing to ensure that it will be capable of carrying the case through to trial and resolution of the common issues without amendment. It is anticipated that plans will require amendments as the case proceeds and the nature of the individual issues are demonstrated by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The detail of a plan should correspond to the complexity of the action. Further, less detail is required concerning individual issues that will need to be decided after the common issues trial, as discovery has not taken place (</w:t>
      </w:r>
      <w:r>
        <w:rPr>
          <w:rFonts w:ascii="arial" w:eastAsia="arial" w:hAnsi="arial" w:cs="arial"/>
          <w:i/>
          <w:color w:val="000000"/>
          <w:sz w:val="20"/>
          <w:lang w:val="en-US" w:eastAsia="en-US" w:bidi="ar-SA"/>
        </w:rPr>
        <w:t>White v. Canada (Attorney General)</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2004 BCSC 99</w:t>
        </w:r>
      </w:hyperlink>
      <w:r>
        <w:rPr>
          <w:rFonts w:ascii="arial" w:eastAsia="arial" w:hAnsi="arial" w:cs="arial"/>
          <w:color w:val="000000"/>
          <w:sz w:val="20"/>
          <w:lang w:val="en-US" w:eastAsia="en-US" w:bidi="ar-SA"/>
        </w:rPr>
        <w:t xml:space="preserve"> at paras. 151-153).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xml:space="preserve">  Regarding the specificity of the litigation plan, it is not materially less specific than the one in </w:t>
      </w:r>
      <w:r>
        <w:rPr>
          <w:rFonts w:ascii="arial" w:eastAsia="arial" w:hAnsi="arial" w:cs="arial"/>
          <w:i/>
          <w:color w:val="000000"/>
          <w:sz w:val="20"/>
          <w:lang w:val="en-US" w:eastAsia="en-US" w:bidi="ar-SA"/>
        </w:rPr>
        <w:t>Steele</w:t>
      </w:r>
      <w:r>
        <w:rPr>
          <w:rFonts w:ascii="arial" w:eastAsia="arial" w:hAnsi="arial" w:cs="arial"/>
          <w:color w:val="000000"/>
          <w:sz w:val="20"/>
          <w:lang w:val="en-US" w:eastAsia="en-US" w:bidi="ar-SA"/>
        </w:rPr>
        <w:t xml:space="preserve"> (at paras. 83-85 and Appendix A). The litigation plan in </w:t>
      </w:r>
      <w:r>
        <w:rPr>
          <w:rFonts w:ascii="arial" w:eastAsia="arial" w:hAnsi="arial" w:cs="arial"/>
          <w:i/>
          <w:color w:val="000000"/>
          <w:sz w:val="20"/>
          <w:lang w:val="en-US" w:eastAsia="en-US" w:bidi="ar-SA"/>
        </w:rPr>
        <w:t>Steele</w:t>
      </w:r>
      <w:r>
        <w:rPr>
          <w:rFonts w:ascii="arial" w:eastAsia="arial" w:hAnsi="arial" w:cs="arial"/>
          <w:color w:val="000000"/>
          <w:sz w:val="20"/>
          <w:lang w:val="en-US" w:eastAsia="en-US" w:bidi="ar-SA"/>
        </w:rPr>
        <w:t xml:space="preserve"> left the planning of the trial until after document discovery. As that plan was accepted by the Court of Appeal I would reject the specificity argument form the defendants in this case. Further, I have concluded that Dr. Brander's methodologies have a reasonable prospect of success, and thus there may be no need for individual determinations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Finally, section 4(1)(e)(iii)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(1) The court must certify a proceeding as a class proceeding on an application under section 2 or 3 if all of the following requirements are met:</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Based on their argument that some merchants would be better off in the absence of Default Interchange Fees and the Network Rules but that others would be worse off, the defendants argue that if the plaintiff would be better off (which the defendants dispute) then she is in an irreconcilable conflict with the merchants who would be worse off. The defendants also submit that as many merchants benefit from Default Interchange Fees, such as those with co-branding relationships with Issuers, and the plaintiff does not, another conflict of interest exists. Ultimately, the defendants argue that any class-wide or injunctive relief would harm some defendants and benefit others such that no merchant on either side could represent the class without a conflict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xml:space="preserve">  The plaintiff replies that there is no evidence before the Court of a single class member who does not want this action to be certified and further that several large merchants, such as Walmart, testified in the </w:t>
      </w:r>
      <w:r>
        <w:rPr>
          <w:rFonts w:ascii="arial" w:eastAsia="arial" w:hAnsi="arial" w:cs="arial"/>
          <w:i/>
          <w:color w:val="000000"/>
          <w:sz w:val="20"/>
          <w:lang w:val="en-US" w:eastAsia="en-US" w:bidi="ar-SA"/>
        </w:rPr>
        <w:t>Tribunal Decision</w:t>
      </w:r>
      <w:r>
        <w:rPr>
          <w:rFonts w:ascii="arial" w:eastAsia="arial" w:hAnsi="arial" w:cs="arial"/>
          <w:color w:val="000000"/>
          <w:sz w:val="20"/>
          <w:lang w:val="en-US" w:eastAsia="en-US" w:bidi="ar-SA"/>
        </w:rPr>
        <w:t xml:space="preserve"> and that their testimony was generally opposed to high credit card acceptance fees and specifically Interchange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The defendants also rely on various cases where a conflict of interest was found:</w:t>
      </w:r>
      <w:r>
        <w:rPr>
          <w:rFonts w:ascii="arial" w:eastAsia="arial" w:hAnsi="arial" w:cs="arial"/>
          <w:sz w:val="20"/>
          <w:lang w:val="en-US" w:eastAsia="en-US" w:bidi="ar-SA"/>
        </w:rPr>
        <w:cr/>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Paron v. Alberta (Environmental Protection)</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2006 ABQB 375</w:t>
        </w:r>
      </w:hyperlink>
      <w:r>
        <w:rPr>
          <w:rFonts w:ascii="arial" w:eastAsia="arial" w:hAnsi="arial" w:cs="arial"/>
          <w:color w:val="000000"/>
          <w:sz w:val="20"/>
          <w:lang w:val="en-US" w:eastAsia="en-US" w:bidi="ar-SA"/>
        </w:rPr>
        <w:t>, the representative plaintiff wanted to raise the water level in a lake. Other members of the class were explicitly opposed to this relief as it would have resulted in flooding affecting some members of the class, but not the representative plaintiff.</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MacDougal v. Ontario Northland Transportation Commission</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[2006] O.J. No. 5164</w:t>
        </w:r>
      </w:hyperlink>
      <w:r>
        <w:rPr>
          <w:rFonts w:ascii="arial" w:eastAsia="arial" w:hAnsi="arial" w:cs="arial"/>
          <w:color w:val="000000"/>
          <w:sz w:val="20"/>
          <w:lang w:val="en-US" w:eastAsia="en-US" w:bidi="ar-SA"/>
        </w:rPr>
        <w:t xml:space="preserve">, aff'd </w:t>
      </w:r>
      <w:hyperlink r:id="rId105" w:history="1">
        <w:r>
          <w:rPr>
            <w:rFonts w:ascii="arial" w:eastAsia="arial" w:hAnsi="arial" w:cs="arial"/>
            <w:i/>
            <w:color w:val="0077CC"/>
            <w:sz w:val="20"/>
            <w:u w:val="single"/>
            <w:shd w:val="clear" w:color="auto" w:fill="FFFFFF"/>
            <w:lang w:val="en-US" w:eastAsia="en-US" w:bidi="ar-SA"/>
          </w:rPr>
          <w:t>[2007] O.J. No. 573</w:t>
        </w:r>
      </w:hyperlink>
      <w:r>
        <w:rPr>
          <w:rFonts w:ascii="arial" w:eastAsia="arial" w:hAnsi="arial" w:cs="arial"/>
          <w:color w:val="000000"/>
          <w:sz w:val="20"/>
          <w:lang w:val="en-US" w:eastAsia="en-US" w:bidi="ar-SA"/>
        </w:rPr>
        <w:t xml:space="preserve"> (Div. Ct.), the representative plaintiff challenged amendments to a pension plan. The Court found that the amendments were beneficial to some members of the plan and harmful to others and that the proposed subclasses would be adverse in interest. </w:t>
      </w:r>
      <w:r>
        <w:rPr>
          <w:rFonts w:ascii="arial" w:eastAsia="arial" w:hAnsi="arial" w:cs="arial"/>
          <w:i/>
          <w:color w:val="000000"/>
          <w:sz w:val="20"/>
          <w:lang w:val="en-US" w:eastAsia="en-US" w:bidi="ar-SA"/>
        </w:rPr>
        <w:t>Public Service Alliance of Canada Pension Plan Members v. Public Service Alliance of Canada</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[2005] O.J. No. 2693</w:t>
        </w:r>
      </w:hyperlink>
      <w:r>
        <w:rPr>
          <w:rFonts w:ascii="arial" w:eastAsia="arial" w:hAnsi="arial" w:cs="arial"/>
          <w:color w:val="000000"/>
          <w:sz w:val="20"/>
          <w:lang w:val="en-US" w:eastAsia="en-US" w:bidi="ar-SA"/>
        </w:rPr>
        <w:t xml:space="preserve"> reached a similar conclusion.</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Keatley Surveying Ltd. v. Teranet Inc.</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2012 ONSC 7120</w:t>
        </w:r>
      </w:hyperlink>
      <w:r>
        <w:rPr>
          <w:rFonts w:ascii="arial" w:eastAsia="arial" w:hAnsi="arial" w:cs="arial"/>
          <w:color w:val="000000"/>
          <w:sz w:val="20"/>
          <w:lang w:val="en-US" w:eastAsia="en-US" w:bidi="ar-SA"/>
        </w:rPr>
        <w:t>, the representative plaintiff sought an injunction shutting down a service that most of the class members relied upon, but that the representative plaintiff did not use.</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Samos Investments Inc. v. Pattison</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2001 BCSC 1790</w:t>
        </w:r>
      </w:hyperlink>
      <w:r>
        <w:rPr>
          <w:rFonts w:ascii="arial" w:eastAsia="arial" w:hAnsi="arial" w:cs="arial"/>
          <w:color w:val="000000"/>
          <w:sz w:val="20"/>
          <w:lang w:val="en-US" w:eastAsia="en-US" w:bidi="ar-SA"/>
        </w:rPr>
        <w:t>, a securities case, the plaintiff's claim was based on a series of allegedly fraudulent transactions in furtherance of a conspiracy. The Court found that class members who owned shares in different periods would be motivated to advance conflicting theories of the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xml:space="preserve">  I do not find these cases persuasive in this instance. In all of these cases the conflicts were inherently obvious. In most of them some of the proposed class members actively opposed the relief sought. As the plaintiff points out, based on the evidence to date there is not one single merchant who opposes this litigation. The defendants rely on the testimony of Dr. Ware for their argument that some merchants would be worse off in the absence of Default Interchange Fees, but Dr. Ware's conclusion is that it requires an individualized analysis as the impact would differ from merchant to merchant. Dr. Ware offers the opinion that some merchants might be worse off, (first affidavit at para. 68), but Dr. Brander disagrees (second affidavit at para. 73) and, as previously stated, resolving this dispute is not appropriate at certification. I accordingly reject the defendants' primary submission on this evidence. Their submissions are speculative and there is ultimately no evidence that a conflict of interest exists. Even if one arises, this Court likely has the tools required to deal with it under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xml:space="preserve">  The more interesting argument put forth by the defendants is that without complicated economic analysis it will be impossible for individual merchants to know whether they have been harmed or helped by Default Interchange Fees and the Network Rules. The defendants submit that a class action should not be certified if class members cannot know whether the representative plaintiff represents their interests. However, the defendants provide no authority for that submission and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only requires an absence of conflicts. I return to the Ontario Court of Appeal's statement in </w:t>
      </w:r>
      <w:r>
        <w:rPr>
          <w:rFonts w:ascii="arial" w:eastAsia="arial" w:hAnsi="arial" w:cs="arial"/>
          <w:i/>
          <w:color w:val="000000"/>
          <w:sz w:val="20"/>
          <w:lang w:val="en-US" w:eastAsia="en-US" w:bidi="ar-SA"/>
        </w:rPr>
        <w:t>Markson</w:t>
      </w:r>
      <w:r>
        <w:rPr>
          <w:rFonts w:ascii="arial" w:eastAsia="arial" w:hAnsi="arial" w:cs="arial"/>
          <w:color w:val="000000"/>
          <w:sz w:val="20"/>
          <w:lang w:val="en-US" w:eastAsia="en-US" w:bidi="ar-SA"/>
        </w:rPr>
        <w:t xml:space="preserve"> (at para. 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[75] ...It may be that some customers of the defendant would prefer that it continue to have the right to break the criminal law (if it is doing so), in order to offer its customers some added advantages. In this sense, allowing the plaintiff to pursue a class proceeding may be seen as unfair to some of the customers. In an organized society however, I do not see this as the kind of fairness concern that should prevent a court from intervening. Rather, the concern should be whether the defendant is acting in accordance with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I find that reasoning more persuasive than the examples provided by the defendants. In the absence of a clear conflict of interest, based in the evidence, I would not refuse certification on this requirement. It can always be revoked later if conflicts arise. The plaintiff has met the requirements of s. 4(1)(e)(iii).</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w:t>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xml:space="preserve">  As I have intimated, I have concluded that the plaintiff has satisfied each of the requirements of s. 4(1)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This action shall be certified as more particularly set out in these reasons. The plaintiff shall redraft the common issues in a manner consistent with these reasons and there will be a further case management conference to settle that aspect of the certification order. The plaintiff should also consider amendments to the Amended Claim in light of these reasons and the developing jurisprudence.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In particular, the plaintiff shall:</w:t>
      </w:r>
      <w:r>
        <w:rPr>
          <w:rFonts w:ascii="arial" w:eastAsia="arial" w:hAnsi="arial" w:cs="arial"/>
          <w:sz w:val="20"/>
          <w:lang w:val="en-US" w:eastAsia="en-US" w:bidi="ar-SA"/>
        </w:rPr>
        <w:cr/>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remove issues 6, 9, 13, 14, and 16 from the proposed list;</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 an issue dealing with the remedy of accounting and disgorgement for the waiver of tort claim;</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 improving and clarifying the language of the remaining issues;</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remove any reference to a conspiracy to increase Merchant Discount Fees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from the Amended Claim;</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remove any claim under s. 61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from the Amended Claim;</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remove the claims in unlawful means conspiracy, unlawful interference with economic relations, and constructive trust from the Amended Claim;</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light of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distinguish between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cause of action and the remaining causes of action in the Amended Claim;</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clarify the Amended Claim regarding any plea for the remedy of accounting and disgorgement in waiver of tort;</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revise the Class Period in the Amended Claim to reflect the absence of the constructive trust claim; and</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make other amendments as necessarily consistent with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R.J. BAUMAN C.J.B.C.</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w:t>
      </w:r>
      <w:r>
        <w:rPr>
          <w:rFonts w:ascii="arial" w:eastAsia="arial" w:hAnsi="arial" w:cs="arial"/>
          <w:b/>
          <w:color w:val="000000"/>
          <w:sz w:val="20"/>
          <w:lang w:val="en-US" w:eastAsia="en-US" w:bidi="ar-SA"/>
        </w:rPr>
        <w:t>APPENDIX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PROPOSED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COMPETITION ACT</w:t>
      </w:r>
      <w:r>
        <w:rPr>
          <w:rFonts w:ascii="arial" w:eastAsia="arial" w:hAnsi="arial" w:cs="arial"/>
          <w:sz w:val="20"/>
          <w:lang w:val="en-US" w:eastAsia="en-US" w:bidi="ar-SA"/>
        </w:rPr>
        <w:cr/>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Defendants, the co-conspirator Acquirers or any of them, engage in conduct that is contrary to s 45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RSC 1985, c C-34</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"Competition</w:t>
      </w:r>
      <w:r>
        <w:rPr>
          <w:rFonts w:ascii="arial" w:eastAsia="arial" w:hAnsi="arial" w:cs="arial"/>
          <w:color w:val="000000"/>
          <w:sz w:val="20"/>
          <w:lang w:val="en-US" w:eastAsia="en-US" w:bidi="ar-SA"/>
        </w:rPr>
        <w:t xml:space="preserve"> Act"')? If so, what was the duration of this conduct?</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so, are the Defendants, or any of them, liable to pay damages to the Visa or MasterCard Class Members under s 36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including the costs of the investigation of the Defendants'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CONSPIRACY</w:t>
      </w:r>
      <w:r>
        <w:rPr>
          <w:rFonts w:ascii="arial" w:eastAsia="arial" w:hAnsi="arial" w:cs="arial"/>
          <w:sz w:val="20"/>
          <w:lang w:val="en-US" w:eastAsia="en-US" w:bidi="ar-SA"/>
        </w:rPr>
        <w:cr/>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the co-conspirator Acquirers or any of them, conspire to impose and maintain the Networks' Rules, Merchant Discount Fees and in particular default Interchange Fees, or any component thereof during the Class Period?</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the co-conspirator Acquirers or any of them, enter into unlawful agreements regarding Networks' Rules, Merchant Discount Fees and in particular default Interchange Fees, or any component thereof during the Class Period?</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the co-conspirator Acquirers or any of them, conspire to harm the Visa or MasterCard Class Members?</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know, or should they have known, that the acts found in the determination of common issues 3, 4, or 5 (individually or collectively, the "Conspiracy Acts") were, in the circumstances, likely to cause injury to the Visa or MasterCard Class Members?</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predominant purpose of the Conspiracy Acts to injure Visa or MasterCard Class Members?</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Defendants, or any of them, liable to the Visa or MasterCard Class Members for the tort of civil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UNLAWFUL INTERFERENCE WITH ECONOMIC INTERESTS</w:t>
      </w:r>
      <w:r>
        <w:rPr>
          <w:rFonts w:ascii="arial" w:eastAsia="arial" w:hAnsi="arial" w:cs="arial"/>
          <w:sz w:val="20"/>
          <w:lang w:val="en-US" w:eastAsia="en-US" w:bidi="ar-SA"/>
        </w:rPr>
        <w:cr/>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Defendants, or any of them, liable to the Visa or MasterCard Class Members for the tort of unlawful interference with economic interests as a result of the Conspiracy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UNJUST ENRICHMENT, CONSTRUCTIVE TRUST, WAIVER OF TORT</w:t>
      </w:r>
      <w:r>
        <w:rPr>
          <w:rFonts w:ascii="arial" w:eastAsia="arial" w:hAnsi="arial" w:cs="arial"/>
          <w:sz w:val="20"/>
          <w:lang w:val="en-US" w:eastAsia="en-US" w:bidi="ar-SA"/>
        </w:rPr>
        <w:cr/>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Have the Defendants, or any of them, been unjustly enriched during the Class Period by receipt of supracompetitive Merchant Discount Fees and in particular default Interchange Fees, or any component thereof?</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Have the Visa or MasterCard Class Members suffered a corresponding deprivation by paying supracompetitive Merchant Discount Fees and in particular default Interchange Fees, or any component thereof, during the Class Period?</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any juristic reason justifying retention by the Defendants, or any of them, of some or all of the supracompetitive portion of Merchant Discount Fees and in particular default Interchange Fees or any component thereof (the "Overcharge") paid by the Visa or MasterCard Class Members?</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 the defendants be constituted as constructive trustees in favour of the Visa or MasterCard Class Members for the Overcharge?</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equity and good conscience require that the Defendants, or any of them, hold the Overcharge in trust for the plaintiff and the other Visa or MasterCard Class Members and to disgorge that amount to the plaintiff or other Visa and MasterCard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r>
        <w:rPr>
          <w:rFonts w:ascii="arial" w:eastAsia="arial" w:hAnsi="arial" w:cs="arial"/>
          <w:sz w:val="20"/>
          <w:lang w:val="en-US" w:eastAsia="en-US" w:bidi="ar-SA"/>
        </w:rPr>
        <w:cr/>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Merchant Discount Fees and in particular default Interchange Fees, or any component thereof, charged to Visa or MasterCard Class Members during the Class Period set at a supracompetitive rate? If so, what would the rate have been in a competitive environment?</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Defendants' conduct entitle the Visa or MasterCard Class Members to punitive damages?</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defendants jointly and severally liable for damages for their own conduct and that of the co-conspirator Acquirers?</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 an aggregate award of damages be made pursuant to s 24(1) of the </w:t>
      </w:r>
      <w:r>
        <w:rPr>
          <w:rFonts w:ascii="arial" w:eastAsia="arial" w:hAnsi="arial" w:cs="arial"/>
          <w:i/>
          <w:color w:val="000000"/>
          <w:sz w:val="20"/>
          <w:lang w:val="en-US" w:eastAsia="en-US" w:bidi="ar-SA"/>
        </w:rPr>
        <w:t>Class Proceedings Act?</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Defendants, or any of them, liable to pay punitive or exemplary damages having regard to the nature of their conduct? If so, what amount and to whom?</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Defendants, or any of them, liable to pay court ordered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OTHER REMEDIES</w:t>
      </w:r>
      <w:r>
        <w:rPr>
          <w:rFonts w:ascii="arial" w:eastAsia="arial" w:hAnsi="arial" w:cs="arial"/>
          <w:sz w:val="20"/>
          <w:lang w:val="en-US" w:eastAsia="en-US" w:bidi="ar-SA"/>
        </w:rPr>
        <w:cr/>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Court grant an injunction enjoining the Defendants from conspiring or agreeing with each other, the co-conspirator Acquirers or others, to raise, maintain, fix, and/or stabilize the rates of Merchant Discount Fees and in particular default Interchange Fees, or any component thereof?</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Court grant an injunction enjoining the Defendants from conspiring or agreeing with each other, the co-conspirator Acquirers or others, to impose the Networks' Rules, or any of them?</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3" style="position:absolute;z-index:251766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Watson v. Strong, [2018] B.C.J. No. 776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 Abrioux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14-16, March 27-29,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30,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S140554, S163410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776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692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William Frederick Watson, Petitioner, and Marian G. Strong and Gordon Watson, Respondents And between Gordon Stephen Watson, Plaintiff, and William Frederick Watson in his personal capacity William Frederick Watson in his capacity as he purported to be the executor of the Estate of Rosamund Margarete Watson,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4"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5" w:name="Keywords_3"/>
      <w:bookmarkEnd w:id="35"/>
      <w:r>
        <w:rPr>
          <w:rFonts w:ascii="arial" w:eastAsia="arial" w:hAnsi="arial" w:cs="arial"/>
          <w:b/>
          <w:color w:val="000000"/>
          <w:sz w:val="20"/>
          <w:lang w:val="en-US" w:eastAsia="en-US" w:bidi="ar-SA"/>
        </w:rPr>
        <w:t>Civil Litigation — Civil procedure — Parties — Vexatious litigants — Pleadings — Striking out pleadings or allegations — Failure to disclose a cause of action or defence — False, frivolous, vexatious or abuse of process — Application by Rick Watson to strike action brought by Gordon Watson in Victoria and to have Gordon declared vexatious litigant allowed in part — Cross-application by Gordon to file further amended notice of civil claim dismissed — Rick and Gordon were brothers — Rick was executor of mother's estate and beneficiary — Gordon was not beneficiary — Gordon's action was personal attack on Rick and based on being beneficiary, which he was not — Action was frivolous, vexatious and abuse of process — Victoria action was dismissed — There was no need to declare Gordon vexatious litigant — Supreme Court Act, s. 18 — Supreme Court Civil Rules, Rules 9-5(1)(a), 9-5(1)(b), 9-5(1)(d), 13-4(2).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Wills, Estates and Trusts Law — Executors and administrators — Powers — Power of sale of assets — Sale of real property — Application by Marian Strong for orders regarding administration of estate of mother and to declare order approving sale of mother's home null and void dismissed — Marian was attempting to revisit prior decision of master that was not appealed — Marian made same arguments regarding sale of property at earlier hearing — Property was placed on market and sale approved by court — There was no basis to declare sale order null and void — Land Title Act, ss. 25.1(2), 25.1(3), 55 — Supreme Court Civil Rules, Rules 23-6(8), 23-8(9).</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6" w:name="Case Summary_3"/>
            <w:bookmarkEnd w:id="3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Rick Watson to strike an action brought in Victoria, to have Gordon Watson held in contempt of court, and to have Gordon declared a vexatious litigant. Application by Marian Strong for orders regarding the administration of the estate of Rosamund Watson, and to declare an order approving sale of Rosamund's home null and void. Application by Gordon to file a further amended notice of civil claim. Gordon, Terri Watson, Rick and Marian were the four adult children of Rosamund, who died in 2010. Rosamund's will named Terri, Rick, Marian and Gordon's son Aaron Watson as co-executors. They were also the beneficiaries of Rosamund's estate. Terri and Aaron renounced as executors. Marian was removed as an executor and Rick was designated the sole executor by court order. Gordon commenced an action in Victoria against Rick in his capacity as executor and in his personal capacity. Rick brought a proceeding in Vancouver relating to the administration of estate, which had been subject of many applications. Rick sought to strike Gordon's Victoria action as scandalous, frivolous and vexatious, and/or bound to fail. Gordon sought to file a further amended notice of civil claim. Rick also sought to have Gordon held in contempt of court for failing to comply with a document disclosure order and for his conduct at the examination in aid of execution. Marian sought orders regarding the administration of the estate and certain outstanding costs and documentary production matters.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7" w:name="Holdings of Court_2"/>
            <w:bookmarkEnd w:id="37"/>
            <w:r>
              <w:rPr>
                <w:rFonts w:ascii="arial" w:eastAsia="arial" w:hAnsi="arial" w:cs="arial"/>
                <w:color w:val="000000"/>
                <w:sz w:val="20"/>
                <w:lang w:val="en-US" w:eastAsia="en-US" w:bidi="ar-SA"/>
              </w:rPr>
              <w:t>HELD: Application by Rick granted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Cross-application by George dismissed. Application by Marian dismissed. Gordon's amended notice of civil claim offended virtually every principle that applied to proper pleading. The pleading was based on Gordon being beneficiary of Rosamund's will, which he was not. It was essentially a personal attack against Rich and others who were involved in the administration of the estate and advanced claims that were unknown at law. The claim attempted to relitigate issues that were already decided. The Victoria action was frivolous, vexatious and an abuse of process. It disclosed no reasonable claim and was bound to fail. The Victoria action was dismissed. A declaration that Gordon was a vexatious litigant was not necessary. Gordon's conduct should result in an order that he must not commence another legal proceeding in relation to the administration of Rosamund's estate against Rick or others without leave of the court. A definitive time frame was required for the expeditious conclusion to the matter. The estate was to be wound up within 120 days. Rick did not press for finding of contempt against Gordon. Gordon's conduct was egregious at his examination in aid of execution. Rick was entitled to a further appointment to examine Gordon. Marian was attempting to revisit the prior decision of the master that was not appealed. Time to appeal had long expired. With respect to the sale of property, Marian made the same arguments at the earlier hearing. The Marian was attempting to have the court revisit the prior decision of the master that was not appealed t. There was no basis to declare the order approving the sale null and void.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8" w:name="Legislation Cited_2"/>
      <w:bookmarkEnd w:id="3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5"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Criminal Code, </w:t>
      </w:r>
      <w:hyperlink r:id="rId189" w:history="1">
        <w:r>
          <w:rPr>
            <w:rFonts w:ascii="arial" w:eastAsia="arial" w:hAnsi="arial" w:cs="arial"/>
            <w:i/>
            <w:color w:val="0077CC"/>
            <w:sz w:val="20"/>
            <w:u w:val="single"/>
            <w:shd w:val="clear" w:color="auto" w:fill="FFFFFF"/>
            <w:lang w:val="en-US" w:eastAsia="en-US" w:bidi="ar-SA"/>
          </w:rPr>
          <w:t>R.S.C. 1985, c. C-46, s. 356</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Fraudulent Conveyance Act, </w:t>
      </w:r>
      <w:r>
        <w:rPr>
          <w:rFonts w:ascii="arial" w:eastAsia="arial" w:hAnsi="arial" w:cs="arial"/>
          <w:i/>
          <w:color w:val="000000"/>
          <w:sz w:val="20"/>
          <w:lang w:val="en-US" w:eastAsia="en-US" w:bidi="ar-SA"/>
        </w:rPr>
        <w:t>R.S.B.C. 1996, c. 163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Land Title Act, </w:t>
      </w:r>
      <w:hyperlink r:id="rId190" w:history="1">
        <w:r>
          <w:rPr>
            <w:rFonts w:ascii="arial" w:eastAsia="arial" w:hAnsi="arial" w:cs="arial"/>
            <w:i/>
            <w:color w:val="0077CC"/>
            <w:sz w:val="20"/>
            <w:u w:val="single"/>
            <w:shd w:val="clear" w:color="auto" w:fill="FFFFFF"/>
            <w:lang w:val="en-US" w:eastAsia="en-US" w:bidi="ar-SA"/>
          </w:rPr>
          <w:t>R.S.B.C. 1996, c. 250, s. 25.1</w:t>
        </w:r>
      </w:hyperlink>
      <w:r>
        <w:rPr>
          <w:rFonts w:ascii="arial" w:eastAsia="arial" w:hAnsi="arial" w:cs="arial"/>
          <w:color w:val="000000"/>
          <w:sz w:val="20"/>
          <w:lang w:val="en-US" w:eastAsia="en-US" w:bidi="ar-SA"/>
        </w:rPr>
        <w:t>(2), s. 25.1(3), s.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Power of Attorney Act, </w:t>
      </w:r>
      <w:r>
        <w:rPr>
          <w:rFonts w:ascii="arial" w:eastAsia="arial" w:hAnsi="arial" w:cs="arial"/>
          <w:i/>
          <w:color w:val="000000"/>
          <w:sz w:val="20"/>
          <w:lang w:val="en-US" w:eastAsia="en-US" w:bidi="ar-SA"/>
        </w:rPr>
        <w:t>R.S.B.C. 1996, c. 370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Act, </w:t>
      </w:r>
      <w:hyperlink r:id="rId191" w:history="1">
        <w:r>
          <w:rPr>
            <w:rFonts w:ascii="arial" w:eastAsia="arial" w:hAnsi="arial" w:cs="arial"/>
            <w:i/>
            <w:color w:val="0077CC"/>
            <w:sz w:val="20"/>
            <w:u w:val="single"/>
            <w:shd w:val="clear" w:color="auto" w:fill="FFFFFF"/>
            <w:lang w:val="en-US" w:eastAsia="en-US" w:bidi="ar-SA"/>
          </w:rPr>
          <w:t>R.S.B.C. 1996, c. 443, s. 18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9-5</w:t>
      </w:r>
      <w:r>
        <w:rPr>
          <w:rFonts w:ascii="arial" w:eastAsia="arial" w:hAnsi="arial" w:cs="arial"/>
          <w:color w:val="000000"/>
          <w:sz w:val="20"/>
          <w:lang w:val="en-US" w:eastAsia="en-US" w:bidi="ar-SA"/>
        </w:rPr>
        <w:t>(1)(a), Rule 9-5(1)(b), Rule 9-5(1)(d), Rule 13-4(2), Rule 23-6(8), Rule 23-6(9)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9" w:name="Counsel_6"/>
      <w:bookmarkEnd w:id="3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6"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Petitioner/Defendants in Victoria Proceeding: D. Georgetti.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Respondents, Marian G. Strong: Gordon Watson Self-represented.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0" w:name="Judgment_6"/>
      <w:bookmarkEnd w:id="40"/>
      <w:r>
        <w:pict>
          <v:line id="_x0000_s1057" style="position:absolute;z-index:251811840" from="0,12pt" to="512pt,12pt" strokecolor="#009ddb" strokeweight="1.5pt">
            <v:stroke linestyle="single"/>
          </v:line>
        </w:pic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ÝEditor's note: Corrections were released by the Court May 4, 2018; the changes have been made to the text and the corrigenda are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Relief Sought by Rick against Gordon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The Relief sought by Marian against Rick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CONCLUSIONS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1" w:name="P. ABRIOUX J."/>
            <w:bookmarkEnd w:id="41"/>
            <w:r>
              <w:rPr>
                <w:rFonts w:ascii="arial" w:eastAsia="arial" w:hAnsi="arial" w:cs="arial"/>
                <w:b/>
                <w:color w:val="000000"/>
                <w:sz w:val="30"/>
                <w:lang w:val="en-US" w:eastAsia="en-US" w:bidi="ar-SA"/>
              </w:rPr>
              <w:t>P. ABRIOUX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Rosamund Margarete Watson died on February 28, 2010, leaving four adult children: Gordon Stephen Watson, Theresa Elizabeth Anne Watson (known as Terri), William Frederick Watson (known as Rick), and Marian Grace Strong. Meaning no disrespect, since most of the family members have the same last name I will at times refer to them by their first names.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Rosamund made her last will and testament on April 25, 2004, naming Terri, Rick, Marian, and Aaron Watson (Gordon's son) as co-executors. She did not name Gordon as an executor. The beneficiaries of the estate were Rick, Terri, Marian and Aaron. Terri renounced as executor on November 11, 2010, and Aaron renounced on March 2, 2013. Marian was removed as executor and Rick was designated the sole executor by the court order made September 25,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will be outlined below, the Vancouver proceeding relates to the administration of the estate and has been the subject of many applications which I have heard over time dating back to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June 9, 2016, Gordon commenced an action against Rick, both in his capacity as executor of the estate and in his personal capacity, out of this Court's Victoria registry, being action # S140554 (the "Victoria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applications which are before the court at this time in the Vancouver proceeding include Rick seeking directions regarding the winding up of the estate, and having Gordon held in contempt of court for not complying with a document disclosure order and for his conduct at an examination in aid of execution. He also seeks to have Gordon declared a vexatious litigant. On the last day of the hearing, Rick's counsel advised the court that, in light of other submissions which had been made and which I shall detail below, his client was not pressing a finding of contempt against Gordon at this time and was prepared to have the claim for that relief adjourned on certain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Marian, for her part, also seeks orders regarding the administration of the estate and certain outstanding costs and documentary production matters. She also seeks an order, essentially three and a half years after the fact, declaring "null and void" an order made in August 2014 approving the sale of the estate's principal asset, being the deceased's home, that completed on September 30,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Victoria action, Rick seeks an order striking the proceeding on the basis that the amended notice of civil claim (the "Amended NOCC") is scandalous, frivolous and vexatious, and/or is bound to fail. In the alternative, he seeks security for costs. Gordon's cross application seeks the opportunity to file a further Amended NOCC.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For the reasons that follow, the relief:</w:t>
      </w:r>
      <w:r>
        <w:rPr>
          <w:rFonts w:ascii="arial" w:eastAsia="arial" w:hAnsi="arial" w:cs="arial"/>
          <w:sz w:val="20"/>
          <w:lang w:val="en-US" w:eastAsia="en-US" w:bidi="ar-SA"/>
        </w:rPr>
        <w:cr/>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sought by Rick is, for the most part, granted;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sought by Marian is, for the most part, dismissed;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sought by Gordon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reasons for judgment indexed at </w:t>
      </w:r>
      <w:hyperlink r:id="rId192" w:history="1">
        <w:r>
          <w:rPr>
            <w:rFonts w:ascii="arial" w:eastAsia="arial" w:hAnsi="arial" w:cs="arial"/>
            <w:i/>
            <w:color w:val="0077CC"/>
            <w:sz w:val="20"/>
            <w:u w:val="single"/>
            <w:shd w:val="clear" w:color="auto" w:fill="FFFFFF"/>
            <w:lang w:val="en-US" w:eastAsia="en-US" w:bidi="ar-SA"/>
          </w:rPr>
          <w:t>2014 BCSC 754</w:t>
        </w:r>
      </w:hyperlink>
      <w:r>
        <w:rPr>
          <w:rFonts w:ascii="arial" w:eastAsia="arial" w:hAnsi="arial" w:cs="arial"/>
          <w:color w:val="000000"/>
          <w:sz w:val="20"/>
          <w:lang w:val="en-US" w:eastAsia="en-US" w:bidi="ar-SA"/>
        </w:rPr>
        <w:t xml:space="preserve"> (the "2014 Reasons"), I summarized the principal background facts in this highly contentious estate matter which pits Rick and Theresa on the one hand against Gordon--often, but not always, supported by Marian--on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Since 2014, I have heard various applications in the Vancouver proceedings including:</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unsuccessful attempts by Marian and Gordon to have the petitioner removed as trustee of the estate;</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Marian's removal as co-executrix;</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unsuccessful attempts by Gordon to have Rick held in contempt of court;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various applications by Rick for directions pertaining to the administration and winding up of the estate;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estate to have vacant possession of its principal asset, being the deceased's residence located on Elwell Street in Burnaby, B.C. (the "Property");</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sale of the Property, which I ordered be sold on August 15, 2014. On August 22, 2014, I ordered that certain certificates of pending litigation be discharged from the Property. The transaction ultimately closed on September 30, 2014;</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award of special costs against both Marian and Gordon; and</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passing of the executors'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2014 Reasons, I noted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It is clear from the many affidavits before the Court on these applications and the submissions of the parties that the relationship between the petitioner and his sister Theresa Watson on one hand, and the respondents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Marian and Gordon] on the other, is toxic. This has been the case for many years. No useful purpose would be served by setting out in any further detail the history and particulars of the acrimony.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various times, Gordon took the position that his son Aaron's share of the estate was held in trust for him. According to Gordon, since he was a political activist who had advanced various contentious causes over the years, he had persuaded his mother to put his share of the estate into his son Aaron's name. Accordingly this allegation provided him with the status to call into question many of his brother Rick's actions as executor.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oral reasons for judgment indexed at </w:t>
      </w:r>
      <w:hyperlink r:id="rId193" w:history="1">
        <w:r>
          <w:rPr>
            <w:rFonts w:ascii="arial" w:eastAsia="arial" w:hAnsi="arial" w:cs="arial"/>
            <w:i/>
            <w:color w:val="0077CC"/>
            <w:sz w:val="20"/>
            <w:u w:val="single"/>
            <w:shd w:val="clear" w:color="auto" w:fill="FFFFFF"/>
            <w:lang w:val="en-US" w:eastAsia="en-US" w:bidi="ar-SA"/>
          </w:rPr>
          <w:t>2016 BCSC 988</w:t>
        </w:r>
      </w:hyperlink>
      <w:r>
        <w:rPr>
          <w:rFonts w:ascii="arial" w:eastAsia="arial" w:hAnsi="arial" w:cs="arial"/>
          <w:color w:val="000000"/>
          <w:sz w:val="20"/>
          <w:lang w:val="en-US" w:eastAsia="en-US" w:bidi="ar-SA"/>
        </w:rPr>
        <w:t xml:space="preserve"> and dated May 13, 2016 (the "May 2016 Reasons"), I concluded,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 Gordon had effectively abandoned any claim which he advanced to an interest in the estate. I also ordered that he was not entitled to notice of any further applications in the Vancouver proceeding, including the passing of the petitioner's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Gordon appealed the orders made in those reasons for judgment. He also, unbeknownst to Rick, commenced the Victoria action on June 9, 2016, having relocated to that city after he was ordered to vacate the Property in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say "unbeknownst" since the notice of civil claim (the "NOCC") was amended on August 1, 2017, and it was only when served with the Amended NOCC that Rick became aware of the Victoria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both the NOCC and the Amended NOCC, Gordon advances claims in which he makes the most egregious allegations against Rick and others, including Rick's former legal counsel, which are largely based on his alleged status as a beneficiary to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August and September 2016, Master Harper, as Registrar, presided over a four-and-a-half day hearing which dealt with the following issues: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passing of Rick's accounts;</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determining Marian's claim for executor's remuneration up to the point she was removed as executor by court order;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fixing the executor's remuneration for Rick;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reviewing the legal accounts of the solicitors retained by Rick.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her Reasons for Decision indexed at </w:t>
      </w:r>
      <w:hyperlink r:id="rId194" w:history="1">
        <w:r>
          <w:rPr>
            <w:rFonts w:ascii="arial" w:eastAsia="arial" w:hAnsi="arial" w:cs="arial"/>
            <w:i/>
            <w:color w:val="0077CC"/>
            <w:sz w:val="20"/>
            <w:u w:val="single"/>
            <w:shd w:val="clear" w:color="auto" w:fill="FFFFFF"/>
            <w:lang w:val="en-US" w:eastAsia="en-US" w:bidi="ar-SA"/>
          </w:rPr>
          <w:t>2016 BCSC 1897</w:t>
        </w:r>
      </w:hyperlink>
      <w:r>
        <w:rPr>
          <w:rFonts w:ascii="arial" w:eastAsia="arial" w:hAnsi="arial" w:cs="arial"/>
          <w:color w:val="000000"/>
          <w:sz w:val="20"/>
          <w:lang w:val="en-US" w:eastAsia="en-US" w:bidi="ar-SA"/>
        </w:rPr>
        <w:t xml:space="preserve"> (the "Decision"), Master Harper:</w:t>
      </w:r>
      <w:r>
        <w:rPr>
          <w:rFonts w:ascii="arial" w:eastAsia="arial" w:hAnsi="arial" w:cs="arial"/>
          <w:sz w:val="20"/>
          <w:lang w:val="en-US" w:eastAsia="en-US" w:bidi="ar-SA"/>
        </w:rPr>
        <w:cr/>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certified the passing of Rick's accounts for the period February 28, 2010, to May 30, 2016;</w:t>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awarded Rick interim executor's remuneration of a capital fee of 4.5% of the gross aggregate value of the estate being $1,025,000 (that is the amount for which the Property was sold in August 2014);</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decided that Marian was not entitled to any executor's remuneration;</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allowed the legal accounts as presented;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decided that Rick was entitled to his costs of the hearing as special costs from the estate; and</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seized herself in the event a hearing was required with respect to the final passing of accounts and the amount of Rick's final remuneration as executor.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Decision, Master Harper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The estate consisted only of one significant asset: the family home located at 7954 Elwell Street, Burnaby, B.C.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Gordon lived at Elwell Street with his mother for many years and continued to live there after she died. Eventually, Elwell Street was sold pursuant to court order on September 30, 2014 for $1,025,000. The administration of the estate is almost complete, subject to final tax filings and obtaining a Canada Revenue Agency clearance certificate. These final steps are to be taken after the court determines the outstanding obligations of the estate. The wind-up is to be completed by December 31, 2016 pursuant to court order. Unfortunately, complicating the wind-up of the estate is an appeal filed by Gordon of one of the court orders, which I will describe more fully below.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This Registrar's hearing occupied four and a half days. There was oral and affidavit evidence presented by Rick, Terri, Marian and Gordon, as well as by the estate solicitor, Michael Geldert. The relationships amongst the Watson siblings are strained. Aaron did not give evidence. He wants nothing to do with the dispute.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Although the conflict amongst the siblings about what to do about Elwell Street has given rise to these proceedings, the strained relationships date back many years. Gordon sent an email to Rick dated October 17, 2009 (before Rosamunde died) in the context of a particular dispute saying: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 would you like to have everything you own liened-up as the matter grinds along in Court, for years, while I proceed as an indigent.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Even though Gordon is neither an executor nor a beneficiary, he has made the administration of the estate more difficult than it needs to be. His conduct since Rosamund's death is consistent with the threat contained in the email just quoted.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Before one of the many previous hearings, Aaron wrote a statement that he wished to be presented to the court. The note is illuminating and, in my view, an accurate depiction of the family dynamics. In referring to his decision to renounce as executor and remove himself as much as possible from the proceedings Aaron writes: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realized that old family grudges were being brought up and that the matter of settling the estate had become secondary to trying to resolve these ancient family fights in the entirely inappropriate arena of the courts.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There is little use in going into detail as to the causes of the acrimony. Each family member has his or her strongly-held views. The acrimony is important to understand only in that it has had a significant impact on the administration of the estate, resulting in unnecessary delay and complications.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Marian did not appeal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Gordon's appeal was heard on September 20, 2017, and was dismissed that day with reasons for judgment indexed at </w:t>
      </w:r>
      <w:hyperlink r:id="rId195" w:history="1">
        <w:r>
          <w:rPr>
            <w:rFonts w:ascii="arial" w:eastAsia="arial" w:hAnsi="arial" w:cs="arial"/>
            <w:i/>
            <w:color w:val="0077CC"/>
            <w:sz w:val="20"/>
            <w:u w:val="single"/>
            <w:shd w:val="clear" w:color="auto" w:fill="FFFFFF"/>
            <w:lang w:val="en-US" w:eastAsia="en-US" w:bidi="ar-SA"/>
          </w:rPr>
          <w:t>2017 BCCA 331</w:t>
        </w:r>
      </w:hyperlink>
      <w:r>
        <w:rPr>
          <w:rFonts w:ascii="arial" w:eastAsia="arial" w:hAnsi="arial" w:cs="arial"/>
          <w:color w:val="000000"/>
          <w:sz w:val="20"/>
          <w:lang w:val="en-US" w:eastAsia="en-US" w:bidi="ar-SA"/>
        </w:rPr>
        <w:t>. The Court of Appeal, in particular, dismissed the appeal from the order which had dismissed Gordon's application for a declaration that he was a beneficiary of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Relief Sought by Rick against Gordon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Since there is considerable overlap between the relief sought by Rick against Gordon in both the Vancouver proceeding and the Victoria action, I will consider them essentially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Before doing so I must deal with an issue that arose, being whether I should hear the applications in the Victoria action. That is because, in Gordon's response to Rick's application to have the Victoria Action dismissed, he made allegations regarding my conduct on prior applications, including that I "made up excuses for that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Rick's and his former counsel's] criminality, that I "perverted Justice to cover [my] own blunders", and that I became an accessory after the fact to indictable offences committed by [Rick] in relation to a conspiracy to "rig the bidding on the property so as to accomplish Fraudulent Title to real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This was not the first time my impartiality and alleged conduct had been called into question by Gordon. This first occurred prior to the hearing of applications in March 2014 with the allegations then withdrawn at the hearing: see </w:t>
      </w:r>
      <w:hyperlink r:id="rId192" w:history="1">
        <w:r>
          <w:rPr>
            <w:rFonts w:ascii="arial" w:eastAsia="arial" w:hAnsi="arial" w:cs="arial"/>
            <w:i/>
            <w:color w:val="0077CC"/>
            <w:sz w:val="20"/>
            <w:u w:val="single"/>
            <w:shd w:val="clear" w:color="auto" w:fill="FFFFFF"/>
            <w:lang w:val="en-US" w:eastAsia="en-US" w:bidi="ar-SA"/>
          </w:rPr>
          <w:t>2014 BCSC 754</w:t>
        </w:r>
      </w:hyperlink>
      <w:r>
        <w:rPr>
          <w:rFonts w:ascii="arial" w:eastAsia="arial" w:hAnsi="arial" w:cs="arial"/>
          <w:color w:val="000000"/>
          <w:sz w:val="20"/>
          <w:lang w:val="en-US" w:eastAsia="en-US" w:bidi="ar-SA"/>
        </w:rPr>
        <w:t xml:space="preserve"> at paras. 9-10.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Gordon did not make any such allegations in his response to the relief sought by Rick in the Vancouver proceedings, including that he be held in contempt of court and declared a vexatious litigant. In fact, his position was that it was entirely appropriate that I hear those applications, and that is what first proceeded before me in February 2018. During the course of that week, Gordon indicated to the court that he had given the matter some further thought, that he had "great respect" for me personally and the court, and that he consented to having both Rick's and his own application in the Victoria action heard by me. At the time, I indicated to the parties that while I was assisted by Gordon's comments and consent, I would also consider the issue within the parameters of the applicable principles relating to recusal which are set out,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Gaudaur</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2007 BCSC 434</w:t>
        </w:r>
      </w:hyperlink>
      <w:r>
        <w:rPr>
          <w:rFonts w:ascii="arial" w:eastAsia="arial" w:hAnsi="arial" w:cs="arial"/>
          <w:color w:val="000000"/>
          <w:sz w:val="20"/>
          <w:lang w:val="en-US" w:eastAsia="en-US" w:bidi="ar-SA"/>
        </w:rPr>
        <w:t>. Having done so, I concluded that I should not recuse myself from hearing the Victoria action applications, which were then heard on March 29 and 30,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will now turn to the substantive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Section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Vexatious proceedings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If, on application by any person, the court is satisfied that a person has habitually, persistently and without reasonable grounds, instituted vexatious legal proceedings in the Supreme Court or in the Provincial Court against the same or different persons, the court may, after hearing that person or giving him or her an opportunity to be heard, order that a legal proceeding must not, without leave of the court, be instituted by that person in any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Hokhold v. Gerbrandt</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2017 BCSC 1249</w:t>
        </w:r>
      </w:hyperlink>
      <w:r>
        <w:rPr>
          <w:rFonts w:ascii="arial" w:eastAsia="arial" w:hAnsi="arial" w:cs="arial"/>
          <w:color w:val="000000"/>
          <w:sz w:val="20"/>
          <w:lang w:val="en-US" w:eastAsia="en-US" w:bidi="ar-SA"/>
        </w:rPr>
        <w:t>, the legal framework was summarized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In considering whether a litigant is vexatious or an appeal is vexatious, </w:t>
      </w:r>
      <w:r>
        <w:rPr>
          <w:rFonts w:ascii="arial" w:eastAsia="arial" w:hAnsi="arial" w:cs="arial"/>
          <w:color w:val="000000"/>
          <w:sz w:val="20"/>
          <w:u w:val="single"/>
          <w:lang w:val="en-US" w:eastAsia="en-US" w:bidi="ar-SA"/>
        </w:rPr>
        <w:t>the court will look to the whole history of the matter</w:t>
      </w:r>
      <w:r>
        <w:rPr>
          <w:rFonts w:ascii="arial" w:eastAsia="arial" w:hAnsi="arial" w:cs="arial"/>
          <w:color w:val="000000"/>
          <w:sz w:val="20"/>
          <w:lang w:val="en-US" w:eastAsia="en-US" w:bidi="ar-SA"/>
        </w:rPr>
        <w:t xml:space="preserve">, with the ultimate question being, as stated by Justice Donald in </w:t>
      </w:r>
      <w:r>
        <w:rPr>
          <w:rFonts w:ascii="arial" w:eastAsia="arial" w:hAnsi="arial" w:cs="arial"/>
          <w:i/>
          <w:color w:val="000000"/>
          <w:sz w:val="20"/>
          <w:lang w:val="en-US" w:eastAsia="en-US" w:bidi="ar-SA"/>
        </w:rPr>
        <w:t>Lindsay v. Canada (Attorney General)</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2005 BCCA 594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Lindsay</w:t>
      </w:r>
      <w:r>
        <w:rPr>
          <w:rFonts w:ascii="arial" w:eastAsia="arial" w:hAnsi="arial" w:cs="arial"/>
          <w:color w:val="000000"/>
          <w:sz w:val="20"/>
          <w:lang w:val="en-US" w:eastAsia="en-US" w:bidi="ar-SA"/>
        </w:rPr>
        <w:t>] at paragraph 26, whether "the litigant has taken himself over the line".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In </w:t>
      </w:r>
      <w:r>
        <w:rPr>
          <w:rFonts w:ascii="arial" w:eastAsia="arial" w:hAnsi="arial" w:cs="arial"/>
          <w:i/>
          <w:color w:val="000000"/>
          <w:sz w:val="20"/>
          <w:lang w:val="en-US" w:eastAsia="en-US" w:bidi="ar-SA"/>
        </w:rPr>
        <w:t>Carten v. Carten</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2015 BCCA 201</w:t>
        </w:r>
      </w:hyperlink>
      <w:r>
        <w:rPr>
          <w:rFonts w:ascii="arial" w:eastAsia="arial" w:hAnsi="arial" w:cs="arial"/>
          <w:color w:val="000000"/>
          <w:sz w:val="20"/>
          <w:lang w:val="en-US" w:eastAsia="en-US" w:bidi="ar-SA"/>
        </w:rPr>
        <w:t xml:space="preserve">, Justice Bennett referred to </w:t>
      </w:r>
      <w:r>
        <w:rPr>
          <w:rFonts w:ascii="arial" w:eastAsia="arial" w:hAnsi="arial" w:cs="arial"/>
          <w:i/>
          <w:color w:val="000000"/>
          <w:sz w:val="20"/>
          <w:lang w:val="en-US" w:eastAsia="en-US" w:bidi="ar-SA"/>
        </w:rPr>
        <w:t>Lindsay</w:t>
      </w:r>
      <w:r>
        <w:rPr>
          <w:rFonts w:ascii="arial" w:eastAsia="arial" w:hAnsi="arial" w:cs="arial"/>
          <w:color w:val="000000"/>
          <w:sz w:val="20"/>
          <w:lang w:val="en-US" w:eastAsia="en-US" w:bidi="ar-SA"/>
        </w:rPr>
        <w:t xml:space="preserve"> in enumerating certain of the key principles which can be considered on an application for a vexatious litigant order: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In </w:t>
      </w:r>
      <w:r>
        <w:rPr>
          <w:rFonts w:ascii="arial" w:eastAsia="arial" w:hAnsi="arial" w:cs="arial"/>
          <w:i/>
          <w:color w:val="000000"/>
          <w:sz w:val="20"/>
          <w:lang w:val="en-US" w:eastAsia="en-US" w:bidi="ar-SA"/>
        </w:rPr>
        <w:t>Lindsay v. Canada (Attorney General)</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2005 BCCA 594</w:t>
        </w:r>
      </w:hyperlink>
      <w:r>
        <w:rPr>
          <w:rFonts w:ascii="arial" w:eastAsia="arial" w:hAnsi="arial" w:cs="arial"/>
          <w:color w:val="000000"/>
          <w:sz w:val="20"/>
          <w:lang w:val="en-US" w:eastAsia="en-US" w:bidi="ar-SA"/>
        </w:rPr>
        <w:t>, Donald J.A. cited at para. 25 the following non-exhaustive list of principles that may be considered on an application for a vexatious litigant order:</w:t>
      </w:r>
    </w:p>
    <w:p>
      <w:pPr>
        <w:numPr>
          <w:numId w:val="25"/>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bringing of </w:t>
      </w:r>
      <w:r>
        <w:rPr>
          <w:rFonts w:ascii="arial" w:eastAsia="arial" w:hAnsi="arial" w:cs="arial"/>
          <w:color w:val="000000"/>
          <w:sz w:val="20"/>
          <w:u w:val="single"/>
          <w:lang w:val="en-US" w:eastAsia="en-US" w:bidi="ar-SA"/>
        </w:rPr>
        <w:t>one or more actions</w:t>
      </w:r>
      <w:r>
        <w:rPr>
          <w:rFonts w:ascii="arial" w:eastAsia="arial" w:hAnsi="arial" w:cs="arial"/>
          <w:color w:val="000000"/>
          <w:sz w:val="20"/>
          <w:lang w:val="en-US" w:eastAsia="en-US" w:bidi="ar-SA"/>
        </w:rPr>
        <w:t xml:space="preserve"> to determine an issue which has already been determined by a court of competent jurisdiction constitutes a vexatious proceeding;</w:t>
      </w:r>
    </w:p>
    <w:p>
      <w:pPr>
        <w:numPr>
          <w:numId w:val="26"/>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where it is obvious that an action cannot succeed</w:t>
      </w:r>
      <w:r>
        <w:rPr>
          <w:rFonts w:ascii="arial" w:eastAsia="arial" w:hAnsi="arial" w:cs="arial"/>
          <w:color w:val="000000"/>
          <w:sz w:val="20"/>
          <w:lang w:val="en-US" w:eastAsia="en-US" w:bidi="ar-SA"/>
        </w:rPr>
        <w:t>, or if the action would lead to no possible good, or if no reasonable person can reasonably expect to obtain relief, the action is vexatious;</w:t>
      </w:r>
    </w:p>
    <w:p>
      <w:pPr>
        <w:numPr>
          <w:numId w:val="2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vexatious actions include those brought for an improper purpose, including the harassment and oppression of other parties by multifarious proceedings brought for purposes other than the assertion of legitimate rights;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general characteristic of vexatious proceedings that grounds and issues raised tend to be rolled forward into subsequent actions and repeated and supplemented, often with actions brought against the lawyers who have acted for or against the litigant in earlier proceedings;</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proceedings are vexatious, the court must look at the whole history of the matter and not just whether there was originally a good cause of action;</w:t>
      </w:r>
    </w:p>
    <w:p>
      <w:pPr>
        <w:numPr>
          <w:numId w:val="3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of the person instituting the proceedings to pay the costs of unsuccessful proceedings is one factor to be considered in determining whether proceedings are vexatious.</w:t>
      </w:r>
    </w:p>
    <w:p>
      <w:pPr>
        <w:numPr>
          <w:numId w:val="3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respondent's conduct in persistently taking unsuccessful appeals form judicial decisions can be considered vexatious conduct of legal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Dawson v. Dawson</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2014 BCSC 44</w:t>
        </w:r>
      </w:hyperlink>
      <w:r>
        <w:rPr>
          <w:rFonts w:ascii="arial" w:eastAsia="arial" w:hAnsi="arial" w:cs="arial"/>
          <w:color w:val="000000"/>
          <w:sz w:val="20"/>
          <w:lang w:val="en-US" w:eastAsia="en-US" w:bidi="ar-SA"/>
        </w:rPr>
        <w:t xml:space="preserve"> at paras. 15ff. [</w:t>
      </w:r>
      <w:r>
        <w:rPr>
          <w:rFonts w:ascii="arial" w:eastAsia="arial" w:hAnsi="arial" w:cs="arial"/>
          <w:i/>
          <w:color w:val="000000"/>
          <w:sz w:val="20"/>
          <w:lang w:val="en-US" w:eastAsia="en-US" w:bidi="ar-SA"/>
        </w:rPr>
        <w:t>Dawson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In the CA-VLA reasons, Justice Newbury noted: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An order under s. 29 of the </w:t>
      </w:r>
      <w:r>
        <w:rPr>
          <w:rFonts w:ascii="arial" w:eastAsia="arial" w:hAnsi="arial" w:cs="arial"/>
          <w:i/>
          <w:color w:val="000000"/>
          <w:sz w:val="20"/>
          <w:lang w:val="en-US" w:eastAsia="en-US" w:bidi="ar-SA"/>
        </w:rPr>
        <w:t>Court of Appeal Act</w:t>
      </w:r>
      <w:r>
        <w:rPr>
          <w:rFonts w:ascii="arial" w:eastAsia="arial" w:hAnsi="arial" w:cs="arial"/>
          <w:color w:val="000000"/>
          <w:sz w:val="20"/>
          <w:lang w:val="en-US" w:eastAsia="en-US" w:bidi="ar-SA"/>
        </w:rPr>
        <w:t xml:space="preserve"> is obviously not one that should be made lightly. Such an order is an "extraordinary remedy that alters a person's right to access the courts": </w:t>
      </w:r>
      <w:r>
        <w:rPr>
          <w:rFonts w:ascii="arial" w:eastAsia="arial" w:hAnsi="arial" w:cs="arial"/>
          <w:i/>
          <w:color w:val="000000"/>
          <w:sz w:val="20"/>
          <w:lang w:val="en-US" w:eastAsia="en-US" w:bidi="ar-SA"/>
        </w:rPr>
        <w:t>Kallaba v. Bylykbashi</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(2006) 207 O.A.C. 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lve. to app. dism'd</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[2006] S.C.C.A. No. 144</w:t>
        </w:r>
      </w:hyperlink>
      <w:r>
        <w:rPr>
          <w:rFonts w:ascii="arial" w:eastAsia="arial" w:hAnsi="arial" w:cs="arial"/>
          <w:color w:val="000000"/>
          <w:sz w:val="20"/>
          <w:lang w:val="en-US" w:eastAsia="en-US" w:bidi="ar-SA"/>
        </w:rPr>
        <w:t xml:space="preserve">, at para. 31. In </w:t>
      </w:r>
      <w:r>
        <w:rPr>
          <w:rFonts w:ascii="arial" w:eastAsia="arial" w:hAnsi="arial" w:cs="arial"/>
          <w:i/>
          <w:color w:val="000000"/>
          <w:sz w:val="20"/>
          <w:lang w:val="en-US" w:eastAsia="en-US" w:bidi="ar-SA"/>
        </w:rPr>
        <w:t>Nayyar v. Manufacturers Life Insurance Company</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2016 BCSC 1587</w:t>
        </w:r>
      </w:hyperlink>
      <w:r>
        <w:rPr>
          <w:rFonts w:ascii="arial" w:eastAsia="arial" w:hAnsi="arial" w:cs="arial"/>
          <w:color w:val="000000"/>
          <w:sz w:val="20"/>
          <w:lang w:val="en-US" w:eastAsia="en-US" w:bidi="ar-SA"/>
        </w:rPr>
        <w:t>, Mr. Justice Voith observed that: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An order declaring that an individual is a vexatious litigant is a serious matter. It is not an order that is lightly made. At the same time, that order is, in certain circumstances, in the public interest and necessary to prevent ongoing abuse of the court's process. [At para. 78.]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Rick seeks a declaration that Gordon is a vexatious litigant, in part, on the basis of what he terms a "long history, spanning decades of pernicious litigation". And yet the real basis for the relief sought is an attempt to protect Rick and the estate from further proceedings brought by Gordon in relation to various estate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Rick submits that the only impediment to the estate being wound up and the final passing of accounts are the delays caused by Gordon's conduct, which includes pursuing his appeal and commencing the Victoria action. In his counsel's words, "to get to the finishing line we need the Victoria action dismissed and no further proceedings brought against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Victoria action advances various heads of relief, all of which are related to the estate and its administration, including:</w:t>
      </w:r>
      <w:r>
        <w:rPr>
          <w:rFonts w:ascii="arial" w:eastAsia="arial" w:hAnsi="arial" w:cs="arial"/>
          <w:sz w:val="20"/>
          <w:lang w:val="en-US" w:eastAsia="en-US" w:bidi="ar-SA"/>
        </w:rPr>
        <w:cr/>
      </w:r>
    </w:p>
    <w:p>
      <w:pPr>
        <w:numPr>
          <w:numId w:val="3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unspecified damages against the defendants for "distress" and "alienation of affection", among other things (para. 42);</w:t>
      </w:r>
    </w:p>
    <w:p>
      <w:pPr>
        <w:numPr>
          <w:numId w:val="3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requiring the Land Title Office to "revoke" the transfer of the Property ordered by Abrioux J. in the estate litigation as a result of "criminal conspiracy" and "fraudulent conversion" allegedly perpetrated by the defendants (para. 43);</w:t>
      </w:r>
    </w:p>
    <w:p>
      <w:pPr>
        <w:numPr>
          <w:numId w:val="3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in the amount of $1,000,000.00 to be paid into the estate by the defendants and Michael Geldert (as an "accomplice") jointly and severally for "criminal conspiracy to perpetrate Fraud upon the court" and "deliberately misusing the powers and resources at the disposal of the office of Executor" allegedly perpetrated by the defendants (para. 44);</w:t>
      </w:r>
    </w:p>
    <w:p>
      <w:pPr>
        <w:numPr>
          <w:numId w:val="3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unspecified damages in favour of the estate for "funds of the Estate which were wasted by William F. Watson, as he fomented litigation motivated by his own mendacity" (para. 45);</w:t>
      </w:r>
    </w:p>
    <w:p>
      <w:pPr>
        <w:numPr>
          <w:numId w:val="3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Canada Revenue Agency perform a "full accounting" of the estate as a result of conspiracy to "commit tax evasion" allegedly perpetrated by the defendants (para. 46);</w:t>
      </w:r>
    </w:p>
    <w:p>
      <w:pPr>
        <w:numPr>
          <w:numId w:val="3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unspecified damages apparently relating to wrongfully retaining Michael Geldert as counsel (para. 47);</w:t>
      </w:r>
    </w:p>
    <w:p>
      <w:pPr>
        <w:numPr>
          <w:numId w:val="3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"exemplary" damages in the amount of $1,000,000.00 payable to the plaintiff and Marian Strong, the plaintiff's sister (a non-party to this proceeding) for "squandering" Estate assets (para. 48);</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against the defendants for allegedly "mis-managing" the office of executor of the estate and in particular failing to obtain the best price for the Property (para. 49);</w:t>
      </w:r>
    </w:p>
    <w:p>
      <w:pPr>
        <w:numPr>
          <w:numId w:val="4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unspecified damages against the defendants for alleged contravention of the </w:t>
      </w:r>
      <w:r>
        <w:rPr>
          <w:rFonts w:ascii="arial" w:eastAsia="arial" w:hAnsi="arial" w:cs="arial"/>
          <w:i/>
          <w:color w:val="000000"/>
          <w:sz w:val="20"/>
          <w:lang w:val="en-US" w:eastAsia="en-US" w:bidi="ar-SA"/>
        </w:rPr>
        <w:t>Fraudulent Conveyance Act</w:t>
      </w:r>
      <w:r>
        <w:rPr>
          <w:rFonts w:ascii="arial" w:eastAsia="arial" w:hAnsi="arial" w:cs="arial"/>
          <w:color w:val="000000"/>
          <w:sz w:val="20"/>
          <w:lang w:val="en-US" w:eastAsia="en-US" w:bidi="ar-SA"/>
        </w:rPr>
        <w:t xml:space="preserve">, "criminal conspiracy" and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among other things respecting the "rigged" sale of the Property to the purchaser, 0831167 BC Ltd. (para. 50);</w:t>
      </w:r>
    </w:p>
    <w:p>
      <w:pPr>
        <w:numPr>
          <w:numId w:val="4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 against the defendant and Michael Geldert for "obstruction of justice" (paras. 51-52);</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 against Michael Geldert for "obstruction of justice" on account of "perjury" (paras. 53-55);</w:t>
      </w:r>
    </w:p>
    <w:p>
      <w:pPr>
        <w:numPr>
          <w:numId w:val="4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damages against the defendants for criminal mail theft (s. 356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payable "in the form of a gold Maple Leaf coin uttered by the Royal Mint" (para. 56);</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 against the defendant and Michael Geldert (as an "accomplice") for "extortion" (para. 57); and</w:t>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"tortious interference" against the defendants for allegedly requesting that certain utility providers cease service to the Property which was "a place in which I was then living, with winter coming on, which was an attempt to deny me the necessities of life" (paras. 58-59).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Rick's position is that these claims, which relate in part to the alleged conduct of his former counsel, are scandalous, frivolous and vexatious, and also amount to an abuse of the court's process. He points to the unsuccessful allegations made by Gordon in the Vancouver proceeding, including his attempts to have Rick removed as executor and the award of special costs made against him in this proceeding. He also argues that the claims in the Amended NOCC include non parties, and attempt to re-litigate matters already decided in the Vancouver proceeding and which Gordon unsuccessfully appealed, including that he was not a beneficiary of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Gordon, for his part, acknowledges that the Amended NOCC was filed before the appeal was heard in September 2017 and that, as currently pleaded, it cannot stand since it is essentially predicated on his being found to be a beneficiary of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His focus in his submissions was to be provided the opportunity to file a Further Amended NOCC. For that he will need leave of the court since he filed the Amended NOCC without leave as he was entitled to do pursuant to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He argued that not all of his claims in the Victoria action necessarily relate to Rick's actions </w:t>
      </w:r>
      <w:r>
        <w:rPr>
          <w:rFonts w:ascii="arial" w:eastAsia="arial" w:hAnsi="arial" w:cs="arial"/>
          <w:i/>
          <w:color w:val="000000"/>
          <w:sz w:val="20"/>
          <w:lang w:val="en-US" w:eastAsia="en-US" w:bidi="ar-SA"/>
        </w:rPr>
        <w:t>qua</w:t>
      </w:r>
      <w:r>
        <w:rPr>
          <w:rFonts w:ascii="arial" w:eastAsia="arial" w:hAnsi="arial" w:cs="arial"/>
          <w:color w:val="000000"/>
          <w:sz w:val="20"/>
          <w:lang w:val="en-US" w:eastAsia="en-US" w:bidi="ar-SA"/>
        </w:rPr>
        <w:t xml:space="preserve"> executor. He stated in his submissions that he intends to have the action proceed before a jury and that he will have the proof that there has been a fraud perpetrated on the court and the beneficiaries by Rick, his former counsel, and perhaps the real estate agent involved in the sale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part, Gordon alleges that he will garner the required evidence to prove to a jury that the Property was purchased by individuals involved in organized crime who used funds laundered through B.C. casinos. There was not a shred of evidence before the court on these applications in that regard, nor is that pleaded in the Amended NOCC.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Gordon also supports Marian's submissions that Theresa was not entitled to accept the offer for the sale of the Property since she did so pursuant to a power of attorney granted to her by Rick, who was apparently out of the country during August 2014. I shall consider that submission below within the context of Marian's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any event, Gordon wishes to have the opportunity to put the basis of his claims in the form of a proposed amended pleading. He also made it clear that, if he is not successful, he intends to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I.J. v. J.A.M.</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2014 BCSC 89</w:t>
        </w:r>
      </w:hyperlink>
      <w:r>
        <w:rPr>
          <w:rFonts w:ascii="arial" w:eastAsia="arial" w:hAnsi="arial" w:cs="arial"/>
          <w:color w:val="000000"/>
          <w:sz w:val="20"/>
          <w:lang w:val="en-US" w:eastAsia="en-US" w:bidi="ar-SA"/>
        </w:rPr>
        <w:t>, Justice Burnyeat, at paras. 63-69, summarized the legal framework in a way which, in my view, is entirely applicable to the circumstances of the Victoria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 Are the pleadings frivolous, vexatious and an abuse of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[63] Pursuant to Rule 9-5(1)(b) and/or 9-5(1)(d), the Court has a discretion to disallow a claim in situations where the continuance of the claim would violate principles of judicial economy, consistency, finality and the integrity of the administration of justice: </w:t>
      </w:r>
      <w:r>
        <w:rPr>
          <w:rFonts w:ascii="arial" w:eastAsia="arial" w:hAnsi="arial" w:cs="arial"/>
          <w:i/>
          <w:color w:val="000000"/>
          <w:sz w:val="20"/>
          <w:lang w:val="en-US" w:eastAsia="en-US" w:bidi="ar-SA"/>
        </w:rPr>
        <w:t>Drover v. BCE Inc.</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[2013] B.C.J. No. 1643</w:t>
        </w:r>
      </w:hyperlink>
      <w:r>
        <w:rPr>
          <w:rFonts w:ascii="arial" w:eastAsia="arial" w:hAnsi="arial" w:cs="arial"/>
          <w:color w:val="000000"/>
          <w:sz w:val="20"/>
          <w:lang w:val="en-US" w:eastAsia="en-US" w:bidi="ar-SA"/>
        </w:rPr>
        <w:t xml:space="preserve"> (S.C.) at para. 20. It is also the case that, where pleadings are "so prolix and confusing" that it makes it difficult or impossible for a party to understand the case to be met, the pleadings may also be struck out as an abuse of process: </w:t>
      </w:r>
      <w:r>
        <w:rPr>
          <w:rFonts w:ascii="arial" w:eastAsia="arial" w:hAnsi="arial" w:cs="arial"/>
          <w:i/>
          <w:color w:val="000000"/>
          <w:sz w:val="20"/>
          <w:lang w:val="en-US" w:eastAsia="en-US" w:bidi="ar-SA"/>
        </w:rPr>
        <w:t>Gateway Building Management Ltd. v. Randhawa</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[2013] B.C.J. No. 410</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The pleadings of the Plaintiff are poorly drafted, unnecessarily long, confusing, and highly repetitive. The Notice of Civil Claim is 55 pages long and contains 187 paragraphs as well as a preamble. The Amended Notice of Civil Claim is 15 pages long and contains 109 paragraphs as well as a preamble. Both documents contain much extraneous and irrelevant information, including scandalous allegations made in respect of non-parties.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[65] The Plaintiff has not organized her claims or her description of the events giving rise to the claims in way that can be followed easily or at all. Unlike Rule 9-1(5) (a), the Court may consider additional evidence under Rules 9-5(1)(b) and 9-5(1)(d). Accordingly, my review of the Particulars provided by the Plaintiff also allows me to draw the conclusion that the same are poorly drafted and the document is confusing, repetitive, lacks in coherence and contains conflicting and scandalous allegations.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[66] But for the conclusions that I have drawn relating to the pleadings set out in the Claim, I would have exercised the discretion available to me to strike out the Claim as being frivolous, vexatious and an abuse of process.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 Should leave to amend to be granted?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An Order has already been made and what is being reviewed in these Reasons for Judgment relates to the Amended Notice of Civil Claim. It is plain and obvious that the deficiencies in the Claim relating to DC cannot be cured by amendment. A plaintiff should not be allowed to amend a defective pleading if it is plain and obvious that any redrafted pleadings are bound to fail for want of a legal foundation: </w:t>
      </w:r>
      <w:r>
        <w:rPr>
          <w:rFonts w:ascii="arial" w:eastAsia="arial" w:hAnsi="arial" w:cs="arial"/>
          <w:i/>
          <w:color w:val="000000"/>
          <w:sz w:val="20"/>
          <w:lang w:val="en-US" w:eastAsia="en-US" w:bidi="ar-SA"/>
        </w:rPr>
        <w:t>LMS 3259 v. Sze Hang Holdings Inc.</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[2009] B.C.J. No. 694</w:t>
        </w:r>
      </w:hyperlink>
      <w:r>
        <w:rPr>
          <w:rFonts w:ascii="arial" w:eastAsia="arial" w:hAnsi="arial" w:cs="arial"/>
          <w:color w:val="000000"/>
          <w:sz w:val="20"/>
          <w:lang w:val="en-US" w:eastAsia="en-US" w:bidi="ar-SA"/>
        </w:rPr>
        <w:t xml:space="preserve"> (S.C.) at paras. 56-57. Failure to in any way provide a legal basis for the claims of the Plaintiff indicates that the pleadings are unlikely to be cured by redrafting.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[68] It would violate the principles of judicial economy, consistency, finality and the integrity of the administration of justice to allow the Plaintiff to further amend her Amended Notice of Civil Claim. In this regard, see </w:t>
      </w:r>
      <w:r>
        <w:rPr>
          <w:rFonts w:ascii="arial" w:eastAsia="arial" w:hAnsi="arial" w:cs="arial"/>
          <w:i/>
          <w:color w:val="000000"/>
          <w:sz w:val="20"/>
          <w:lang w:val="en-US" w:eastAsia="en-US" w:bidi="ar-SA"/>
        </w:rPr>
        <w:t>Gondal v. Eagle Plains Resources Ltd.</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[2011] B.C.J. No. 1444</w:t>
        </w:r>
      </w:hyperlink>
      <w:r>
        <w:rPr>
          <w:rFonts w:ascii="arial" w:eastAsia="arial" w:hAnsi="arial" w:cs="arial"/>
          <w:color w:val="000000"/>
          <w:sz w:val="20"/>
          <w:lang w:val="en-US" w:eastAsia="en-US" w:bidi="ar-SA"/>
        </w:rPr>
        <w:t xml:space="preserve"> (S.C.) at paras. 32-33.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[69] I have concluded that further amendments of the Amended Notice of Civil Claim are unlikely to "cure" any "claims" of the Plaintiff. The Plaintiff has already been given one opportunity to remedy the defects in her pleading and to articulate legally viable bases for her claims against DC. Under the circumstances, the Plaintiff ought not to be given a further opportunity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conclude that the Amended NOCC offends virtually every principle which applies to a proper pleading. A non-exhaustive list includes:</w:t>
      </w:r>
      <w:r>
        <w:rPr>
          <w:rFonts w:ascii="arial" w:eastAsia="arial" w:hAnsi="arial" w:cs="arial"/>
          <w:sz w:val="20"/>
          <w:lang w:val="en-US" w:eastAsia="en-US" w:bidi="ar-SA"/>
        </w:rPr>
        <w:cr/>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predicated on Gordon being a beneficiary, but he is not;</w:t>
      </w:r>
    </w:p>
    <w:p>
      <w:pPr>
        <w:numPr>
          <w:numId w:val="4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essentially a personal attack against Rick and others who have been involved in the administration of the estate;</w:t>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advances claims which are unknown at law; and</w:t>
      </w:r>
    </w:p>
    <w:p>
      <w:pPr>
        <w:numPr>
          <w:numId w:val="4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attempts to re litigate issues which have already been decided both in this Court and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my view, the Victoria action should be dismissed not only pursuant to R. 9-5(1)(b) and (d), but also (a) in that it discloses no reasonable claim and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Rick's application in the Victoria action to have the claim dismissed was filed on December 22, 2017, and Gordon has chosen not to place a draft of a proposed further amended NOCC before the court. If there are, in fact, "legally viable bases" for his claims against Rick which he believes can be brought by a non-beneficiary, then they should have been before the court on this application in the form of a proposed Further Amended NOCC.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As was the case in </w:t>
      </w:r>
      <w:r>
        <w:rPr>
          <w:rFonts w:ascii="arial" w:eastAsia="arial" w:hAnsi="arial" w:cs="arial"/>
          <w:i/>
          <w:color w:val="000000"/>
          <w:sz w:val="20"/>
          <w:lang w:val="en-US" w:eastAsia="en-US" w:bidi="ar-SA"/>
        </w:rPr>
        <w:t>I.J.</w:t>
      </w:r>
      <w:r>
        <w:rPr>
          <w:rFonts w:ascii="arial" w:eastAsia="arial" w:hAnsi="arial" w:cs="arial"/>
          <w:color w:val="000000"/>
          <w:sz w:val="20"/>
          <w:lang w:val="en-US" w:eastAsia="en-US" w:bidi="ar-SA"/>
        </w:rPr>
        <w:t>, I am of the view that there is no basis for providing Gordon with the opportunity to articulate his claims against Rick and perhaps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Accordingly, the Victoria Action is dismissed with costs to Rick. It follows that Gordon's application for leave to file a Further Amended NOCC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Rather than have the costs of those applications assessed which will involve time and additional expense to Rick and thus the estate, I assess lump sum party and party costs, including disbursements and taxes at $1,500 (the "Victoria action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This then leads to whether I should declare Gordon to be a vexatious litigant.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do not consider Gordon's lengthy history as a political activist, including the various unpaid costs orders which have been made against him in unrelated proceedings, to be relevant in determining this issue. Rather, the real question is whether Gordon's conduct "in this matter", that is the administration of the estate and the other factors to which I have referred, should result in an order that he must not commence another legal proceeding in relation to the administration of the estate against Rick or others without leave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is an understatement to say that the Vancouver proceeding has gone on for far too long. At the time of Master Harper's Decision in the fall of 2016, little remained to be completed. And she noted at paras. 8-9 of her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Although the conflict amongst the siblings about what to do about Elwell Street has given rise to these proceedings, the strained relationships date back many years. Gordon sent an email to Rick dated October 17, 2009 (before Rosamunde died) in the context of a particular dispute saying: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 would you like to have everything you own liened-up as the matter grinds along in Court, for years, while I proceed as an indigent.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Even though Gordon is neither an executor nor a beneficiary, he has made the administration of the estate more difficult than it needs to be. His conduct since Rosamund's death is consistent with the threat contained in the email just quoted.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Based on my involvement in the Vancouver proceeding for several years and having now heard the application to strike the Victoria action, I agree with that observation. Gordon has attempted at virtually every turn to delay and hinder Rick's administration of the estate. In the face of the barrage of Gordon's accusations, I stated at para. 57 of the 2014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On the evidence before me, I also conclude that the petitioner has acted entirely appropriately in his attempts to administer the Estate. There is no legal basis for his removal as executor.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remain of that view, but acknowledge that there may be an issue regarding the time frame that the sale proceeds of the Property were not placed in an interest bearing account. That is a matter Master Harper may have to consider at the time of the final passing of accounts and when Rick's final remuneration as executor is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Accordingly, I conclude that Gordon's conduct in the Vancouver proceeding and the commencement of the Victoria action should, with one exception, result in the relief sought by Rick.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would add that had I not dismissed the Victoria action Gordon would still require leave of the court to further amend the Amended NOCC.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So the end result is essentially the same, and I conclude that certain orders should be made either pursuant to s.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or the court's inherent jurisdiction to control its own process. In making these orders, I do not consider a declaration that Gordon is a vexatious litigant to be necessary, although I acknowledge that it is usually made in the context of this type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Section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does not require such a declaration prior to the granting of the substantive remedy set out in that section. In fact the term "declaration" is not mentioned. In light of Gordon's history of social and political activism, such a declaration could perhaps be considered by some to be a barrier or a factor to limit Gordon's legitimate rights to advocate in a legally acceptable manner for causes he wishes to advance. Accordingly, I decline to make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But, a definitive time frame is required for an expeditious conclusion of this matter which has been outstanding for far too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orders will be as follows:</w:t>
      </w:r>
      <w:r>
        <w:rPr>
          <w:rFonts w:ascii="arial" w:eastAsia="arial" w:hAnsi="arial" w:cs="arial"/>
          <w:sz w:val="20"/>
          <w:lang w:val="en-US" w:eastAsia="en-US" w:bidi="ar-SA"/>
        </w:rPr>
        <w:cr/>
      </w:r>
    </w:p>
    <w:p>
      <w:pPr>
        <w:numPr>
          <w:numId w:val="5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Gordon Watson, is hereby restrained and enjoined from instituting any legal proceeding in this Court against the petitioner William Frederick Watson (Rick Watson), Theresa Watson, the estate, the petitioner's current or former counsel, and any parties, including real estate agents involved in the sale of the Property without leave of the court (the "leave application");</w:t>
      </w:r>
    </w:p>
    <w:p>
      <w:pPr>
        <w:numPr>
          <w:numId w:val="5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bringing the leave application, Gordon Watson is to pay Rick Watson the outstanding amount of the special costs ordered on May 13, 2016, being $7,500 and the Victoria action costs of $1,500;</w:t>
      </w:r>
    </w:p>
    <w:p>
      <w:pPr>
        <w:numPr>
          <w:numId w:val="5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leave application is brought:</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to be filed by June 2, 2018, in the Vancouver registry of this Court and include a draft of the proposed pleading which is to comply with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to be served on Rick Watson or his counsel by June 9, 2018;</w:t>
      </w:r>
    </w:p>
    <w:p>
      <w:pPr>
        <w:numPr>
          <w:numId w:val="5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to be heard by July 15, 2018, unless otherwise agreed to by the parties or ordered by the court; and</w:t>
      </w:r>
    </w:p>
    <w:p>
      <w:pPr>
        <w:numPr>
          <w:numId w:val="5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Abrioux J. is seized of the leave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These orders have as their objective fairness to Rick, the beneficiaries, Gordon, and the interests of justice such that the estate reach "the finishing line"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There will also be an order that the estate be wound up within 120 days of the date of these reasons for judgment or the completion of appeals from the orders herein, or the leave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so far as the contempt application is concerned, Gordon acknowledges that he has not complied with the document production order made by Master Harper in December 2017 and he is prepared to produce the documents as I shall set out below. There is also an issue as to whether his conduct at an examination in aid of execution could form the basis of a finding of contempt since it was set in Vancouver with Gordon appearing by phone from Victoria, even though he had accepted the conduct money provided by Rick requiring his attendance in Vancouver. The appointment was not in compliance with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in that the examination should have been set down within 20 kilometers of the Victoria registry of this Court since Gordon resides in that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Having reviewed the transcript of the examination in aid, I have no difficulty in concluding that Gordon's conduct was egregious; this included offensive statements to counsel and Rick.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my view the most practical way to deal with the matters arising out of the contempt application is for me to make the following orders:</w:t>
      </w:r>
      <w:r>
        <w:rPr>
          <w:rFonts w:ascii="arial" w:eastAsia="arial" w:hAnsi="arial" w:cs="arial"/>
          <w:sz w:val="20"/>
          <w:lang w:val="en-US" w:eastAsia="en-US" w:bidi="ar-SA"/>
        </w:rPr>
        <w:cr/>
      </w:r>
    </w:p>
    <w:p>
      <w:pPr>
        <w:numPr>
          <w:numId w:val="5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petitioner shall be entitled to serve a further appointment to examine the respondent, Gordon Watson in aid of execution, and:</w:t>
      </w:r>
    </w:p>
    <w:p>
      <w:pPr>
        <w:numPr>
          <w:numId w:val="5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requirement to provide Gordon Watson, with conduct money is dispensed with;</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Gordon Watson shall attend in person at the time and place set out in the appointment, the examination to take place in Vancouver, B.C.; and</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Gordon Watson shall inform himself ahead of the examination of his financial circumstances and answer all question put to him in respect of the matters set out in Rule 13-4 (2);</w:t>
      </w:r>
    </w:p>
    <w:p>
      <w:pPr>
        <w:numPr>
          <w:numId w:val="61"/>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by consent, within seven (7) days after the date of these reasons, Gordon Watson shall:</w:t>
      </w:r>
    </w:p>
    <w:p>
      <w:pPr>
        <w:numPr>
          <w:numId w:val="62"/>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fully comply with the document disclosure obligations set out in the order of Master Harper dated December 22, 2017; and</w:t>
      </w:r>
    </w:p>
    <w:p>
      <w:pPr>
        <w:numPr>
          <w:numId w:val="6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respond to the outstanding requests made at the examination in aid, including providing to the petitioner the following documents and information and all source documents in his possession, custody or control, required to produce a 2015 tax return:</w:t>
      </w:r>
    </w:p>
    <w:p>
      <w:pPr>
        <w:numPr>
          <w:numId w:val="6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 and contact information of the person who produced his T1 General tax return for 2016;</w:t>
      </w:r>
    </w:p>
    <w:p>
      <w:pPr>
        <w:numPr>
          <w:numId w:val="65"/>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all source documents in his possession, custody or control, which were used to produce his T1 General tax return for 2016;</w:t>
      </w:r>
    </w:p>
    <w:p>
      <w:pPr>
        <w:numPr>
          <w:numId w:val="66"/>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names of employers and list all of the sources of his income or revenue for 2016;</w:t>
      </w:r>
    </w:p>
    <w:p>
      <w:pPr>
        <w:numPr>
          <w:numId w:val="6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un-redacted copies of all of his bank account statements for 2017;</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documents evidencing payments made to him by Sidney Taxi for 2017;</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copy of the rental, lease or other agreement between him and the person or entity which owns the property he resides in; and</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the payment was made to the Court of Appeal in respect of the security for costs ordered on or about March 15, 2017 and provide any documents related to that payment;</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consent, Gordon Watson shall not redact any document he is required to provide; and</w:t>
      </w:r>
    </w:p>
    <w:p>
      <w:pPr>
        <w:numPr>
          <w:numId w:val="7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consent, if not currently in his possession, Gordon shall make all necessary inquiries and use his best efforts to obtain any document or information he is required to provide.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also order that:</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petitioner shall not be required to give notice to the respondent Marian Strong of enforcement proceedings against Gordon Watson; and</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consent, the petitioner may serve any document, including a further application for a finding of contempt of court on Gordon Watson at his residence fax being (250) 654-0423 on any Tuesday or Thursday between the hours of 12:00 noon and 4:00 p.m. and Gordon Watson shall keep his residence fax line in operation during those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Rick seeks special costs against Gordon in the amount of $7,500 in relation to the applications in the Vancouver proceedings. If, having reviewed these reasons and the time lines I have ordered to facilitate the orderly wind up of the estate, he wishes to pursue that remedy, he has leave to do 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Relief sought by Marian against Rick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Marian seeks several orders, including that:</w:t>
      </w:r>
      <w:r>
        <w:rPr>
          <w:rFonts w:ascii="arial" w:eastAsia="arial" w:hAnsi="arial" w:cs="arial"/>
          <w:sz w:val="20"/>
          <w:lang w:val="en-US" w:eastAsia="en-US" w:bidi="ar-SA"/>
        </w:rPr>
        <w:cr/>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estate provide "an accurate accounting";</w:t>
      </w:r>
    </w:p>
    <w:p>
      <w:pPr>
        <w:numPr>
          <w:numId w:val="7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enforce prior orders made regarding production of the estate's bank accounts;</w:t>
      </w:r>
    </w:p>
    <w:p>
      <w:pPr>
        <w:numPr>
          <w:numId w:val="7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court "after considering my concerns, to rule on the Recommendations/suggestions of Master Harper on the Interim Passing of Accounts, including the Former and Current Executors Remuneration ..."</w:t>
      </w:r>
    </w:p>
    <w:p>
      <w:pPr>
        <w:numPr>
          <w:numId w:val="7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Fortis BC to produce all customer records etc. relating to her and Gordon Watson's occupancy of the Property;</w:t>
      </w:r>
    </w:p>
    <w:p>
      <w:pPr>
        <w:numPr>
          <w:numId w:val="8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 of costs ordered in accordance with the May 2016 Reasons; and</w:t>
      </w:r>
    </w:p>
    <w:p>
      <w:pPr>
        <w:numPr>
          <w:numId w:val="8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"[d]eclare null and void the document signed by Theresa Watson titled "Offer to Purchase and Sale" dated August 15, 2014, and thereby overturn the "sale" of the Estate property ... to the Company #0831167 and return ownership to the Estate. To find the Executor personally responsible for any and all costs and differences this may cause the Estate.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will first deal with (a), (b) and (c) since they are somewhat interrelated.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I have noted there was a four-and-a-half day hearing before Master Harper in the late summer and fall of 2016 which resulted in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Marian's attempts to have the court in 2018 revisit and rule on the "Recommendation/suggestions" of Master Harper is misconceived and without merit. That is because Master Harper did not make "recommendations/suggestions", but rather issued what I consider to be a reasoned decision following a lengthy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addition to what I have noted above, the Decision includes references to the following:</w:t>
      </w:r>
      <w:r>
        <w:rPr>
          <w:rFonts w:ascii="arial" w:eastAsia="arial" w:hAnsi="arial" w:cs="arial"/>
          <w:sz w:val="20"/>
          <w:lang w:val="en-US" w:eastAsia="en-US" w:bidi="ar-SA"/>
        </w:rPr>
        <w:cr/>
      </w:r>
    </w:p>
    <w:p>
      <w:pPr>
        <w:numPr>
          <w:numId w:val="8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Marian provided a list of 70 separate objections to the accounts;</w:t>
      </w:r>
    </w:p>
    <w:p>
      <w:pPr>
        <w:numPr>
          <w:numId w:val="8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Marian did identify a few errors; otherwise, "her objections are unfounded or petty";</w:t>
      </w:r>
    </w:p>
    <w:p>
      <w:pPr>
        <w:numPr>
          <w:numId w:val="8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services provided by [former counsel] had been reviewed "and [I] am satisfied that all the work done was for the benefit of the estate";</w:t>
      </w:r>
    </w:p>
    <w:p>
      <w:pPr>
        <w:numPr>
          <w:numId w:val="8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Marian's claim to executor's remuneration until her removal in May 2014 was dismissed "since she had not applied any skill or ability as executor to justify executor's remuneration". In fact, "she is a major cause in the delay in getting [the Property] sold and the associated legal expenses";</w:t>
      </w:r>
    </w:p>
    <w:p>
      <w:pPr>
        <w:numPr>
          <w:numId w:val="8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basis of the evidence presented at the hearing, "Rick has continued to act entirely appropriately in his attempts to administer the estate";</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excessive delay, the protracted court proceedings and Rick's performance overall as executor justify an interim fee of 4.5% with the expectation that if Rick continues as he has been as executor, the remaining 0.5% will be awarded when the estate is wound up and the final passing of accounts occurs"; and</w:t>
      </w:r>
    </w:p>
    <w:p>
      <w:pPr>
        <w:numPr>
          <w:numId w:val="8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Rick is entitled to his costs of the hearing paid as special costs from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Rules 23-6(8) and (9)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Appeal from master, registrar or special referee</w:t>
      </w:r>
    </w:p>
    <w:p>
      <w:pPr>
        <w:numPr>
          <w:numId w:val="8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affected by an order or decision of a master, registrar or special referee may appeal the order or the decision to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Form of appeal</w:t>
      </w:r>
    </w:p>
    <w:p>
      <w:pPr>
        <w:numPr>
          <w:numId w:val="9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appeal must be made by filing a notice of appeal in Form 121 within 14 days after the order or decision complained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No appeal was taken by Marian and the time to do so is long past. To the extent she was not satisfied in the accuracy of the accounting prior to the hearing before Master Harper, those concerns should have been raised then (and it appears they were), and if not properly dealt with, in Marian's opinion, should have formed the basis of an appeal of the Decision. If there are ongoing concerns, they should be raised at the final passing of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relief which Marian seeks regarding the production of estate bank accounts arises out of an order I made on July 19, 2016, primarily in relation to a claim by Marian that the sale proceeds of the Property had not been placed in an interest bearing trust account for the entire period after they were received by Rick or his former counsel. Registrar Nielsen made a similar order at a pre-hearing conference on August 5, 2016, that is prior to the hearing before Master Harper which commenced later that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At this hearing, there was evidence, which I accept, that there were no estate bank records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Rather, the funds were placed in former counsel's trust account. Needless to say, it would have been preferable for former counsel to have raised this issue in 2016 prior to the order being made. Be that as it may, a copy of former counsel's trust ledger was provided to Marian which provides details as to the credits and debits of the estate funds. It would be an unnecessary, time consuming, and unjustified expense to the estate to have former counsel review and make the necessary redaction to his pooled trust account statements such that transactions involving other clients were redacted in order to provide the level of detail which Marian seeks to obtain. Accordingly, this relief is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 will now turn to (f), which occupied a considerable portion of Marian's submissions. It was also relied on by Gordon in relation to a portion of the relief sought by him in the Victoria action, including relief pursuant to the </w:t>
      </w:r>
      <w:r>
        <w:rPr>
          <w:rFonts w:ascii="arial" w:eastAsia="arial" w:hAnsi="arial" w:cs="arial"/>
          <w:i/>
          <w:color w:val="000000"/>
          <w:sz w:val="20"/>
          <w:lang w:val="en-US" w:eastAsia="en-US" w:bidi="ar-SA"/>
        </w:rPr>
        <w:t>Fraudulent Conveyance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163</w:t>
      </w:r>
      <w:r>
        <w:rPr>
          <w:rFonts w:ascii="arial" w:eastAsia="arial" w:hAnsi="arial" w:cs="arial"/>
          <w:color w:val="000000"/>
          <w:sz w:val="20"/>
          <w:lang w:val="en-US" w:eastAsia="en-US" w:bidi="ar-SA"/>
        </w:rPr>
        <w:t>. For the sake of convenience, I will repeat what is sought:</w:t>
      </w:r>
      <w:r>
        <w:rPr>
          <w:rFonts w:ascii="arial" w:eastAsia="arial" w:hAnsi="arial" w:cs="arial"/>
          <w:sz w:val="20"/>
          <w:lang w:val="en-US" w:eastAsia="en-US" w:bidi="ar-SA"/>
        </w:rPr>
        <w:cr/>
      </w:r>
    </w:p>
    <w:p>
      <w:pPr>
        <w:numPr>
          <w:numId w:val="9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[d]eclare null and void the document signed by Theresa Watson titled 'Offer to Purchase and Sale' dated August 15, 2014 and thereby overturn the 'sale' of the Estate property ... to the Company #0831167 and return ownership to the Estate. To find the Executor personally responsible for any and all costs and differences this may cause the Estate.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my view, this claim exemplifies the attempts by Gordon and Marian over time to impede and disrupt the orderly administration of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Simply put, Marian (and Gordon) argue that the court was deceived by Rick and Theresa's misleading and, at least according to Gordon, fraudulent conduct in August 2014 when the Property was ordered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Marian says that it was only well after the completion of the sale of the Property that she and the court became aware that the purchaser's offer had been accepted by Theresa on behalf of the estate pursuant to a power of attorney granted to her by Rick on August 5,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evidence is to the effect that Rick was out of the country at the time the real estate agent received an offer from a numbered company 0831167 B.C. Ltd. (the "numbered company"). On August 15, 2016, I approved that offer which was in the amount of $1,025,000. On August 22, 2016, I ordered that certificates of pending litigation be removed. Marion was present at the hearing of both applications. She did raise concerns regarding the bidding process, but I approved the sale. In doing so, I noted that I had provided Marian the opportunity to place an offer before the court to purchase the Property in the past but this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No appeal was taken or stay sought of the orders of either August 15 or August 22, 2014, and the transaction proceeded to completion on September 30, 2014. By this time Rick had returned to British Columbia and he signed the closing documents on behalf of the estate which included the Form A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Marian argues that although the Form A was properly signed by Rick, the underlying transaction is void since the offer could not be accepted by Theresa on behalf of the estate. She advances what I can only consider to be an astonishing argument that, although the sale proceeds were received by the estate and the beneficiaries, which include her, each have received a portion of those funds that is $50,000 by way of interim distribution, the transaction should be set aside and the sale reversed. According to her, she should keep the interim distribution, and repayment of the sale proceeds to the purchaser being a numbered company (assuming it would accept a reversal of the transaction the better part of four years later) should be Rick's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Marian relies on s. 55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163</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Power of personal representative or trustee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55 A personal representative or trustee who resides outside British Columbia and who has the power, either alone or jointly with another or others, to sell and transfer land or to create a charge on land may</w:t>
      </w:r>
    </w:p>
    <w:p>
      <w:pPr>
        <w:numPr>
          <w:numId w:val="9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 in British Columbia by attorney, and</w:t>
      </w:r>
    </w:p>
    <w:p>
      <w:pPr>
        <w:numPr>
          <w:numId w:val="9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expressly forbidden by the trust instrument, give a valid power of attorney for the exercise in British Columbia of that power and of all discretionary powers in connection with it to any person capable of acting as attorney, including a co-personal representative or a co-trustee.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Marian states in her notice of application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 to Section 55 of the Land Title Act, an Executor cannot have a Power of Attorney to sell land unless the Executor resides outside of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During submissions, she conceded that the effect of her position was that an executor who resides in British Columbia could not sell land in this province by granting a power of attorney to another, for example, an adult sibling, but that if she/he resided in another province, she/he could.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 disagree. Section 55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does not in any way apply to personal representatives who are resident of British Columbia. Furthermore, there is nothing in either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Power of Attorney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370</w:t>
      </w:r>
      <w:r>
        <w:rPr>
          <w:rFonts w:ascii="arial" w:eastAsia="arial" w:hAnsi="arial" w:cs="arial"/>
          <w:color w:val="000000"/>
          <w:sz w:val="20"/>
          <w:lang w:val="en-US" w:eastAsia="en-US" w:bidi="ar-SA"/>
        </w:rPr>
        <w:t xml:space="preserve"> which prevented Rick granting Theresa a power of attorney such that she could accept the offer while he was out of the country.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any event, ss. 25.1(2) and (3)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deal with the effect of void instruments: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Void instruments -- interest acquired or not acquired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25.1 (2) Even though an instrument purporting to transfer a fee simple estate is void, a transferee who</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named in the instrument, and</w:t>
      </w:r>
    </w:p>
    <w:p>
      <w:pPr>
        <w:numPr>
          <w:numId w:val="9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good faith and for valuable consideration, purports to acquire the estate,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deemed to have acquired that estate on registration of that instrument.</w:t>
      </w:r>
    </w:p>
    <w:p>
      <w:pPr>
        <w:numPr>
          <w:numId w:val="9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though a registered instrument purporting to transfer a fee simple estate is void, a transferee who</w:t>
      </w:r>
    </w:p>
    <w:p>
      <w:pPr>
        <w:numPr>
          <w:numId w:val="9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named in the instrument,</w:t>
      </w:r>
    </w:p>
    <w:p>
      <w:pPr>
        <w:numPr>
          <w:numId w:val="9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on the date that this section comes into force, the registered owner of the estate, and</w:t>
      </w:r>
    </w:p>
    <w:p>
      <w:pPr>
        <w:numPr>
          <w:numId w:val="9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good faith and for valuable consideration, purported to acquire the estate,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deemed to have acquired that estate on registration of that instrument.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Marian has also not adduced any evidence relating to the alleged "rigging" of the bidding process, an allegation that is tantamount to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fact, the evidence before me in August 2014 was to the opposite effect. The Property was exposed to the market and the sale was then approved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would add that the arguments Marian makes at this hearing were identical to those made at the hearing on April 28 and 29,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There is also the fact that the numbered company was not named as an application respondent in the notice of application, although a copy of the applicable materials were sent to its records and registered office by double registered 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the event I am wrong in the conclusions I have reached on this issue, I would not grant the relief sought in any event until the numbered company was named as an application respondent and re-served.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also dismiss relief (d), which relates to the production of certain Fortis BC records pertaining to the time frame when Marian and Gordon illegally occupied the Property. Although Fortis, through its counsel, indicated that it would provide those records, I am of the view that this request is another example of Marian delaying the orderly administration and winding up of the estate, and no useful purpose would be achieved by making this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final relief sought is (e), that is for the court to assess the amount of costs Marian should receive as a result of my May 13, 2016 orders, which were made within the context of my May 2016 Reasons (the "May 2016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At that time, I dismissed a number of orders sought by Gordon and Marian, including a second attempt to have Rick removed as executor. It was at this time that I assessed special costs against Gordon at $7,500 and $2,500 against Marian, and found that Gordon had effectively abandoned any alleged interest </w:t>
      </w:r>
      <w:r>
        <w:rPr>
          <w:rFonts w:ascii="arial" w:eastAsia="arial" w:hAnsi="arial" w:cs="arial"/>
          <w:i/>
          <w:color w:val="000000"/>
          <w:sz w:val="20"/>
          <w:lang w:val="en-US" w:eastAsia="en-US" w:bidi="ar-SA"/>
        </w:rPr>
        <w:t>qua</w:t>
      </w:r>
      <w:r>
        <w:rPr>
          <w:rFonts w:ascii="arial" w:eastAsia="arial" w:hAnsi="arial" w:cs="arial"/>
          <w:color w:val="000000"/>
          <w:sz w:val="20"/>
          <w:lang w:val="en-US" w:eastAsia="en-US" w:bidi="ar-SA"/>
        </w:rPr>
        <w:t xml:space="preserve"> beneficiary in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Rick had offered to have the estate pay Marian $3,469 for her costs incurred when she was co-executor of the estate. She sought an additional $2,200, which Rick was not prepared to pay since those expenses apparently were related to the illegal occupation of the Property. I agreed with Rick, and I summarily passed Marian's accounts at $3,469.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Marian was partly successful in that I did, over Rick's objection, order an interim distribution of $50,000 to the beneficiaries. Marian had sought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May 2016 orders also included "costs of these applications are to be paid by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Marian now seeks to have her costs for those applications assessed at an amount in excess of $16,000. This includes approximately $11,000 in legal fees and $3,500 being 50% of the costs of transcripts of various proceedings, including the hearing before Master Harper. I understand that the balance of the transcript costs were paid for by Gordon.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Marian's claim for costs is completely out of proportion to any amount that would be reasonable under the circumstances. I do not understand, for example, why the significant costs for obtaining many transcripts was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Furthermore, quite apart from the fact that some of the expenses were incurred after the May 2016 orders, Marian was only successful on the issue of the interim distribution, and even then the order was for half of the amount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There is also no basis for her receiving reimbursement from the estate for $11,000 of legal fees, particularly when I consider that her accounts were ordered passed in the amount offered by Rick and the orders which arise from the Decision regarding her remuneration.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Under the circumstances which existed at the time of the May 2016 applications, I assess her costs on a party and party lump sum basis, including disbursements and taxes at $750.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There is then the issue as to costs for her application which form the basis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have dismissed all items sought by Marian with the exception of the costs of $750. In my view her conduct in relation to the matters which occupied most of the hearing of her application, being the review of the Decision and the attempt to set aside the sale of the Property, bordered on being worthy of reproof or rebuke, which would warrant an order of special costs against her. And I note that the notice of application does advance egregious allegations against Rick.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But I recognize that the argument relating to s. 55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was brought by a self-represented litigant who I can only assume had no legal advice on the merits of that argument. The same can also perhaps be said regarding Marian's attempt to have the court review the "recommendations/suggestions" of Master Harper, notwithstanding the fact that it was clearly a decision to which R. 23-6(8) and (9)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Accordingly, I assess lump sum party and party costs against Marian in the amount of $1,500, including disbursements and taxes. When the $750 in costs referred to in para. 100 are offset, this will result in a net amount owing by Marian to the estate of $750 and which should be deducted from her next distribution.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have considered the issue of special costs against Marian in the hope of avoiding further expense to Rick and the estate; however, in fairness to Rick, should he wish me to reconsider this issue he has liberty to apply to do 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IV.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conclusion:</w:t>
      </w:r>
      <w:r>
        <w:rPr>
          <w:rFonts w:ascii="arial" w:eastAsia="arial" w:hAnsi="arial" w:cs="arial"/>
          <w:sz w:val="20"/>
          <w:lang w:val="en-US" w:eastAsia="en-US" w:bidi="ar-SA"/>
        </w:rPr>
        <w:cr/>
      </w:r>
    </w:p>
    <w:p>
      <w:pPr>
        <w:numPr>
          <w:numId w:val="10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Victoria action is dismissed, and Gordon is to obtain leave of the court prior to commencing any proceeding against Rick and others referred to in these reasons within the time frame set out in these reasons;</w:t>
      </w:r>
    </w:p>
    <w:p>
      <w:pPr>
        <w:numPr>
          <w:numId w:val="10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winding up of the estate is to be completed within 120 days of these reasons or the conclusion of any appeal(s);</w:t>
      </w:r>
    </w:p>
    <w:p>
      <w:pPr>
        <w:numPr>
          <w:numId w:val="10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Marian's application which includes setting aside the sale of the Property and reviewing the Decision of Master Harper is dismissed, with the exception of costs relating to the May 2016 orders; and</w:t>
      </w:r>
    </w:p>
    <w:p>
      <w:pPr>
        <w:numPr>
          <w:numId w:val="10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net amount of costs to be paid by Marian is $750 which is to be deducted from the next distribution to the beneficiaries.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Rick is also entitled to his costs of the hearing of these applications which are to be paid as special costs from the estate. He also has leave to seek special costs against Gordon and Marian.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As difficult as family acrimony can be to its members, I can only hope that Marian finally recognizes that she is in effect paying 25% of the costs incurred by Rick in opposing the lengthy application she brought. And she has also borne 25% of the significant costs incurred by Rick over the years in relation to the administration of the estate which have largely arisen as a result of her and Gordon's conduct. After reviewing these reasons, she should carefully consider how she conducts herself in this proceeding as it moves to what should be its conclusion over the next 120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 ABRIOUX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May 4, 2018</w:t>
      </w:r>
      <w:r>
        <w:rPr>
          <w:rFonts w:ascii="arial" w:eastAsia="arial" w:hAnsi="arial" w:cs="arial"/>
          <w:sz w:val="20"/>
          <w:lang w:val="en-US" w:eastAsia="en-US" w:bidi="ar-SA"/>
        </w:rPr>
        <w:cr/>
      </w:r>
    </w:p>
    <w:p>
      <w:pPr>
        <w:numPr>
          <w:numId w:val="10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second sentence of paragraph 96, the reference to $1,100 is corrected to read "$11,000".</w:t>
      </w:r>
    </w:p>
    <w:p>
      <w:pPr>
        <w:numPr>
          <w:numId w:val="10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hearing dates on the second page are corrected to read "February 14-16, March 28-29,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 ABRIOUX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8" style="position:absolute;z-index:2518200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696591 B.C. Ltd. v. Madden, [2012] B.C.J. No. 2679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W.B. Scarth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5,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18,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S121187, S126088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2679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1914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696591 B.C. Ltd., Plaintiffs, and Lorene Sandra Madden, Jason Madden, Coastal Community Credit Union, and Tenant or Occupier of Subject Property, Defendants And between Jason Madden, Lorene Madden and KLM Industries Ltd., Plaintiffs, and Tod English, Investors Group Financial Services Inc., 696591 B.C. Ltd. and 656896 B.C.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 paras.)</w:t>
      </w:r>
    </w:p>
    <w:p>
      <w:pPr>
        <w:jc w:val="both"/>
        <w:rPr>
          <w:rFonts w:ascii="arial" w:eastAsia="arial" w:hAnsi="arial" w:cs="arial"/>
          <w:sz w:val="20"/>
          <w:lang w:val="en-US" w:eastAsia="en-US" w:bidi="ar-SA"/>
        </w:rPr>
      </w:pPr>
      <w:bookmarkStart w:id="42" w:name="Counsel_7"/>
      <w:bookmarkEnd w:id="4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9"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696591 B.C. Ltd. and English: C. Ferris.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Investors Group Financial Services Inc.: M.D. Brechtel.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3" w:name="Judgment_7"/>
      <w:bookmarkEnd w:id="43"/>
      <w:r>
        <w:pict>
          <v:line id="_x0000_s1060" style="position:absolute;z-index:2517176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4" w:name="W.B. SCARTH J."/>
            <w:bookmarkEnd w:id="44"/>
            <w:r>
              <w:rPr>
                <w:rFonts w:ascii="arial" w:eastAsia="arial" w:hAnsi="arial" w:cs="arial"/>
                <w:b/>
                <w:color w:val="000000"/>
                <w:sz w:val="30"/>
                <w:lang w:val="en-US" w:eastAsia="en-US" w:bidi="ar-SA"/>
              </w:rPr>
              <w:t>W.B. SCARTH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application before the Court is by Tod English and 696591 B.C. Ltd. for an order pursuant to Rule 22-5(8) to consolidate the two proceedings here into one action. The application is opposed by Investors Group Financial Services Inc., a defendant in the S126088 action. The other parties take no position on the application. It is the position of Investors Group that the relief sought in the alternative -- that the actions be heard together for trial --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S121187 action was originally commenced by way of petition. It is a foreclosure proceeding which was converted into an action by consent. The consent desk order, dated October 26, 2012, provides that the petition stands as a notice of civil claim, and the responses to the petition stand as responses to the civil claim. The conversion to an action was a result of the response to petition filed by the Maddens.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S126088 action was commenced by notice of civil claim filed August 29, 2012. The Maddens and KLM Industries Ltd. as plaintiffs seek damages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fiduciary duty, and fraudulent or negligent misrepresentation. The claim against Investors Group is that it is vicariously liable for the defendant English's breach of contract,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It is the position of the applicants that the two actions raise the same issue, specifically, the Maddens' response to the petition is in essence a plea of set-off to the mortgage, based on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or breach of fiduciary duty. While the response also raises issues of novation (modification by way of realization) and improvident realization which are not a part of the damages action, the applicants submit that these are minor issues when compared to the damages action in which Investors Group is already involved. It is the applicants' submission that there is little or no prejudice to Investors Group in a consolidation given the degree to which the two actions are interwoven.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submission of the applicants is that if an order for consolidation is made, the matters will proceed as a single proceeding, with all the concomitant savings of time and expense. The submission is that Mr. English and the numbered company would be the nominal plaintiffs; the Maddens would file a counterclaim against the defendants in the S126088 action raising the claim for damages; the defendants by counterclaim would file defences to the counterclaim, and there would potentially be a counterclaim by the numbered company seeking a declaration in the event the mortgage is not enforceable, that the underlying debt remains 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submission of the defendant Investors Group is that the appropriate order is that the actions be heard at the same time for trial, with evidence in each action being admissible on both, similar to the order made by Allan J. in </w:t>
      </w:r>
      <w:r>
        <w:rPr>
          <w:rFonts w:ascii="arial" w:eastAsia="arial" w:hAnsi="arial" w:cs="arial"/>
          <w:i/>
          <w:color w:val="000000"/>
          <w:sz w:val="20"/>
          <w:lang w:val="en-US" w:eastAsia="en-US" w:bidi="ar-SA"/>
        </w:rPr>
        <w:t>Peel v. Western Delta</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2003 BCSC 784</w:t>
        </w:r>
      </w:hyperlink>
      <w:r>
        <w:rPr>
          <w:rFonts w:ascii="arial" w:eastAsia="arial" w:hAnsi="arial" w:cs="arial"/>
          <w:color w:val="000000"/>
          <w:sz w:val="20"/>
          <w:lang w:val="en-US" w:eastAsia="en-US" w:bidi="ar-SA"/>
        </w:rPr>
        <w:t>. It is Investors' submission that it is largely on the sidelines of the damages action, with the claim against it based only on vicarious liability. It is opposed to being "drawn in" to the mortgage action in which the issues -- novation and improvident realization -- are related not to the creation of the mortgage, but what occurred afterwards. While there are overlapping facts, one of the criteria set out in Rule 22-5(8) for an order under that rule, Investors Group submits that the applicants have not made out a basis for consolidation, where a more "flexible" order for the matters to be heard together for trial would suffice.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Rule 22-5(8) provides that:</w:t>
      </w:r>
      <w:r>
        <w:rPr>
          <w:rFonts w:ascii="arial" w:eastAsia="arial" w:hAnsi="arial" w:cs="arial"/>
          <w:sz w:val="20"/>
          <w:lang w:val="en-US" w:eastAsia="en-US" w:bidi="ar-SA"/>
        </w:rPr>
        <w:cr/>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may be consolidated at any time by order of the court or may be ordered to be tried at the same time or on the same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wording of the subrule is the same as its predecessor, Rule 5(8). In considering the former rule, the Court in </w:t>
      </w:r>
      <w:r>
        <w:rPr>
          <w:rFonts w:ascii="arial" w:eastAsia="arial" w:hAnsi="arial" w:cs="arial"/>
          <w:i/>
          <w:color w:val="000000"/>
          <w:sz w:val="20"/>
          <w:lang w:val="en-US" w:eastAsia="en-US" w:bidi="ar-SA"/>
        </w:rPr>
        <w:t>Merritt v. Imasco Enterprises Inc.</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(1992), 2 C.P.C. (3d) 275</w:t>
        </w:r>
      </w:hyperlink>
      <w:r>
        <w:rPr>
          <w:rFonts w:ascii="arial" w:eastAsia="arial" w:hAnsi="arial" w:cs="arial"/>
          <w:color w:val="000000"/>
          <w:sz w:val="20"/>
          <w:lang w:val="en-US" w:eastAsia="en-US" w:bidi="ar-SA"/>
        </w:rPr>
        <w:t xml:space="preserve"> (B.C.S.C.), stated that the foundation of an application under Rule 5(8) is disclosed by the pleadings, the general question being whether there are common claims, disputes and relationships between the parties disclosed by the pleadings and whether they are so interwoven as to make separate trials at different times before different judges undesirable and fraught with expense. Here the pleadings are not yet closed, no responses having been filed as yet. Accordingly, this application appears to be premature. The Court does not have the benefit of the pleadings in order to determine the threshold issue. Investors Group concedes that there are overlapping facts but takes the position that consolidation is not the appropriate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circumstances under which an order for consolidation is appropriate were considered in </w:t>
      </w:r>
      <w:r>
        <w:rPr>
          <w:rFonts w:ascii="arial" w:eastAsia="arial" w:hAnsi="arial" w:cs="arial"/>
          <w:i/>
          <w:color w:val="000000"/>
          <w:sz w:val="20"/>
          <w:lang w:val="en-US" w:eastAsia="en-US" w:bidi="ar-SA"/>
        </w:rPr>
        <w:t>Discovery Enterprises v. Ebco Industries et al.</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2001 BCSC 235</w:t>
        </w:r>
      </w:hyperlink>
      <w:r>
        <w:rPr>
          <w:rFonts w:ascii="arial" w:eastAsia="arial" w:hAnsi="arial" w:cs="arial"/>
          <w:color w:val="000000"/>
          <w:sz w:val="20"/>
          <w:lang w:val="en-US" w:eastAsia="en-US" w:bidi="ar-SA"/>
        </w:rPr>
        <w:t xml:space="preserve">. The application in </w:t>
      </w:r>
      <w:r>
        <w:rPr>
          <w:rFonts w:ascii="arial" w:eastAsia="arial" w:hAnsi="arial" w:cs="arial"/>
          <w:i/>
          <w:color w:val="000000"/>
          <w:sz w:val="20"/>
          <w:lang w:val="en-US" w:eastAsia="en-US" w:bidi="ar-SA"/>
        </w:rPr>
        <w:t>Discovery</w:t>
      </w:r>
      <w:r>
        <w:rPr>
          <w:rFonts w:ascii="arial" w:eastAsia="arial" w:hAnsi="arial" w:cs="arial"/>
          <w:color w:val="000000"/>
          <w:sz w:val="20"/>
          <w:lang w:val="en-US" w:eastAsia="en-US" w:bidi="ar-SA"/>
        </w:rPr>
        <w:t xml:space="preserve"> was pursuant to former Rule 5(8) for an order directing that two actions, an oppression action and a derivative action, be tried together on the same day. In considering Rule 5(8), Pitfield J.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An order for consolidation is distinct from an order that proceedings be tried together or the same day or at the same time. An order for consolidation which should, I think, result in a single proceeding with a consolidated statement of claim and statement of defence, may be appropriate where the parties are the same and the issues are common such that disposition of one of the actions will necessarily dispose of the issues in the 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In present circumstances, consolidation of the oppression and derivative actions would not be appropriate for several reasons. First, Ebco is a plaintiff in one proceeding and a defendant in the other. It would be named as both plaintiff and defendant if the actions were consolidated. Second, the claims for relief in the oppression proceeding and the derivative action are distinct. Any determination that Ebco was entitled to relief in the derivative action would not be determinative of Discovery's claim for relief in the oppression action. Third, any relief obtained in the derivative action would accrue for the direct benefit of Ebco and only derivatively for the benefit of Discovery. Relief in the oppression action would accrue solely for the benefit of Discovery.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The circumstances surrounding the two actions are such that no order of consolidation should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Some of the circumstances relied upon by Pitfield J. for concluding that consolidation is not appropriate are also present on this application. Firstly, the numbered company is a plaintiff in the mortgage action, and a defendant in the damages action. It would be named as both plaintiff and defendant if the actions were consolidated. The solution proposed by the applicants, that the numbered company and Mr. English would be the plaintiffs in the consolidated action, may address the concern with respect to the numbered company, but does not recognize the fact that Mr. English does not, on the pleadings as they stand, make any claims in either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Second, as in the </w:t>
      </w:r>
      <w:r>
        <w:rPr>
          <w:rFonts w:ascii="arial" w:eastAsia="arial" w:hAnsi="arial" w:cs="arial"/>
          <w:i/>
          <w:color w:val="000000"/>
          <w:sz w:val="20"/>
          <w:lang w:val="en-US" w:eastAsia="en-US" w:bidi="ar-SA"/>
        </w:rPr>
        <w:t>Discovery</w:t>
      </w:r>
      <w:r>
        <w:rPr>
          <w:rFonts w:ascii="arial" w:eastAsia="arial" w:hAnsi="arial" w:cs="arial"/>
          <w:color w:val="000000"/>
          <w:sz w:val="20"/>
          <w:lang w:val="en-US" w:eastAsia="en-US" w:bidi="ar-SA"/>
        </w:rPr>
        <w:t xml:space="preserve"> case, the claims for relief in the mortgage action and the damages action are distinct. A determination that the numbered company is entitled to relief in the mortgage action would not be determinative of the Maddens' claim for relief in the damages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Accordingly, I am not satisfied that, on the pleadings as they stand, consolidation would be appropriate. In the circumstances, an order that the actions be heard at the same time provides the economies sought by the applicants here while avoiding any prejudice to Investors Group through involving them in the mortgage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order will go that the actions be heard together for trial, and that evidence in one action, at trial, and in pre-trial procedures, shall be evidence in the other action. Counsel may seek further directions,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W.B. SCARTH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1" style="position:absolute;z-index:251768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9"/>
          <w:headerReference w:type="default" r:id="rId220"/>
          <w:footerReference w:type="even" r:id="rId221"/>
          <w:footerReference w:type="default" r:id="rId222"/>
          <w:headerReference w:type="first" r:id="rId223"/>
          <w:footerReference w:type="first" r:id="rId22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25" w:history="1">
        <w:r>
          <w:rPr>
            <w:rFonts w:ascii="arial" w:eastAsia="arial" w:hAnsi="arial" w:cs="arial"/>
            <w:b/>
            <w:bCs/>
            <w:i/>
            <w:color w:val="0077CC"/>
            <w:kern w:val="32"/>
            <w:sz w:val="28"/>
            <w:szCs w:val="32"/>
            <w:u w:val="single"/>
            <w:shd w:val="clear" w:color="auto" w:fill="FFFFFF"/>
            <w:lang w:val="en-US" w:eastAsia="en-US" w:bidi="ar-SA"/>
          </w:rPr>
          <w:t>Aiken (Guardian ad Litem of) v. Van Dyk, [2002] I.L.R. para. M-1426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Insurance Law Reporter Cases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Powers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August 22, 2001.</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2001</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[2002] I.L.R. para. M-1426</w:t>
      </w:r>
    </w:p>
    <w:p>
      <w:pPr>
        <w:spacing w:before="120" w:line="260" w:lineRule="atLeast"/>
        <w:rPr>
          <w:lang w:val="en-US" w:eastAsia="en-US" w:bidi="ar-SA"/>
        </w:rPr>
      </w:pPr>
      <w:r>
        <w:rPr>
          <w:rFonts w:ascii="arial" w:eastAsia="arial" w:hAnsi="arial" w:cs="arial"/>
          <w:color w:val="000000"/>
          <w:sz w:val="20"/>
          <w:lang w:val="en-US" w:eastAsia="en-US" w:bidi="ar-SA"/>
        </w:rPr>
        <w:t>Aiken (Guardian ad Litem of) v. Van Dyk</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62" style="position:absolute;z-index:25166745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45" w:name="Keywords_4"/>
      <w:bookmarkEnd w:id="45"/>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Garbage truck striking child in residential area — Driver not liable for failure to see child, but vicariously liable for assistant's failure to see child — Parental supervision — Father 80 per cent at fault for failure to supervise toddler.</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46" w:name="Case Summary_4"/>
            <w:bookmarkEnd w:id="46"/>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the trial of two actions involving injury suffered by the 13-month-old plaintiff when she was struck by a garbage truck. The plaintiff was in the front yard of her house with her father and two other children when the garbage truck arrived to pick up the garbage. The truck was driven by V, and he was accompanied by B, a "swamper" who emptied garbage cans into the truck. After the garbage was collected, B gave an "all clear" signal to V, who began to move the truck. The plaintiff was near the front wheel, in a blind spot for V, and was hit. This was the second trial of liability after the Court of Appeal had ordered a new trial. Two proceedings were tried together: one action by the plaintiff against V, in which the plaintiff's father had been made a third party, and a second action by the plaintiff against her father alleging negligent supervision. </w:t>
            </w:r>
            <w:r>
              <w:rPr>
                <w:lang w:val="en-US" w:eastAsia="en-US" w:bidi="ar-SA"/>
              </w:rPr>
              <w:cr/>
            </w:r>
          </w:p>
          <w:p>
            <w:pPr>
              <w:spacing w:before="120" w:line="260" w:lineRule="atLeast"/>
              <w:ind w:left="240"/>
              <w:jc w:val="both"/>
              <w:rPr>
                <w:lang w:val="en-US" w:eastAsia="en-US" w:bidi="ar-SA"/>
              </w:rPr>
            </w:pPr>
            <w:bookmarkStart w:id="47" w:name="Holdings of Court_3"/>
            <w:bookmarkEnd w:id="47"/>
            <w:r>
              <w:rPr>
                <w:rFonts w:ascii="arial" w:eastAsia="arial" w:hAnsi="arial" w:cs="arial"/>
                <w:color w:val="000000"/>
                <w:sz w:val="20"/>
                <w:lang w:val="en-US" w:eastAsia="en-US" w:bidi="ar-SA"/>
              </w:rPr>
              <w:t>HELD: The plaintiff was successful.</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father was responsible for supervising the plaintiff on the day of the accident. She was a toddler and could be expected to move suddenly and unpredictably. He had taken a garbage bin to the back of the house without keeping a look out for the plaintiff. His error in judgment in failing to watch her allowed her to walk towards the truck, and he was liable for her injuries.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V knew there were children in the yard, and had a duty to take special care. However, he had not seen the plaintiff at any time. He checked his windows and mirrors before moving the truck, and did not see the plaintiff, who was in a blind spot. He acted reasonably, and was not personally liable.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B was aware of the plaintiff's presence in the yard, and at the time that he was signalling the truck to move, she was present where he could have seen her. He was negligent in failing to see her. It was found that B had been acting as an employee of V, and V was vicariously liable for B's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Liability was apportioned 80 per cent against the father, who was primarily responsible for the plaintiff's safety, and 20 per cent against V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B. </w:t>
            </w:r>
            <w:r>
              <w:rPr>
                <w:lang w:val="en-US" w:eastAsia="en-US" w:bidi="ar-SA"/>
              </w:rPr>
              <w:cr/>
            </w:r>
          </w:p>
          <w:p>
            <w:pPr>
              <w:rPr>
                <w:lang w:val="en-US" w:eastAsia="en-US" w:bidi="ar-SA"/>
              </w:rPr>
            </w:pPr>
          </w:p>
        </w:tc>
      </w:tr>
    </w:tbl>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7186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32" w:history="1">
        <w:r>
          <w:rPr>
            <w:rFonts w:ascii="arial" w:eastAsia="arial" w:hAnsi="arial" w:cs="arial"/>
            <w:b/>
            <w:bCs/>
            <w:i/>
            <w:color w:val="0077CC"/>
            <w:kern w:val="32"/>
            <w:sz w:val="28"/>
            <w:szCs w:val="32"/>
            <w:u w:val="single"/>
            <w:shd w:val="clear" w:color="auto" w:fill="FFFFFF"/>
            <w:lang w:val="en-US" w:eastAsia="en-US" w:bidi="ar-SA"/>
          </w:rPr>
          <w:t>Araya v. Nevsun Resources Inc., [2020] B.C.J. No. 333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C.J. Ross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7-8 and 12-14,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3,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S148932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333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294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Gize Yebeyo Araya, Kesete Tekle Fshazion and Mihretab Yemane Tekle, Plaintiffs, and Nevsun Resources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(117 paras.)</w:t>
      </w:r>
    </w:p>
    <w:p>
      <w:pPr>
        <w:jc w:val="both"/>
        <w:rPr>
          <w:rFonts w:ascii="arial" w:eastAsia="arial" w:hAnsi="arial" w:cs="arial"/>
          <w:sz w:val="20"/>
          <w:lang w:val="en-US" w:eastAsia="en-US" w:bidi="ar-SA"/>
        </w:rPr>
      </w:pPr>
      <w:bookmarkStart w:id="48" w:name="Counsel_8"/>
      <w:bookmarkEnd w:id="4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4"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 Fiorante, QC, R. Mogerman,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A.I. Nathanson, A. Crabtree, G. Cameron, I. Martinich.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Clifford T. Davis: S.R. Schachter, QC, P.R. Senkpiel.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9" w:name="Judgment_8"/>
      <w:bookmarkEnd w:id="49"/>
      <w:r>
        <w:pict>
          <v:line id="_x0000_s1065" style="position:absolute;z-index:2517196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NATURE OF 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PRIOR RULINGS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PLAINTIFFS'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NEVSUN'S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APPLICABLE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EXAMPLES OF THE USE OF TEST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SHOULD THESE CLAIMS BE HEARD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CONSIDERATION OF THE TWO PROPOSALS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Stay of the Actions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Practicalities of the Proposals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Selection of Test Case Plaintiffs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Risk of Prejudice/Trial Fairness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Claim for Punitive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Alternate Relief - Liability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 Mode of Trial</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0" w:name="C.J. ROSS J."/>
            <w:bookmarkEnd w:id="50"/>
            <w:r>
              <w:rPr>
                <w:rFonts w:ascii="arial" w:eastAsia="arial" w:hAnsi="arial" w:cs="arial"/>
                <w:b/>
                <w:color w:val="000000"/>
                <w:sz w:val="30"/>
                <w:lang w:val="en-US" w:eastAsia="en-US" w:bidi="ar-SA"/>
              </w:rPr>
              <w:t>C.J. 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reasons address two applications concerning the mode of trial for a number of actions that have been under common case management. The plaintiffs seek to proceed by way of a bellwether trial, which would select a group of plaintiffs from the actions, combined with a stay of the remaining actions until the completion of the bellwether trial. The defendants seek an order for a common trial of all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litigation is complex and presents a number of challenges. The applications address different visions of how best to satisfy the interests of justice, having regard to factors including fairness, convenience, access to justice, efficiency and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Nature of 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present applications concern eleven actions commenced in this court between November 20, 2014 and February 1, 2019 (the "Actions"), summarised in the following chart:</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66" type="#_x0000_t75" style="width:432.06pt;height:300.04pt">
            <v:imagedata r:id="rId233" o:title=""/>
          </v:shape>
        </w:pict>
      </w:r>
      <w:r>
        <w:rPr>
          <w:rFonts w:ascii="arial" w:eastAsia="arial" w:hAnsi="arial" w:cs="arial"/>
          <w:sz w:val="20"/>
          <w:lang w:val="en-US" w:eastAsia="en-US" w:bidi="ar-SA"/>
        </w:rPr>
        <w:t xml:space="preserve">  </w:t>
      </w:r>
    </w:p>
    <w:p>
      <w:pPr>
        <w:spacing w:line="240" w:lineRule="atLeast"/>
        <w:ind w:left="720"/>
        <w:rPr>
          <w:rFonts w:ascii="arial" w:eastAsia="arial" w:hAnsi="arial" w:cs="arial"/>
          <w:sz w:val="20"/>
          <w:lang w:val="en-US" w:eastAsia="en-US" w:bidi="ar-SA"/>
        </w:rPr>
      </w:pPr>
      <w:r>
        <w:rPr>
          <w:rFonts w:ascii="arial" w:eastAsia="arial" w:hAnsi="arial" w:cs="arial"/>
          <w:color w:val="000000"/>
          <w:sz w:val="18"/>
          <w:lang w:val="en-US" w:eastAsia="en-US" w:bidi="ar-SA"/>
        </w:rPr>
        <w:t>[Editor's Note: Note</w:t>
      </w:r>
      <w:bookmarkStart w:id="51" w:name="Backward_fnref_fnr-1"/>
      <w:hyperlink w:anchor="Forward_fnref_fnr-1" w:history="1">
        <w:r>
          <w:rPr>
            <w:rFonts w:ascii="arial" w:eastAsia="arial" w:hAnsi="arial" w:cs="arial"/>
            <w:b/>
            <w:color w:val="BE161D"/>
            <w:sz w:val="18"/>
            <w:shd w:val="clear" w:color="auto" w:fill="FFFFFF"/>
            <w:vertAlign w:val="superscript"/>
            <w:lang w:val="en-US" w:eastAsia="en-US" w:bidi="ar-SA"/>
          </w:rPr>
          <w:t>1</w:t>
        </w:r>
      </w:hyperlink>
      <w:bookmarkEnd w:id="51"/>
      <w:r>
        <w:rPr>
          <w:rFonts w:ascii="arial" w:eastAsia="arial" w:hAnsi="arial" w:cs="arial"/>
          <w:color w:val="000000"/>
          <w:sz w:val="18"/>
          <w:lang w:val="en-US" w:eastAsia="en-US" w:bidi="ar-SA"/>
        </w:rPr>
        <w:t xml:space="preserve"> is included in the image above]</w:t>
      </w:r>
    </w:p>
    <w:p>
      <w:pPr>
        <w:spacing w:before="120" w:line="260" w:lineRule="atLeast"/>
        <w:rPr>
          <w:rFonts w:ascii="arial" w:eastAsia="arial" w:hAnsi="arial" w:cs="arial"/>
          <w:sz w:val="20"/>
          <w:lang w:val="en-US" w:eastAsia="en-US" w:bidi="ar-SA"/>
        </w:rPr>
      </w:pPr>
      <w:r>
        <w:pict>
          <v:shape id="_x0000_i1067" type="#_x0000_t75" style="width:432.06pt;height:185.28pt">
            <v:imagedata r:id="rId234" o:title=""/>
          </v:shape>
        </w:pict>
      </w:r>
      <w:r>
        <w:rPr>
          <w:rFonts w:ascii="arial" w:eastAsia="arial" w:hAnsi="arial" w:cs="arial"/>
          <w:sz w:val="20"/>
          <w:lang w:val="en-US" w:eastAsia="en-US" w:bidi="ar-SA"/>
        </w:rPr>
        <w:t xml:space="preserve">  </w:t>
      </w:r>
    </w:p>
    <w:p>
      <w:pPr>
        <w:spacing w:line="240" w:lineRule="atLeast"/>
        <w:ind w:left="720"/>
        <w:rPr>
          <w:rFonts w:ascii="arial" w:eastAsia="arial" w:hAnsi="arial" w:cs="arial"/>
          <w:sz w:val="20"/>
          <w:lang w:val="en-US" w:eastAsia="en-US" w:bidi="ar-SA"/>
        </w:rPr>
      </w:pPr>
      <w:r>
        <w:rPr>
          <w:rFonts w:ascii="arial" w:eastAsia="arial" w:hAnsi="arial" w:cs="arial"/>
          <w:color w:val="000000"/>
          <w:sz w:val="18"/>
          <w:lang w:val="en-US" w:eastAsia="en-US" w:bidi="ar-SA"/>
        </w:rPr>
        <w:t>[Editor's Note: Note</w:t>
      </w:r>
      <w:bookmarkStart w:id="52" w:name="Backward_fnref_fnr-2"/>
      <w:hyperlink w:anchor="Forward_fnref_fnr-2" w:history="1">
        <w:r>
          <w:rPr>
            <w:rFonts w:ascii="arial" w:eastAsia="arial" w:hAnsi="arial" w:cs="arial"/>
            <w:b/>
            <w:color w:val="BE161D"/>
            <w:sz w:val="18"/>
            <w:shd w:val="clear" w:color="auto" w:fill="FFFFFF"/>
            <w:vertAlign w:val="superscript"/>
            <w:lang w:val="en-US" w:eastAsia="en-US" w:bidi="ar-SA"/>
          </w:rPr>
          <w:t>2</w:t>
        </w:r>
      </w:hyperlink>
      <w:bookmarkEnd w:id="52"/>
      <w:r>
        <w:rPr>
          <w:rFonts w:ascii="arial" w:eastAsia="arial" w:hAnsi="arial" w:cs="arial"/>
          <w:color w:val="000000"/>
          <w:sz w:val="18"/>
          <w:lang w:val="en-US" w:eastAsia="en-US" w:bidi="ar-SA"/>
        </w:rPr>
        <w:t xml:space="preserve"> is included in the image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With the exception of the Mengisteab action, discussed further below, the Actions are the subject of common judicial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above chart was accurate as at the time the motions were argued. Since that time, the actions of the out of contact plaintiffs have been dismissed, reducing the total plaintiffs to 59. However, a new action has been commenced with three additional plaintiffs. There have been further discontinuances reducing the total remaining plaintiffs to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background to the litigation, as articulated in the pleadings, is set out in the reasons for judgment of Justice Abrioux, the original case management judge, indexed at </w:t>
      </w:r>
      <w:hyperlink r:id="rId235" w:history="1">
        <w:r>
          <w:rPr>
            <w:rFonts w:ascii="arial" w:eastAsia="arial" w:hAnsi="arial" w:cs="arial"/>
            <w:i/>
            <w:color w:val="0077CC"/>
            <w:sz w:val="20"/>
            <w:u w:val="single"/>
            <w:shd w:val="clear" w:color="auto" w:fill="FFFFFF"/>
            <w:lang w:val="en-US" w:eastAsia="en-US" w:bidi="ar-SA"/>
          </w:rPr>
          <w:t>2016 BCSC 1856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Araya 2016</w:t>
      </w:r>
      <w:r>
        <w:rPr>
          <w:rFonts w:ascii="arial" w:eastAsia="arial" w:hAnsi="arial" w:cs="arial"/>
          <w:color w:val="000000"/>
          <w:sz w:val="20"/>
          <w:lang w:val="en-US" w:eastAsia="en-US" w:bidi="ar-SA"/>
        </w:rPr>
        <w:t>]. In brief summary, the plaintiffs, who are refugees from the State of Eritrea in East Africa, make numerous allegations with respect to conditions at the Bisha mine, which is located in Eritrea. These allegations include that the mine was built using forced labour, a form of slavery, obtained from the plaintiffs and others coercively under threat of torture by the Eritrean government, the military and its contracting arms. The allegations include that plaintiffs were subjected to cruel, inhuman and degrading treatment, as well as harsh working conditions including forced confinement.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appears from the pleadings that the Bisha mine is owned and operated by the Bisha Mine Share Company ("BMSC"). Nevsun Resources (Eritrea) Ltd. ("NREL"), an indirect wholly owned subsidiary of the defendant Nevsun Resources Ltd. ("Nevsun"), is a 60% shareholder of BMSC while the remaining 40% is held by the Eritrean National Mining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Nevsun Africa (Barbados) Ltd. ("NABL") owns 100% of the shares of NREL. Nevsun (Barbados) Holdings. Ltd ("NBHL") owns 100% of the shares of NABL. Nevsun owns 100% of the shares of NBHL.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BMSC engaged a South African company, SENET CC ("SENET"), to act as the main engineering, procurement and construction management contractor on the Bisha mine project. SENET engaged subcontractors including Segen Construction Company ("Segen"), an Eritrean civil engineering and construction company. Another entity referred to in the pleadings is Mereb Construction Company ("Mereb"), which the plaintiffs assert is controlled by the military of Eritrea.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plaintiffs plead that Nevsun facilitated, aided, abetted, contributed to and became an accomplice to the use of forced labour, crimes against humanity and other human rights abuses. The pleadings seek damages under customary international law, as incorporated into the laws of Canada, for the use of forced labour, torture, slavery, cruel, inhuman or degrading treatment and crimes against humanity. The pleadings seek in addition, or in the alternative, damages under domestic law for the torts of conversion, assault, battery, unlawful confinement,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conspiracy and negligent infliction of mental distress together with, or in the alternative, an accounting and restitution for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notices of civil claim plead that Nevsun is directly liable for the injuries suffered by the plaintiffs. They allege that Nevsun is liable for the conduct of BMSC on the grounds that BMSC was at all times acting as the agent of Nevsun, that it is an extension of the business enterprise of Nevsun, and that the corporate ownership structure separating Nevsun from BMSC is artificial and should be disregarded in the interests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notices of civil claim allege that Nevsun is vicariously liable for the conduct of Segen, Mereb and the Eritrean military because:</w:t>
      </w:r>
      <w:r>
        <w:rPr>
          <w:rFonts w:ascii="arial" w:eastAsia="arial" w:hAnsi="arial" w:cs="arial"/>
          <w:sz w:val="20"/>
          <w:lang w:val="en-US" w:eastAsia="en-US" w:bidi="ar-SA"/>
        </w:rPr>
        <w:cr/>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 engaged Segen, Mereb and the Eritrean military at the Bisha mine in furtherance of Nevsun's commercial objectives.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 knew or should have known that by engaging with an oppressive, dictatorial state such as Eritrea, and its contracting arms, Segen and Mereb, human rights violations, including the use of forced labour and tortious treatment of labourers, at the Bisha mine were inevitable.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no effective legal remedy against Segen, Mereb or the Eritrean state as there is no functioning system of justice in Eritrea.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pleadings raise a limitations issue which encompasses issues of choice of law and postponement. Nevsun pleads that the Eritrean </w:t>
      </w:r>
      <w:r>
        <w:rPr>
          <w:rFonts w:ascii="arial" w:eastAsia="arial" w:hAnsi="arial" w:cs="arial"/>
          <w:i/>
          <w:color w:val="000000"/>
          <w:sz w:val="20"/>
          <w:lang w:val="en-US" w:eastAsia="en-US" w:bidi="ar-SA"/>
        </w:rPr>
        <w:t>Civil Procedure Code</w:t>
      </w:r>
      <w:r>
        <w:rPr>
          <w:rFonts w:ascii="arial" w:eastAsia="arial" w:hAnsi="arial" w:cs="arial"/>
          <w:color w:val="000000"/>
          <w:sz w:val="20"/>
          <w:lang w:val="en-US" w:eastAsia="en-US" w:bidi="ar-SA"/>
        </w:rPr>
        <w:t xml:space="preserve"> is the law governing the time limits for instituting actions. Under the provisions of that code the claims of all of the plaintiffs are statute barred. Nevsun pleads in the alternative that the plaintiffs' claims are also barred under the provisions of the British Columbia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response, the plaintiffs pleaded that the limitation period was postponed and in the alternative that there is no limitation period because the circumstances of forced labour under the circumstances described in the notices of civil claim and reply constitute an assault and battery within the meaning of s. 3(1)(k)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(1) This Act does not apply to the following: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relating to assault or battery, whether or not the claimant's right to bring the court proceeding was at any time governed by a limitation period, if the assault or battery occurred while the claimant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a minor, or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living in an intimate and personal relationship with, or was in a relationship of financial, emotional, physical or other dependency with, a person who performed, contributed to, consented to or acquiesced in the assault or 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plaintiffs will also argue that pursuant to the provisions of s. 4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there is no limitation even if the substantive law of Eritrea is to be applied to the dispute. That section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(1) If the substantive law of another jurisdiction is to be applied by the court in deciding a claim, the law of that other jurisdiction respecting limitation periods must be applied in relation to the claim.</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of this section, the court must apply section 3(1) to any claim referred to in section 3(1)(i), (j) or (k) whether or not the substantive law of another jurisdiction is to be applied by the court in deciding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Nevsun has indicated its intention to bring a constitutional challenge to s. 4(2)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claim of direct parent company liability, that Nevsun had a duty to prevent the use of forced labour at the Bisha mine, is grounded in the control which the plaintiffs allege Nevsun exercised over the construction and operation of the mine, its knowledge of the risks of forced labour and human rights abuses present in Eritrea and its corporate social responsibility policies. The claim is based on developments in the United Kingdom, Australia and New Zealand. It appears to be a novel claim in this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claims advanced by the plaintiffs against Nevsun for complicity in the breach of peremptory norms of customary international law are likewise novel claims in this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Prior Rulings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current nature of the actions was addressed at an early stage in the litigation. Because none of the plaintiffs in any of the actions reside in British Columbia, the actions could not be commenced under the provisions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When this litigation commenced, s. 2(1) that Act provided (the current language of s. 2(1) is similar):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(1) One member of a class of persons who are resident in British Columbia may commence a proceeding in the court on behalf of the members of that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At an early stage in the litigation the plaintiffs sought to prosecute the proceedings as a representative action pursuant to R. 20-3 of the British Columbia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which provides in part:</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numerous persons have the same interest in a proceeding, other than a proceeding referred to in subrule (10), the proceeding may be started and, unless the court otherwise orders, continued by or against one or more of them as representing all or as representing one or more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Araya 2016</w:t>
      </w:r>
      <w:r>
        <w:rPr>
          <w:rFonts w:ascii="arial" w:eastAsia="arial" w:hAnsi="arial" w:cs="arial"/>
          <w:color w:val="000000"/>
          <w:sz w:val="20"/>
          <w:lang w:val="en-US" w:eastAsia="en-US" w:bidi="ar-SA"/>
        </w:rPr>
        <w:t xml:space="preserve">, Justice Abrioux concluded that the matter was not appropriate for a representative action pursuant to this rule. In considering this issue Justice Abrioux also addressed whether the claims fell within the common law class proceeding criteria set out in </w:t>
      </w:r>
      <w:r>
        <w:rPr>
          <w:rFonts w:ascii="arial" w:eastAsia="arial" w:hAnsi="arial" w:cs="arial"/>
          <w:i/>
          <w:color w:val="000000"/>
          <w:sz w:val="20"/>
          <w:lang w:val="en-US" w:eastAsia="en-US" w:bidi="ar-SA"/>
        </w:rPr>
        <w:t>Western Canadian Shopping Centres Inc. v. Dutton</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Justice Abrioux concluded that common law class proceedings are only available in the absence of comprehensive class proceedings legislation (at para. 515). Further, noting at paras. 516-518: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[516] I also accept Nevsun's argument that to decide otherwise would provide Rule 20-3 with extra territorial effect by authorizing a representative action where the only plaintiffs or group members are non-residents. The plaintiffs' submit that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contemplated this interpretation to suggest a more active role for the court in a representative proceeding set down in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[517] In their submissions, the plaintiffs appear to recognize that the representative action they envision requires the Court "to develop the common law" and adopt "a more active role", and that it should not be overly concerned with "too strictly adhering to forms and rules".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[518] In my view, a "more active role for the court" cannot extend to permit the plaintiffs to circumvent the residency requirement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This would be contrary to the historical development of the Rule. Only the Legislature, not this Court, can ascribe to Rule 20-3 the purpose and effect advanced by the plaintiffs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Justice Abrioux then concluded that the claims did not meet the requirement for a representative action under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stating at paras. 524-528: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[524] In my view, there is a fundamental obstacle to this action proceeding as a representative proceeding. This is not a situation where membership in the proposed class is readily ascertainable as in such cases as: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Nation aboriginal title or rights issues;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association seeking linguistic rights remedies;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members of unions, a housing cooperative or participants in a game show,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like, all of whom are seeking the same or a similar remedy and where there is a single measure of damages for the class that is subject only to quantification.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[525] Furthermore, no principal issues of fact or law are essentially the same with regard to all members. The creation of sub classes is not available under this Rule.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[526] A threshold issue of fact is whether the plaintiffs, named or unnamed, are members of the proposed class. This can only be ascertained after they have established that they were at the Bisha Mine, during what time frame, in what capacity, and what their relevant [National Service Program ("NSP")] status was.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[527] Not only has Nevsun, which is its right, taken the position that none of the acts alleged by the plaintiffs occurred, it has also garnered evidence putting squarely in issue whether any of the plaintiffs, or others who have sworn affidavits pertaining to the abuses they witnessed or were subjected to, were in fact ever present at the Bisha Mine. There is also evidence that there were individuals subject to NSP requirements who were working in the general area of the Bisha Mine, but on government or public work projects rather than the Bisha Mine, a commercial venture.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[528] It will be necessary for there to be an individual examination of the circumstances of each plaintiff and proposed class member on this issue alone. This will likely include document production, examinations for discovery, and the need for each class member to testify at the trial which would defeat the entire purpose of a representative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their submissions with respect to the representative action issue the plaintiffs advanced a list of what they submitted were common issues in very similar terms to those articulated in the present application. At that stage, the plaintiffs were proposing that those common issues would be tried in the first stage of the trial. The plaintiffs proposed, at that time, that the second stage of the trial would address individual issues of each plaintiff. The second stage issues included: when each proposed class member was at the Bisha mine; whether they provided labour while in active/extended NSP or while demobilized; whether they were tortured or otherwise mistreated at the Bisha mine and its surrounds; and, whether they are entitled to damages as claimed and if so, the 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Justice Abrioux noted that this proposal ignored what he characterized as the threshold issue of whether each plaintiff was at the mine at all. This was an issue that in his view could not be postponed to the second phase of a trial. He acknowledged that there were common issues, but doubted that their resolution in isolation would significantly advance the litigation, noting: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[547] I am also of the view that while there may be some common issues as outlined by the plaintiffs, the individual circumstances of the plaintiffs and putative class members need to be examined. As Justice Smith stated in </w:t>
      </w:r>
      <w:r>
        <w:rPr>
          <w:rFonts w:ascii="arial" w:eastAsia="arial" w:hAnsi="arial" w:cs="arial"/>
          <w:i/>
          <w:color w:val="000000"/>
          <w:sz w:val="20"/>
          <w:lang w:val="en-US" w:eastAsia="en-US" w:bidi="ar-SA"/>
        </w:rPr>
        <w:t>Thorburn v. British Columbia</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2013 BCCA 480</w:t>
        </w:r>
      </w:hyperlink>
      <w:r>
        <w:rPr>
          <w:rFonts w:ascii="arial" w:eastAsia="arial" w:hAnsi="arial" w:cs="arial"/>
          <w:color w:val="000000"/>
          <w:sz w:val="20"/>
          <w:lang w:val="en-US" w:eastAsia="en-US" w:bidi="ar-SA"/>
        </w:rPr>
        <w:t xml:space="preserve"> at para. 42: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...Accordingly, even if the answers to the "common issues" could be said to clarify the questions they pose, they would not advance the litigation in any meaningful way as they would not avoid the duplication that would be necessary for the individual fact finding and legal analysis of each class member's claim. In other words, a finding of a s. 8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violation as a result of an unreasonable search of one class member will not found a similar finding for another class member as a finding of an unreasonable search is dependent on a multitude of variable circumstances unique to each class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plaintiffs seek the following orders: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trial of the Actions, the claims of certain selected plaintiffs will be heard and determined before the claims of the remaining plaintiffs.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further order, no steps will be taken in the claims of all the remaining plaintiffs pending determination by the court of the claims of the selected plaintiffs.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necessary rulings at trial as to relevance and admissibility, all evidence received by the court on the hearing of the claims of the selected plaintiffs shall be evidence in the hearings of the claims of all the remaining plaintiffs.</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further direction by the trial judge, all findings of fact made by the court on the hearing of the claims of the selected plaintiffs shall become findings of fact on the hearing of the claims of the remaining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notice of application contained the plaintiffs case plan proposal which provided for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Case Plan Proposal</w:t>
      </w:r>
    </w:p>
    <w:p>
      <w:pPr>
        <w:numPr>
          <w:numId w:val="19"/>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propose that a bellwether trial be conducted of the claims of select plaintiffs (the "Selected Plaintiffs"). Bellwether trials are a form of test case in which a small number of cases which are broadly representative of common recurring fact patterns in the plaintiff group are tried so as to obtain important rulings on issues of fact and law. Those rulings then provide a basis from which the parties can attempt to resolve the remaining claims without trial (the "Bellwether Case Plan").</w:t>
      </w:r>
    </w:p>
    <w:p>
      <w:pPr>
        <w:numPr>
          <w:numId w:val="20"/>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the Bellwether Case Plan, the remaining claims would be diverted to mandatory mediation once the results of the bellwether trials are known.</w:t>
      </w:r>
    </w:p>
    <w:p>
      <w:pPr>
        <w:numPr>
          <w:numId w:val="21"/>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submit that trial of approximately six of their claims would provide useful guidance that could be used to settle the remaining claims. Based on a review of the pleadings, affidavits, document discovery, and examinations which have been delivered and conducted to date, the plaintiffs have identified the following criteria which can be used to select test cases:</w:t>
      </w:r>
    </w:p>
    <w:p>
      <w:pPr>
        <w:numPr>
          <w:numId w:val="22"/>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b/>
          <w:color w:val="000000"/>
          <w:sz w:val="20"/>
          <w:lang w:val="en-US" w:eastAsia="en-US" w:bidi="ar-SA"/>
        </w:rPr>
        <w:t>Liability</w:t>
      </w:r>
      <w:r>
        <w:rPr>
          <w:rFonts w:ascii="arial" w:eastAsia="arial" w:hAnsi="arial" w:cs="arial"/>
          <w:color w:val="000000"/>
          <w:sz w:val="20"/>
          <w:lang w:val="en-US" w:eastAsia="en-US" w:bidi="ar-SA"/>
        </w:rPr>
        <w:t xml:space="preserve"> - all claims advance the same theories of liability including direct duty of care, accomplice liability for breach of peremptory norms of customary international law and "domestic" torts of conversion, battery, unlawful confinement,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(direct duty of care), conspiracy and negligent infliction of mental suffering.</w:t>
      </w:r>
    </w:p>
    <w:p>
      <w:pPr>
        <w:numPr>
          <w:numId w:val="23"/>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b/>
          <w:color w:val="000000"/>
          <w:sz w:val="20"/>
          <w:lang w:val="en-US" w:eastAsia="en-US" w:bidi="ar-SA"/>
        </w:rPr>
        <w:t>Time Frame</w:t>
      </w:r>
      <w:r>
        <w:rPr>
          <w:rFonts w:ascii="arial" w:eastAsia="arial" w:hAnsi="arial" w:cs="arial"/>
          <w:color w:val="000000"/>
          <w:sz w:val="20"/>
          <w:lang w:val="en-US" w:eastAsia="en-US" w:bidi="ar-SA"/>
        </w:rPr>
        <w:t xml:space="preserve"> - the claims presently filed cover the time period 2005 to 2015. Based on the pleadings exchanged to date including particulars, and the affidavit evidence, [and an analysis of what appears to be significant events in relations to the issues of liability] ...</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Plaintiffs propose that claimants who were present at the Bisha Mine between the dates of early 2008 and up to 2015 be selected for the bellwether trial. This would effectively cover the key events identified above including the period before and after remedial screening measures were allegedly put in place.</w:t>
      </w:r>
    </w:p>
    <w:p>
      <w:pPr>
        <w:numPr>
          <w:numId w:val="2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b/>
          <w:color w:val="000000"/>
          <w:sz w:val="20"/>
          <w:lang w:val="en-US" w:eastAsia="en-US" w:bidi="ar-SA"/>
        </w:rPr>
        <w:t>Physical Injuries</w:t>
      </w:r>
      <w:r>
        <w:rPr>
          <w:rFonts w:ascii="arial" w:eastAsia="arial" w:hAnsi="arial" w:cs="arial"/>
          <w:color w:val="000000"/>
          <w:sz w:val="20"/>
          <w:lang w:val="en-US" w:eastAsia="en-US" w:bidi="ar-SA"/>
        </w:rPr>
        <w:t xml:space="preserve"> - all plaintiffs advance generally similar claims for bodily injury as a result of poor living and working conditions at Bisha. A subset of the plaintiffs also advance claims for physical punishment suffered at the Bisha Mine site.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plaintiffs propose that the cases selected include at least one claim for serious physical punishment.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Assignment to Bisha</w:t>
      </w:r>
      <w:r>
        <w:rPr>
          <w:rFonts w:ascii="arial" w:eastAsia="arial" w:hAnsi="arial" w:cs="arial"/>
          <w:color w:val="000000"/>
          <w:sz w:val="20"/>
          <w:lang w:val="en-US" w:eastAsia="en-US" w:bidi="ar-SA"/>
        </w:rPr>
        <w:t xml:space="preserve"> - the Notices of Civil Claim identify three main ways by which conscript labour was allegedly assigned to or delivered to the Bisha Mine: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Segen Construction;</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Mereb Construction; and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Military.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plaintiffs propose that at least one claimant from each of the Segen, Mereb and Military groups be selected.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Limitation Period</w:t>
      </w:r>
      <w:r>
        <w:rPr>
          <w:rFonts w:ascii="arial" w:eastAsia="arial" w:hAnsi="arial" w:cs="arial"/>
          <w:color w:val="000000"/>
          <w:sz w:val="20"/>
          <w:lang w:val="en-US" w:eastAsia="en-US" w:bidi="ar-SA"/>
        </w:rPr>
        <w:t xml:space="preserve"> - Nevsun has raised a limitations defence. All plaintiffs assert by way of reply, that the extraction of forced labour under the circumstances pleaded constitutes an assault and battery within the meaning of s.3(1)(k) of the </w:t>
      </w:r>
      <w:r>
        <w:rPr>
          <w:rFonts w:ascii="arial" w:eastAsia="arial" w:hAnsi="arial" w:cs="arial"/>
          <w:i/>
          <w:color w:val="000000"/>
          <w:sz w:val="20"/>
          <w:lang w:val="en-US" w:eastAsia="en-US" w:bidi="ar-SA"/>
        </w:rPr>
        <w:t>Limitations Act</w:t>
      </w:r>
      <w:r>
        <w:rPr>
          <w:rFonts w:ascii="arial" w:eastAsia="arial" w:hAnsi="arial" w:cs="arial"/>
          <w:color w:val="000000"/>
          <w:sz w:val="20"/>
          <w:lang w:val="en-US" w:eastAsia="en-US" w:bidi="ar-SA"/>
        </w:rPr>
        <w:t xml:space="preserve"> and are therefore not subject to any limitation period. In the alternative, all claimants allege that any running of the limitation period was postponed due to a number of factors including time spent fleeing Eritrea in perilous circumstances and in refugee camps. If limitation issues are decided against the plaintiffs in the bellwether trials, it could lead to a significant reduction in the number of plaintiffs who have cases to advance. If limitation issues are decided in the plaintiffs' favour, it could drastically reduce the amount of time spent in examinations for discovery for the remaining plaintiffs.</w:t>
      </w:r>
    </w:p>
    <w:p>
      <w:pPr>
        <w:numPr>
          <w:numId w:val="30"/>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Punitive Damages</w:t>
      </w:r>
      <w:r>
        <w:rPr>
          <w:rFonts w:ascii="arial" w:eastAsia="arial" w:hAnsi="arial" w:cs="arial"/>
          <w:color w:val="000000"/>
          <w:sz w:val="20"/>
          <w:lang w:val="en-US" w:eastAsia="en-US" w:bidi="ar-SA"/>
        </w:rPr>
        <w:t xml:space="preserve"> - all plaintiffs advance a claim for punitive damages. Nevsun's conduct which might lead to a punitive damages award can be assessed in the bellwether cases without examination of the individual circumstances of every other plaintiff.</w:t>
      </w:r>
    </w:p>
    <w:p>
      <w:pPr>
        <w:numPr>
          <w:numId w:val="31"/>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plaintiffs propose that the issues of duty and standard of care should be tried before other issues in the case, including individual causation and damages (the "Liability Only Plan"). If the plaintiffs are successful, there will likely be a significant impact on settlement discussions. If the plaintiffs are unsuccessful, then all of the cases will be resolved.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submit that both] the Bellwether Case Plan and the alternative provide a means for a trial of a limited number of claims on the core issues. The primary advantage of the Bellwether Case plan is that it is designed to cover a broader scope of recurring fact patterns. The primary advantage of the Liability Only Plan is that it would allow the parties to try key issues in the case sooner, and without further expenditure by all parties on pre-trial procedures for all plaintiffs that may prove to be unnecessary. [In the plaintiffs' submission both] plans would lead to a more efficient use of the court's and parties' resources than proceeding to trial on all cases at the same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Proposed Selected Plaintiffs</w:t>
      </w:r>
    </w:p>
    <w:p>
      <w:pPr>
        <w:numPr>
          <w:numId w:val="3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nominate the following six plaintiffs as suitable test plaintiffs:</w:t>
      </w:r>
    </w:p>
    <w:p>
      <w:pPr>
        <w:numPr>
          <w:numId w:val="3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Yoseif Gebremichael (Negash Action)</w:t>
      </w:r>
    </w:p>
    <w:p>
      <w:pPr>
        <w:numPr>
          <w:numId w:val="35"/>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Gebremedhin Adhanom Abrha (Negash Action)</w:t>
      </w:r>
    </w:p>
    <w:p>
      <w:pPr>
        <w:numPr>
          <w:numId w:val="36"/>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Mihreteab Yemane Tekle (Araya Action)</w:t>
      </w:r>
    </w:p>
    <w:p>
      <w:pPr>
        <w:numPr>
          <w:numId w:val="3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Yemane Woldemariam (Negash Action)</w:t>
      </w:r>
    </w:p>
    <w:p>
      <w:pPr>
        <w:numPr>
          <w:numId w:val="38"/>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Merhawi Fshaye Gaym (Fshaye Action)</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Tesfagabr Okbagergsh (Mekonen Action)</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note that these] nominations are drawn from the group plaintiffs that have already been examined for discovery. As such, they are among the most advanced towards trial ...</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submit that these] nominations also offer a balanced distribution among the three major classes of conscripts that performed construction work at Bisha: there are two from each of the Mereb (Yoseif Gebremichael and Gebremedhin Abrha), Eritrean Defence Forces Division 47 (Mihreteab Yemane and Yemane Woldemariam), and Segen (Merhawi Fshaye and Tesfagabr Okbagergsh) class of plaintiffs.</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submit further that], among the Mereb nominees, there is one plaintiff from each of the two principal units of Mereb that were assigned to do construction work at Bisha: Division 28 (Yoseif Gebremichael) and Division 38 (Gebremedhin Abrha). Similarly, there is one plaintiff from each of the two principal units of Eritrean Defence Forces Division 47 that were assigned to do construction work at Bisha: the First Brigade (Mihreteab Yemane) and the Second Brigade (Yemane Woldemariam).</w:t>
      </w:r>
    </w:p>
    <w:p>
      <w:pPr>
        <w:numPr>
          <w:numId w:val="4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state that the] nominations are also convenient geographically. Gebremedhin Abrha and Yemane Woldemariam both reside in or around Tel Aviv, Israel. Merhawi Fshaye and Tesfagabr Okbagergsh both reside in France, while Yoseif Gebremichael resides minutes from the French border in the canton of Geneva, Switzerland. Mihreteab Yemane, meanwhile, resides one province over in Calgary, Alberta.</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[Finally, the] selection also covers all of the important time periods in the case, and includes plaintiffs who [allege that they] were subjected to severe physical punishment at Bisha, as well as those who [alleged] relatively minor or no physical punishment.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plaintiffs submit that the objectives of access to justice and the efficient use of judicial resources are best achieved through the use of bellwether or test cases. They note that the use of bellwether trials is well established in the United States as a tool for the management of mass tort cases and has been used in Canada. The approach conserves the resources of the judiciary, the parties and their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plaintiffs assert that a properly constructed bellwether trial will capture the benefits of common issues trials found in class proceedings while providing valuable judicial guidance on individual issues such as quantum of damages. They assert that if the plaintiffs fail to establish liability in a test case which includes the common elements of liability, no other trials will be necessary and the resources which would be devoted to conducting examinations for discovery of the remaining plaintiffs will be saved. The plaintiffs predict that success in the test case, particularly when combined with mandatory mediation, will almost certainly result in settlement of the remaining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plaintiffs submit that there are a number of common elements of liability advanced in the notices of civil claim. First, the direct parent company liability of Nevsun. This is grounded on the control that the plaintiffs allege Nevsun exercised over the construction and operation of the mine, its knowledge of the risks of forced labour and human rights violations, and its corporate social responsibility policies which place responsibility for compliance with labour and human rights standards at the highest levels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plaintiffs submit that the question of whether Nevsun exercised sufficient control over the development of the Bisha mine to impose a duty of care is common to all of the claims. Further, the issue turns on the conduct of Nevsun, not that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 further issue common to all of the claims in the plaintiffs' submission is the extent to which the Bisha mine was developed in accordance with international standards and in particular, the 2006 International Finance Corporation standards. Again, the determination of this issue turns on an analysis of Nevsun's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assert that a third common issue relates to the claims for complicity in the breach of peremptory norms of customary international law. The elements of this novel claim will need to be established at trial. This includes establishing the legal standard for accomplice liability. The plaintiffs assert that resolution of these issues will require a detailed investigation into Nevsun's knowledge of the risks of forced labour and other abuses, its response to those risks and its relationship with the Eritrean regime. This investigation is common to all claims and once again turns on Nevsun's knowledge and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assert that further common issues relate to the tort based on concerted action in furtherance of a common design. The degree of concerted action required to impose liability is a common legal and factual element of each plaintiffs' claim, with the exception of plaintiff Daniel Hailemichael who does not allege that he was a forced labourer.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plaintiffs assert that resolution of the limitation issues have common legal elements, including whether Eritrean law applies to the claims, if so what is the limitation period under Eritrean law and if not whether the claims are barred under British Columbia law. The plaintiffs submit that if the court determines in a bellwether trial that Eritrean law applies and that the claims are barred, this would dispose of most, if not all of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While the plaintiffs acknowledge that the quantum of damages is a matter for individual assessment, they assert that there are aspects of the damage claims that are common, for example, the principles that are to govern the quantification of damages for breaches of customary international law and whether non-pecuniary damages are constrained by the upper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Finally, the plaintiffs note that all plaintiffs advance a claim for punitive damages. The plaintiffs submit that this claim will turn on a detailed assessment of Nevsun's knowledge and response to the alleged use of forced labour at the Bisha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plaintiffs submit that the nominations are drawn from the group of plaintiffs that have already been examined for discovery. They are therefore in the group most advanced towards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submit that their proposed bellwether trials combined with mandatory mediation will achieve the objective of access to justice and efficient use of judicial resources by streamlining and prioritizing for judicial determination important novel issues of law while providing guidance of matters of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reply, the plaintiffs provided an estimate that a trial of six bellwether plaintiffs could be conducted in 90 to 120 days. This estimate was based upon an estimate of approximately 85 days for the plaintiffs' case. This estimate is therefore likely too short given the likely length of the defence case and time for final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Nevsun's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Nevsun seeks the following orders:</w:t>
      </w:r>
      <w:r>
        <w:rPr>
          <w:rFonts w:ascii="arial" w:eastAsia="arial" w:hAnsi="arial" w:cs="arial"/>
          <w:sz w:val="20"/>
          <w:lang w:val="en-US" w:eastAsia="en-US" w:bidi="ar-SA"/>
        </w:rPr>
        <w:cr/>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further order of the court, the Actions shall be tried together and the evidence in one shall be admissible in the other, subject to the direction of the trial judge and the right of any party to dispute the admissibility, in one of the Actions, of evidence admissible in the other on the basis of relevance or otherwise;</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Actions will proceed to trial as if they are separate actions and nothing in this order shall be construed to merge the claims in the Actions;</w:t>
      </w:r>
    </w:p>
    <w:p>
      <w:pPr>
        <w:numPr>
          <w:numId w:val="4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order shall not prejudice any application by a party pursuant to R. 9-6 or R. 9-7 of the British Columbia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for judgement generally or on an issue in any of the Actions;</w:t>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order shall not prejudice the rights of a party to apply for an order that the trial of one or more of the Actions as bellwether or test cases shall proceed before the trials of the remaining Actions;</w:t>
      </w:r>
    </w:p>
    <w:p>
      <w:pPr>
        <w:numPr>
          <w:numId w:val="4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party may apply for an order that one or more of the Actions be tried separately in the event of a material change in circumstances that suggests a common trial will result in delay, complication or prolongation of the trial or otherwise prejudice a party; and</w:t>
      </w:r>
    </w:p>
    <w:p>
      <w:pPr>
        <w:numPr>
          <w:numId w:val="5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that </w:t>
      </w:r>
      <w:r>
        <w:rPr>
          <w:rFonts w:ascii="arial" w:eastAsia="arial" w:hAnsi="arial" w:cs="arial"/>
          <w:i/>
          <w:color w:val="000000"/>
          <w:sz w:val="20"/>
          <w:lang w:val="en-US" w:eastAsia="en-US" w:bidi="ar-SA"/>
        </w:rPr>
        <w:t>Debesay Mengisteab v. Nevsun Resources Ltd. and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Clifford T. Davis</w:t>
      </w:r>
      <w:r>
        <w:rPr>
          <w:rFonts w:ascii="arial" w:eastAsia="arial" w:hAnsi="arial" w:cs="arial"/>
          <w:color w:val="000000"/>
          <w:sz w:val="20"/>
          <w:lang w:val="en-US" w:eastAsia="en-US" w:bidi="ar-SA"/>
        </w:rPr>
        <w:t>, SCBC Vancouver Registry No. S-191125, be subject to judicial management by Madam Justice Ross in conjunction with 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Nevsun agrees with the plaintiffs that the pleadings in the Actions disclose common claims and disputes and note that the plaintiffs in the Araya action originally sought to bring the claim as a representative action. Nevsun submits that the Actions are clearly "so interwoven as to make separate trials before different judges undesirable and fraught with problems, not to mention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Nevsun submits that in particular:</w:t>
      </w:r>
      <w:r>
        <w:rPr>
          <w:rFonts w:ascii="arial" w:eastAsia="arial" w:hAnsi="arial" w:cs="arial"/>
          <w:sz w:val="20"/>
          <w:lang w:val="en-US" w:eastAsia="en-US" w:bidi="ar-SA"/>
        </w:rPr>
        <w:cr/>
      </w:r>
    </w:p>
    <w:p>
      <w:pPr>
        <w:numPr>
          <w:numId w:val="5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of the Actions at the same time, before the same trier and on the same evidence, will avoid the need for duplicative evidence on common issues and avoid repetitive argument on common legal issues. It will also avoid having to call fact and expert witnesses whose evidence is relevant to more than one plaintiff multiple times. This is a material concern because the alleged wrongful conduct occurred outside British Columbia. The plaintiffs reside outside British Columbia. Many fact and expert witnesses will be required from Eritrea and elsewhere. An order for trial together will substantially reduce the trial time over what would be required if all of the Actions were tried separately, to the benefit of the parties and the court;</w:t>
      </w:r>
    </w:p>
    <w:p>
      <w:pPr>
        <w:numPr>
          <w:numId w:val="5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order sought will also avoid the need for duplicative fact-finding and eliminate the risk of inconsistent results;</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order would not prejudice any of the plaintiffs. They are all represented by the same counsel. The Araya action plaintiffs were prepared to act as representatives of the plaintiffs in all of the Actions, and a number of those plaintiffs have already declared that they were prepared to be so represented. Many (but not all) of the plaintiffs claim common restitutionary and other relief (while also claiming individualised damages) such that they cannot complain that they would be prejudiced by having to participate in a trial in which they have only a marginal interest. There is similarly no evidence that the plaintiffs have retained counsel on a basis other than a contingent fee agreement. Nor is delay a material concern: The Actions are all substantially at the same stage and can be managed together so that they are ready for trial at the same time; and</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order sought has the greatest likelihood of relieving the burden on the administration of justice in trying these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Nevsun's estimate is that a common trial of all plaintiffs will take approximately 200 days, made up of 180 days of trial plus 20 days of commission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Davis adopted Nevsun's proposal and submissions. He emphasized the need for prompt resolution of these serious allegations, and echoed the concern that the plaintiffs' proposal would result in a lengthy delay in final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Applicable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parties are in agreement that there are mechanisms in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and the inherent jurisdiction of the court to permit both of the proposals under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plaintiffs and defendants for their parts each submit that their proposal will best achieve the object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as set out in R. 1-3,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Object</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object of these Supreme Court Civil Rules is to secure the just, speedy and inexpensive determination of every proceeding on its merits.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Proportionality</w:t>
      </w:r>
    </w:p>
    <w:p>
      <w:pPr>
        <w:numPr>
          <w:numId w:val="5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Securing the just, speedy and inexpensive determination of a proceeding on its merits includes, so far as is practicable, conducting the proceeding in ways that are proportionate to</w:t>
      </w:r>
    </w:p>
    <w:p>
      <w:pPr>
        <w:numPr>
          <w:numId w:val="57"/>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 in the proceeding,</w:t>
      </w:r>
    </w:p>
    <w:p>
      <w:pPr>
        <w:numPr>
          <w:numId w:val="58"/>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issues in dispute, and</w:t>
      </w:r>
    </w:p>
    <w:p>
      <w:pPr>
        <w:numPr>
          <w:numId w:val="59"/>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plaintiffs' proposal would require the severance of the claims of all but a small sub set of selected plaintiffs and an order that those selected claims be tried first. Rule 12-5(67) permits a court to order that one or more questions of fact or law in an action be tried and determined before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factors to be addressed in relation to the exercise of the discretion to sever are discussed by MacKenzie J.A. in </w:t>
      </w:r>
      <w:r>
        <w:rPr>
          <w:rFonts w:ascii="arial" w:eastAsia="arial" w:hAnsi="arial" w:cs="arial"/>
          <w:i/>
          <w:color w:val="000000"/>
          <w:sz w:val="20"/>
          <w:lang w:val="en-US" w:eastAsia="en-US" w:bidi="ar-SA"/>
        </w:rPr>
        <w:t>Johnston Estate v. Johnston</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2017 BCCA 59</w:t>
        </w:r>
      </w:hyperlink>
      <w:r>
        <w:rPr>
          <w:rFonts w:ascii="arial" w:eastAsia="arial" w:hAnsi="arial" w:cs="arial"/>
          <w:color w:val="000000"/>
          <w:sz w:val="20"/>
          <w:lang w:val="en-US" w:eastAsia="en-US" w:bidi="ar-SA"/>
        </w:rPr>
        <w:t xml:space="preserve"> at paras. 45-46,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The court's jurisdiction under Rule 22-5, s. 8(2)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and its inherent jurisdiction are exceptions to the principle stated in s. 10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as to the general avoidance of multiplicity of legal proceedings "as far as possible".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I would endorse the judge's non-exclusive summary of the key considerations relevant to an application to sever and the general principles governing severance: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[68] The key factors engaged in a general sense on an application to sever were canvassed in </w:t>
      </w:r>
      <w:r>
        <w:rPr>
          <w:rFonts w:ascii="arial" w:eastAsia="arial" w:hAnsi="arial" w:cs="arial"/>
          <w:i/>
          <w:color w:val="000000"/>
          <w:sz w:val="20"/>
          <w:lang w:val="en-US" w:eastAsia="en-US" w:bidi="ar-SA"/>
        </w:rPr>
        <w:t>Schaper v. Sears Canada</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2000 BCSC 1575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Schaper</w:t>
      </w:r>
      <w:r>
        <w:rPr>
          <w:rFonts w:ascii="arial" w:eastAsia="arial" w:hAnsi="arial" w:cs="arial"/>
          <w:color w:val="000000"/>
          <w:sz w:val="20"/>
          <w:lang w:val="en-US" w:eastAsia="en-US" w:bidi="ar-SA"/>
        </w:rPr>
        <w:t>] at para. 19:</w:t>
      </w:r>
    </w:p>
    <w:p>
      <w:pPr>
        <w:numPr>
          <w:numId w:val="60"/>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making the request must show that hearing the claims together would unduly complicate, delay the hearing, or otherwise be inconvenient. If a party applying does not meet this threshold, the court need not go further in any analysis and the application should be dismissed.</w:t>
      </w:r>
    </w:p>
    <w:p>
      <w:pPr>
        <w:numPr>
          <w:numId w:val="61"/>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the actions of any party in the proceeding been unreasonable and have they contributed to the complication, the delay, or the inconvenience alleged by the party applying? If this found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that would strengthen the argument to sever.</w:t>
      </w:r>
    </w:p>
    <w:p>
      <w:pPr>
        <w:numPr>
          <w:numId w:val="62"/>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issues between the plaintiff and defendant and the issues between the defendant and the third party sufficiently distinct so as to allow them to be tried separately? If so, that strengthens the argument to sever off third party proceeding.</w:t>
      </w:r>
    </w:p>
    <w:p>
      <w:pPr>
        <w:numPr>
          <w:numId w:val="6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relief claimed by, or the potential obligation of, any party best determined by hearing the evidence of all parties at one hearing? If so, that weakens an application to sever.</w:t>
      </w:r>
    </w:p>
    <w:p>
      <w:pPr>
        <w:numPr>
          <w:numId w:val="6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prejudice to the party applying, prejudice based on undue complication, delay or inconvenience, outweigh any benefit of matters being heard together, or outweigh any considerations related to the overall objective of the rules to ensure a just, speedy and inexpensive determination of every proceeding on its merits, including the avoidance of a multiplicity of proceedings for the benefits of litigants and having concern to congestion in the courts generally?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[69] Guidelines that focused attention more keenly on the efficacy of the trial process were helpfully laid out in </w:t>
      </w:r>
      <w:r>
        <w:rPr>
          <w:rFonts w:ascii="arial" w:eastAsia="arial" w:hAnsi="arial" w:cs="arial"/>
          <w:i/>
          <w:color w:val="000000"/>
          <w:sz w:val="20"/>
          <w:lang w:val="en-US" w:eastAsia="en-US" w:bidi="ar-SA"/>
        </w:rPr>
        <w:t>O'Mara v. Son, Kim et al.</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2007 BCSC 871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O'Mara</w:t>
      </w:r>
      <w:r>
        <w:rPr>
          <w:rFonts w:ascii="arial" w:eastAsia="arial" w:hAnsi="arial" w:cs="arial"/>
          <w:color w:val="000000"/>
          <w:sz w:val="20"/>
          <w:lang w:val="en-US" w:eastAsia="en-US" w:bidi="ar-SA"/>
        </w:rPr>
        <w:t>] at para. 23:</w:t>
      </w:r>
    </w:p>
    <w:p>
      <w:pPr>
        <w:numPr>
          <w:numId w:val="65"/>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order sought will create a saving in pre-trial procedures;</w:t>
      </w:r>
    </w:p>
    <w:p>
      <w:pPr>
        <w:numPr>
          <w:numId w:val="66"/>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will be a real reduction in the number of trial days taken up by the trial being heard at the same trial;</w:t>
      </w:r>
    </w:p>
    <w:p>
      <w:pPr>
        <w:numPr>
          <w:numId w:val="6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party may be seriously inconvenienced by being required to attend a trial in which the party may have a marginal interest;</w:t>
      </w:r>
    </w:p>
    <w:p>
      <w:pPr>
        <w:numPr>
          <w:numId w:val="6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will be a real saving in expert's time and witness fees;</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one of the actions is at a more advanced stage than the other;</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order sought will result in delay of the trial of any one of the actions and, if so, whether any prejudice which a party might suffer as a result of that delay outweighs the potential benefits which a consolidated trial might otherwise have;</w:t>
      </w:r>
    </w:p>
    <w:p>
      <w:pPr>
        <w:numPr>
          <w:numId w:val="7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possibility of inconsistent findings and common issues resulting from separate trials.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[70] Severance may well be appropriate where the determination of one issue will render another one moot: </w:t>
      </w:r>
      <w:r>
        <w:rPr>
          <w:rFonts w:ascii="arial" w:eastAsia="arial" w:hAnsi="arial" w:cs="arial"/>
          <w:i/>
          <w:color w:val="000000"/>
          <w:sz w:val="20"/>
          <w:lang w:val="en-US" w:eastAsia="en-US" w:bidi="ar-SA"/>
        </w:rPr>
        <w:t>Lawrence v. ICBC</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2001 BCSC 1530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Lawrence</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[71] The judicial discretion to sever trials or hearings is to be exercised sparingly: </w:t>
      </w:r>
      <w:r>
        <w:rPr>
          <w:rFonts w:ascii="arial" w:eastAsia="arial" w:hAnsi="arial" w:cs="arial"/>
          <w:i/>
          <w:color w:val="000000"/>
          <w:sz w:val="20"/>
          <w:lang w:val="en-US" w:eastAsia="en-US" w:bidi="ar-SA"/>
        </w:rPr>
        <w:t>Morrison Knudsen Co. v. British Columbia Hydro &amp; Power Authority</w:t>
      </w:r>
      <w:r>
        <w:rPr>
          <w:rFonts w:ascii="arial" w:eastAsia="arial" w:hAnsi="arial" w:cs="arial"/>
          <w:color w:val="000000"/>
          <w:sz w:val="20"/>
          <w:lang w:val="en-US" w:eastAsia="en-US" w:bidi="ar-SA"/>
        </w:rPr>
        <w:t xml:space="preserve">, 1972 Carswell B.C. 62, </w:t>
      </w:r>
      <w:hyperlink r:id="rId241" w:history="1">
        <w:r>
          <w:rPr>
            <w:rFonts w:ascii="arial" w:eastAsia="arial" w:hAnsi="arial" w:cs="arial"/>
            <w:i/>
            <w:color w:val="0077CC"/>
            <w:sz w:val="20"/>
            <w:u w:val="single"/>
            <w:shd w:val="clear" w:color="auto" w:fill="FFFFFF"/>
            <w:lang w:val="en-US" w:eastAsia="en-US" w:bidi="ar-SA"/>
          </w:rPr>
          <w:t>24 D.L.R. (3d) 579</w:t>
        </w:r>
      </w:hyperlink>
      <w:r>
        <w:rPr>
          <w:rFonts w:ascii="arial" w:eastAsia="arial" w:hAnsi="arial" w:cs="arial"/>
          <w:color w:val="000000"/>
          <w:sz w:val="20"/>
          <w:lang w:val="en-US" w:eastAsia="en-US" w:bidi="ar-SA"/>
        </w:rPr>
        <w:t xml:space="preserve"> (S.C.); Lawrence at para. 43. The test for severance is not applied in a vacuum; it is to be considered against the backdrop of the nature of the particular case at hand: </w:t>
      </w:r>
      <w:r>
        <w:rPr>
          <w:rFonts w:ascii="arial" w:eastAsia="arial" w:hAnsi="arial" w:cs="arial"/>
          <w:i/>
          <w:color w:val="000000"/>
          <w:sz w:val="20"/>
          <w:lang w:val="en-US" w:eastAsia="en-US" w:bidi="ar-SA"/>
        </w:rPr>
        <w:t>Wirtz v. Constantini</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137 D.L.R. (3d) 393</w:t>
        </w:r>
      </w:hyperlink>
      <w:r>
        <w:rPr>
          <w:rFonts w:ascii="arial" w:eastAsia="arial" w:hAnsi="arial" w:cs="arial"/>
          <w:color w:val="000000"/>
          <w:sz w:val="20"/>
          <w:lang w:val="en-US" w:eastAsia="en-US" w:bidi="ar-SA"/>
        </w:rPr>
        <w:t>, 1982 CarswellBC 588 (S.C.). Because the determination involves an individualized assessment of the unique case before the Court, there is no closed list of uniformly applied considerations that inform the exercise of the Court's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Rule 22-5(6) permits the court to order separate trials where joinder would unduly complicate or delay the trial or prove otherwise inconvenient.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defendants' proposal is for a common trial of all of the Actions currently under case management. Rule 22-5(8) permits the court to consolidate proceedings or to order that they be tried at the same time. The factors to be considered in an exercise of discretion to order the proceedings be tried at the same time pursuant to R. 22-5(8) were addressed by Griffin J., as she then was, in </w:t>
      </w:r>
      <w:r>
        <w:rPr>
          <w:rFonts w:ascii="arial" w:eastAsia="arial" w:hAnsi="arial" w:cs="arial"/>
          <w:i/>
          <w:color w:val="000000"/>
          <w:sz w:val="20"/>
          <w:lang w:val="en-US" w:eastAsia="en-US" w:bidi="ar-SA"/>
        </w:rPr>
        <w:t>Wheatland Industrial Park Joint Venture v. Soo</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2017 BCSC 2109</w:t>
        </w:r>
      </w:hyperlink>
      <w:r>
        <w:rPr>
          <w:rFonts w:ascii="arial" w:eastAsia="arial" w:hAnsi="arial" w:cs="arial"/>
          <w:color w:val="000000"/>
          <w:sz w:val="20"/>
          <w:lang w:val="en-US" w:eastAsia="en-US" w:bidi="ar-SA"/>
        </w:rPr>
        <w:t xml:space="preserve"> at paras. 15-16,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This type of order is discretionary. The court will generally consider two questions on an application for consolidation or joinder:</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common claims, disputes and relationships exist between the parties?</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the actions "so interwoven as to make separate trials before different judges undesirable and fraught with problems, not to mention expense"?: see </w:t>
      </w:r>
      <w:r>
        <w:rPr>
          <w:rFonts w:ascii="arial" w:eastAsia="arial" w:hAnsi="arial" w:cs="arial"/>
          <w:i/>
          <w:color w:val="000000"/>
          <w:sz w:val="20"/>
          <w:lang w:val="en-US" w:eastAsia="en-US" w:bidi="ar-SA"/>
        </w:rPr>
        <w:t>Merritt v. Imasco Enterprises Inc.</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(1992) 2 C.P.C. (3d) 275</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Shah v. Bakken</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[1996] B.C.J. No. 2836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Bhinder v. 47028 B.C. Ltd.</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2007 BCSC 805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Where the above questions are satisfied, and there is sufficient commonality between the two actions, factors to be considered on such applications include: savings in time and expense in pretrial procedures and at trial; risk of inconsistent findings if there were to be two trials; and the prejudice to a party caused by having to participate in a trial in which they have marginal interest or in suffering delay of the trial of one action. I would add to this list of factors the consideration of the burden on the administration of justice generally: see </w:t>
      </w:r>
      <w:r>
        <w:rPr>
          <w:rFonts w:ascii="arial" w:eastAsia="arial" w:hAnsi="arial" w:cs="arial"/>
          <w:i/>
          <w:color w:val="000000"/>
          <w:sz w:val="20"/>
          <w:lang w:val="en-US" w:eastAsia="en-US" w:bidi="ar-SA"/>
        </w:rPr>
        <w:t>Shah v. Bakken</w:t>
      </w:r>
      <w:r>
        <w:rPr>
          <w:rFonts w:ascii="arial" w:eastAsia="arial" w:hAnsi="arial" w:cs="arial"/>
          <w:color w:val="000000"/>
          <w:sz w:val="20"/>
          <w:lang w:val="en-US" w:eastAsia="en-US" w:bidi="ar-SA"/>
        </w:rPr>
        <w:t xml:space="preserve">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compulsory mediation that is an aspect of the plaintiffs' proposal together with a trial of issues are contemplated in R. 5-3(1), which provides in part:</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case planning conference, the case planning conference judge or master may make one or more of the following orders in respect of the action, whether or not on the application of a party: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requiring the parties of record to attend one or more of a mediation, a settlement conference or any other dispute resolution process, and giving directions for the conduct of the mediation, settlement conference or other dispute resolution process;</w:t>
      </w:r>
    </w:p>
    <w:p>
      <w:pPr>
        <w:numPr>
          <w:numId w:val="7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authorizing or directing the parties of record to try one or more issues in the action independently of others;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orders the judge or master considers will further the object of these 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A temporary stay of all proceedings except those selected to be part of the bellwether trial is an integral component of the plaintiffs' case. A court may temporarily stay proceedings pursuant to its inherent jurisdiction or under s. 8(2)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Giles et al v. Westminster Savings Credit Union et al</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2002 BCSC 1583</w:t>
        </w:r>
      </w:hyperlink>
      <w:r>
        <w:rPr>
          <w:rFonts w:ascii="arial" w:eastAsia="arial" w:hAnsi="arial" w:cs="arial"/>
          <w:color w:val="000000"/>
          <w:sz w:val="20"/>
          <w:lang w:val="en-US" w:eastAsia="en-US" w:bidi="ar-SA"/>
        </w:rPr>
        <w:t xml:space="preserve">, a case which ultimately proceeded by way of a test case trial, Sigurdson J., as the case management judge, relied on s. 10 of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and the inherent jurisdiction of the court to direct a stay of a class proceeding in favour of test cases to avoid a multiplicity of proceedings. Section 10 is the same now as it was then, it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exercise of its jurisdiction in a cause or matter before it, the court must grant, either absolutely or on reasonable conditions that to it seem just, all remedies that any of the parties may appear to be entitled to in respect of any legal or equitable claim properly brought forward by them in the cause or matter so that, as far as possible, all matters in controversy between the parties may be completely and finally determined and all multiplicity of legal proceedings concerning any of those matters may be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Examples of the use of Test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the plaintiffs note the use of test cases or bellwether trials is relatively common in the United States. Bellwether trials in the United States emerged as a response to cases, for example mass torts, in which individual trials were not a genuine possibility. The procedure has been adopted in Canada, albeit in a more limited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following Canadian cases are illustrative of the use of test cases:</w:t>
      </w:r>
      <w:r>
        <w:rPr>
          <w:rFonts w:ascii="arial" w:eastAsia="arial" w:hAnsi="arial" w:cs="arial"/>
          <w:sz w:val="20"/>
          <w:lang w:val="en-US" w:eastAsia="en-US" w:bidi="ar-SA"/>
        </w:rPr>
        <w:cr/>
      </w:r>
    </w:p>
    <w:p>
      <w:pPr>
        <w:numPr>
          <w:numId w:val="7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Indian Residential Schools, Re</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(2000), 44 C.P.C (4th) 328</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case involved more than 2,000 claimants in approximately 1,000 actions. The defendants were the federal Crown and several religious bodies. The claims included alleged abuses and wrongful confinement, and breach of Treaty obligations. There were also limitations issues. Unlike the circumstances in the present case, all parties agreed that there was benefit to proceeding with a series of test cases. McMahon J. directed the plaintiffs to identify up to 30 individual plaintiffs and the defendants up to 20 whose claims would be expedited. Each group was to represent a cross section of causes of action, schools, time periods and defendants. After the conclusion of examination for discover a smaller group would be selected to proceed to trial. There was no stay of the other cases. Discovery rights remained ongoing. No orders were made making the findings of those trials binding on the other plaintiffs and actions.</w:t>
      </w:r>
    </w:p>
    <w:p>
      <w:pPr>
        <w:numPr>
          <w:numId w:val="8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First Choice Capital Fund Ltd. v. First Canadian Capital Corp</w:t>
      </w:r>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(1999), 33 C.P.C. (4th) 362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case was comprised of six corporate plaintiffs and 152 individual plaintiffs who sued on their own behalf and on behalf of a roughly equal number of unnamed plaintiffs. There were several defendants comprised of three groups: the fund managers, the lawyer, and the auditor and accountant. All of the plaintiffs had invested in three funds. The claims raised issues of alleged breaches of fiduciary duty, duty of care, misrepresentation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central legal and factual issues were common. The documents were also essentially common. One central issue which was not common was the question of actual reliance by each of the plaintiffs on the alleged misrepresentations. There were limitation issues spanning several jurisdictions which were also not common.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proposed a test case of the six corporate and 18 individual plaintiffs be severed and proceed to trial as a test case. The other actions would be stayed pending the results of the first trial. The defendants were opposed to this procedure. Baynton J. noted, at para. 20, while it was preferable that test cases proceed where all parties supported the procedure, lack of consent does not preclude a test case being ordered in appropriate circumstances. The court noted at para. 22: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considering a test case model it is important to distinguish between legal and practical considerations. Seldom would practical considerations outweigh legal ones. A test case would not likely be ordered if the price of expediency was the curtailment of the legal rights of any of the litigants. But on the other hand, a test case should not be denied just because a litigant feels threatened by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33, Baynton J. stated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only issue is whether justice is best done in this case by way of a test case or by proceeding with all the claims simultaneously.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offered to provide an undertaking from each of the plaintiffs who were not part of the test case that they would not pursue their claims if none of the claims chosen for the test case succeeded.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result, the court directed that a test case proceed with plaintiffs having the obligation and defendants the right to designate a selection of claims to form part of the test case. The plaintiffs were to file the undertaking described above and were to provide all disclosure and discovery to the defendants prior to the selection of claims for the test case. The remaining claims were stayed pending the result of the trial of the test cases.</w:t>
      </w:r>
    </w:p>
    <w:p>
      <w:pPr>
        <w:numPr>
          <w:numId w:val="8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Giles v. Westminster Savings Credit Union</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2010 BCCA 282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was an action brought by approximately 400 plaintiffs who lost money investing in Taylor Ventures Ltd., a real estate development company that went bankrupt. Taylor Ventures did most of its banking with the defendant Westminster Savings and Credit Union. Gary Thomas, another defendant, was the commercial loans manager of the defendant credit union. The claim was that Taylor Ventures held all of the properties purchased in trust for its investors and that Taylor Ventures breached its fiduciary duties. The Credit Union and Mr. Thomas were alleged to be knowing accessories to those breaches. The essential questions at issue were the contractual relationship between the investors and the developer as manifested in the contractual documents and liability of the credit union and its officer for knowing assistance and knowing receipt.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selected 10 cases to proceed as test cases. Collectively, the selected cases represented all of the projects that were the subject matter of the litigation. There was no agreement of the parties that the result of the test cases would bind the other parties. The claims of the plaintiffs were dismissed at trial and on appeal. The remaining plaintiffs then sought to proceed with a new trial. This attempt was rejected by the trial judge, whose decision on this issue was upheld on appeal. Justice Frankel, for the Court of Appeal, noted at para. 39, that whether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would apply could not be determined until the result of the first trial was known. He noted further at para. 42, that issue estoppel was not up to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flaw in this argument is that it is not for the parties to litigation to decide whether issue estoppel will or will not apply; it is not a matter of "opting in" or "opting out". A party cannot evade the application of the common-law doctrine of issue estoppel merely by asserting that it will not apply. In this regard, it is to be remembered that the doctrine is based, in part, on the public interest in the finality of litigation: </w:t>
      </w:r>
      <w:r>
        <w:rPr>
          <w:rFonts w:ascii="arial" w:eastAsia="arial" w:hAnsi="arial" w:cs="arial"/>
          <w:i/>
          <w:color w:val="000000"/>
          <w:sz w:val="20"/>
          <w:lang w:val="en-US" w:eastAsia="en-US" w:bidi="ar-SA"/>
        </w:rPr>
        <w:t>Danyluk v. Ainsworth Technologies Inc.</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2001 SCC 44</w:t>
        </w:r>
      </w:hyperlink>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[2001] 2 S.C.R. 460</w:t>
        </w:r>
      </w:hyperlink>
      <w:r>
        <w:rPr>
          <w:rFonts w:ascii="arial" w:eastAsia="arial" w:hAnsi="arial" w:cs="arial"/>
          <w:color w:val="000000"/>
          <w:sz w:val="20"/>
          <w:lang w:val="en-US" w:eastAsia="en-US" w:bidi="ar-SA"/>
        </w:rPr>
        <w:t xml:space="preserve"> at para. 33. I agree with the trial judge that if at the first trial it had been found that the Credit Union and Mr. Thomas knowingly assisted Taylor Ventures in breaching obligations to its investors, then the Credit Union and Mr. Taylor would have been bound by that finding with respect to the claims of the remaining plaintiffs, despite the assertions of their counsel to the contrary.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Finally, at paras. 52-53, citing </w:t>
      </w:r>
      <w:r>
        <w:rPr>
          <w:rFonts w:ascii="arial" w:eastAsia="arial" w:hAnsi="arial" w:cs="arial"/>
          <w:i/>
          <w:color w:val="000000"/>
          <w:sz w:val="20"/>
          <w:lang w:val="en-US" w:eastAsia="en-US" w:bidi="ar-SA"/>
        </w:rPr>
        <w:t>R. v. Mahalingan</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2008 SCC 63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Danyluk</w:t>
      </w:r>
      <w:r>
        <w:rPr>
          <w:rFonts w:ascii="arial" w:eastAsia="arial" w:hAnsi="arial" w:cs="arial"/>
          <w:color w:val="000000"/>
          <w:sz w:val="20"/>
          <w:lang w:val="en-US" w:eastAsia="en-US" w:bidi="ar-SA"/>
        </w:rPr>
        <w:t>, Frankel J.A. noted that issue estoppel is related to the material facts which are found to exist, or not, and extends to issues of fact, law and mixed fact and law that are necessarily bound up with the determination of the issue in question.</w:t>
      </w:r>
    </w:p>
    <w:p>
      <w:pPr>
        <w:numPr>
          <w:numId w:val="8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Sutherland v. Attorney General of Canada</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2001 BCSC 1024</w:t>
        </w:r>
      </w:hyperlink>
      <w:r>
        <w:rPr>
          <w:rFonts w:ascii="arial" w:eastAsia="arial" w:hAnsi="arial" w:cs="arial"/>
          <w:color w:val="000000"/>
          <w:sz w:val="20"/>
          <w:lang w:val="en-US" w:eastAsia="en-US" w:bidi="ar-SA"/>
        </w:rPr>
        <w:t xml:space="preserve">, rev'd </w:t>
      </w:r>
      <w:hyperlink r:id="rId253" w:history="1">
        <w:r>
          <w:rPr>
            <w:rFonts w:ascii="arial" w:eastAsia="arial" w:hAnsi="arial" w:cs="arial"/>
            <w:i/>
            <w:color w:val="0077CC"/>
            <w:sz w:val="20"/>
            <w:u w:val="single"/>
            <w:shd w:val="clear" w:color="auto" w:fill="FFFFFF"/>
            <w:lang w:val="en-US" w:eastAsia="en-US" w:bidi="ar-SA"/>
          </w:rPr>
          <w:t>2002 BCCA 416</w:t>
        </w:r>
      </w:hyperlink>
      <w:r>
        <w:rPr>
          <w:rFonts w:ascii="arial" w:eastAsia="arial" w:hAnsi="arial" w:cs="arial"/>
          <w:color w:val="000000"/>
          <w:sz w:val="20"/>
          <w:lang w:val="en-US" w:eastAsia="en-US" w:bidi="ar-SA"/>
        </w:rPr>
        <w:t xml:space="preserve">, leave to appeal ref'd </w:t>
      </w:r>
      <w:hyperlink r:id="rId254" w:history="1">
        <w:r>
          <w:rPr>
            <w:rFonts w:ascii="arial" w:eastAsia="arial" w:hAnsi="arial" w:cs="arial"/>
            <w:i/>
            <w:color w:val="0077CC"/>
            <w:sz w:val="20"/>
            <w:u w:val="single"/>
            <w:shd w:val="clear" w:color="auto" w:fill="FFFFFF"/>
            <w:lang w:val="en-US" w:eastAsia="en-US" w:bidi="ar-SA"/>
          </w:rPr>
          <w:t>[2002] S.C.C.A. No. 385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case concerned the claims of nuisance advanced by property owners related to the noise from aircraft using the Vancouver International Airport's North runway, which opened on November 4, 1996. The plaintiffs initially sought to have the matter proceed as a class proceeding. That application was dismissed, but Smith J. noted that some of the legal issues could be determined fairly and efficiently in a test case (</w:t>
      </w:r>
      <w:r>
        <w:rPr>
          <w:rFonts w:ascii="arial" w:eastAsia="arial" w:hAnsi="arial" w:cs="arial"/>
          <w:i/>
          <w:color w:val="000000"/>
          <w:sz w:val="20"/>
          <w:lang w:val="en-US" w:eastAsia="en-US" w:bidi="ar-SA"/>
        </w:rPr>
        <w:t>Sutherland v. Canada (Attorney General)</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(1997), 15 C.P.C. (4th) 329</w:t>
        </w:r>
      </w:hyperlink>
      <w:r>
        <w:rPr>
          <w:rFonts w:ascii="arial" w:eastAsia="arial" w:hAnsi="arial" w:cs="arial"/>
          <w:color w:val="000000"/>
          <w:sz w:val="20"/>
          <w:lang w:val="en-US" w:eastAsia="en-US" w:bidi="ar-SA"/>
        </w:rPr>
        <w:t xml:space="preserve"> at paras. 35, 39). The matter then proceeded as a claim involving approximately 300 plaintiffs. Justice Low, by an order dated July 30, 1999, ordered that the claims of five plaintiffs, related to three properties, would be tried first, with the other claims stayed pending resolution of the first claims. The order provided that the same judge who heard the first trial would hear the other claims, that all evidence received in the first trial would be evidence in any subsequent trial and that all findings of fact made in the first trial would become findings of fact in any subsequent proceeding. The Court of Appeal ultimately concluded that the claims failed on the basis that the defendants had established the defence of statutory authority.</w:t>
      </w:r>
    </w:p>
    <w:p>
      <w:pPr>
        <w:numPr>
          <w:numId w:val="8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Singh v. Trump</w:t>
      </w:r>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2015 ONSC 4461</w:t>
        </w:r>
      </w:hyperlink>
      <w:r>
        <w:rPr>
          <w:rFonts w:ascii="arial" w:eastAsia="arial" w:hAnsi="arial" w:cs="arial"/>
          <w:color w:val="000000"/>
          <w:sz w:val="20"/>
          <w:lang w:val="en-US" w:eastAsia="en-US" w:bidi="ar-SA"/>
        </w:rPr>
        <w:t xml:space="preserve">, rev'd </w:t>
      </w:r>
      <w:hyperlink r:id="rId257" w:history="1">
        <w:r>
          <w:rPr>
            <w:rFonts w:ascii="arial" w:eastAsia="arial" w:hAnsi="arial" w:cs="arial"/>
            <w:i/>
            <w:color w:val="0077CC"/>
            <w:sz w:val="20"/>
            <w:u w:val="single"/>
            <w:shd w:val="clear" w:color="auto" w:fill="FFFFFF"/>
            <w:lang w:val="en-US" w:eastAsia="en-US" w:bidi="ar-SA"/>
          </w:rPr>
          <w:t>2016 ONCA 747</w:t>
        </w:r>
      </w:hyperlink>
      <w:r>
        <w:rPr>
          <w:rFonts w:ascii="arial" w:eastAsia="arial" w:hAnsi="arial" w:cs="arial"/>
          <w:color w:val="000000"/>
          <w:sz w:val="20"/>
          <w:lang w:val="en-US" w:eastAsia="en-US" w:bidi="ar-SA"/>
        </w:rPr>
        <w:t xml:space="preserve">, leave to appeal ref'd </w:t>
      </w:r>
      <w:hyperlink r:id="rId258" w:history="1">
        <w:r>
          <w:rPr>
            <w:rFonts w:ascii="arial" w:eastAsia="arial" w:hAnsi="arial" w:cs="arial"/>
            <w:i/>
            <w:color w:val="0077CC"/>
            <w:sz w:val="20"/>
            <w:u w:val="single"/>
            <w:shd w:val="clear" w:color="auto" w:fill="FFFFFF"/>
            <w:lang w:val="en-US" w:eastAsia="en-US" w:bidi="ar-SA"/>
          </w:rPr>
          <w:t>[2016] S.C.C.A. No. 548</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matter involved 20 actions brought by 22 groups of purchasers dealing with hotel condominium units in the hotel portion of the former Trump International Hotel and Tower Toronto. The purchasers were all represented by the same counsel. A number of actions involved claims for rescission by purchasers who did not complete their agreements for purchase and sale. In addition, three actions were commenced on behalf of purchasers who did close.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parties agreed that one action involving a purchaser who did not complete and one involving a purchaser who did complete would be selected as test cases proceeding to a motion for summary judgment.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Singh v. Trump Sr.</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2018 ONSC 4649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8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Sodhi v. Genesis Land Development Corp.</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2004 ABQB 628</w:t>
        </w:r>
      </w:hyperlink>
      <w:r>
        <w:rPr>
          <w:rFonts w:ascii="arial" w:eastAsia="arial" w:hAnsi="arial" w:cs="arial"/>
          <w:color w:val="000000"/>
          <w:sz w:val="20"/>
          <w:lang w:val="en-US" w:eastAsia="en-US" w:bidi="ar-SA"/>
        </w:rPr>
        <w:t xml:space="preserve">, aff'd </w:t>
      </w:r>
      <w:hyperlink r:id="rId261" w:history="1">
        <w:r>
          <w:rPr>
            <w:rFonts w:ascii="arial" w:eastAsia="arial" w:hAnsi="arial" w:cs="arial"/>
            <w:i/>
            <w:color w:val="0077CC"/>
            <w:sz w:val="20"/>
            <w:u w:val="single"/>
            <w:shd w:val="clear" w:color="auto" w:fill="FFFFFF"/>
            <w:lang w:val="en-US" w:eastAsia="en-US" w:bidi="ar-SA"/>
          </w:rPr>
          <w:t>2005 ABCA 69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was another commercial case. The plaintiffs, numbering between 60-90, were investors in a development scheme. The claim was one of misrepresentation and oppression. The plaintiffs sought to have the case proceed with five test case complainants on the oppression issue. Justice Hart noted that the test case procedure would not be appropriate to deal with the allegations of misrepresentation. Hart J. concluded that while the result would not determine the litigation, it would likely resolve many claims and reduce the number and complexity of the remaining claims. The court granted the application for a test case trial of an issue. The other issues and claims were stayed pending the outcome of the trial.</w:t>
      </w:r>
    </w:p>
    <w:p>
      <w:pPr>
        <w:numPr>
          <w:numId w:val="8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Arishenkoff et al. v. British Columbia</w:t>
      </w:r>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2002 BCSC 951</w:t>
        </w:r>
      </w:hyperlink>
      <w:r>
        <w:rPr>
          <w:rFonts w:ascii="arial" w:eastAsia="arial" w:hAnsi="arial" w:cs="arial"/>
          <w:color w:val="000000"/>
          <w:sz w:val="20"/>
          <w:lang w:val="en-US" w:eastAsia="en-US" w:bidi="ar-SA"/>
        </w:rPr>
        <w:t xml:space="preserve">, aff'd </w:t>
      </w:r>
      <w:hyperlink r:id="rId263" w:history="1">
        <w:r>
          <w:rPr>
            <w:rFonts w:ascii="arial" w:eastAsia="arial" w:hAnsi="arial" w:cs="arial"/>
            <w:i/>
            <w:color w:val="0077CC"/>
            <w:sz w:val="20"/>
            <w:u w:val="single"/>
            <w:shd w:val="clear" w:color="auto" w:fill="FFFFFF"/>
            <w:lang w:val="en-US" w:eastAsia="en-US" w:bidi="ar-SA"/>
          </w:rPr>
          <w:t>2004 BCCA 299</w:t>
        </w:r>
      </w:hyperlink>
      <w:r>
        <w:rPr>
          <w:rFonts w:ascii="arial" w:eastAsia="arial" w:hAnsi="arial" w:cs="arial"/>
          <w:color w:val="000000"/>
          <w:sz w:val="20"/>
          <w:lang w:val="en-US" w:eastAsia="en-US" w:bidi="ar-SA"/>
        </w:rPr>
        <w:t xml:space="preserve">, rev'd in part </w:t>
      </w:r>
      <w:hyperlink r:id="rId264" w:history="1">
        <w:r>
          <w:rPr>
            <w:rFonts w:ascii="arial" w:eastAsia="arial" w:hAnsi="arial" w:cs="arial"/>
            <w:i/>
            <w:color w:val="0077CC"/>
            <w:sz w:val="20"/>
            <w:u w:val="single"/>
            <w:shd w:val="clear" w:color="auto" w:fill="FFFFFF"/>
            <w:lang w:val="en-US" w:eastAsia="en-US" w:bidi="ar-SA"/>
          </w:rPr>
          <w:t>2005 BCCA 481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case involved claims by 55 plaintiffs against the government. The plaintiffs were children who were apprehended and confined as a result of their parents being members of the Sons of Freedom sect of the Doukhobor religion. The claims included allegations of sexual and physical abuse and unlawful confinement. The parties agreed to select three test cases to determine several discreet issues of law, included an interpretation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As can be seen from this list, the test case approach has been adopted in a variety of circumstances. Relevant factors can be seen to include:</w:t>
      </w:r>
      <w:r>
        <w:rPr>
          <w:rFonts w:ascii="arial" w:eastAsia="arial" w:hAnsi="arial" w:cs="arial"/>
          <w:sz w:val="20"/>
          <w:lang w:val="en-US" w:eastAsia="en-US" w:bidi="ar-SA"/>
        </w:rPr>
        <w:cr/>
      </w:r>
    </w:p>
    <w:p>
      <w:pPr>
        <w:numPr>
          <w:numId w:val="8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claimants, whether there are so many claimants that individual trials are impracticable;</w:t>
      </w:r>
    </w:p>
    <w:p>
      <w:pPr>
        <w:numPr>
          <w:numId w:val="8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presence of common issues and whether such common issues can be determined without considering each individual claim;</w:t>
      </w:r>
    </w:p>
    <w:p>
      <w:pPr>
        <w:numPr>
          <w:numId w:val="8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likelihood that the results of the test case will either resolve or simplify the resolution of the remaining claims; and</w:t>
      </w:r>
    </w:p>
    <w:p>
      <w:pPr>
        <w:numPr>
          <w:numId w:val="8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Consent of the parties, this is preferable but not essential.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agree with Baynton J. that ultimately the question of whether the test case approach is appropriate in the circumstances involves a consideration of how justice will best be done having regard to the practical and legal considerations relevant to the particular circumstances of the litigation (</w:t>
      </w:r>
      <w:r>
        <w:rPr>
          <w:rFonts w:ascii="arial" w:eastAsia="arial" w:hAnsi="arial" w:cs="arial"/>
          <w:i/>
          <w:color w:val="000000"/>
          <w:sz w:val="20"/>
          <w:lang w:val="en-US" w:eastAsia="en-US" w:bidi="ar-SA"/>
        </w:rPr>
        <w:t>First Choice Capital</w:t>
      </w:r>
      <w:r>
        <w:rPr>
          <w:rFonts w:ascii="arial" w:eastAsia="arial" w:hAnsi="arial" w:cs="arial"/>
          <w:color w:val="000000"/>
          <w:sz w:val="20"/>
          <w:lang w:val="en-US" w:eastAsia="en-US" w:bidi="ar-SA"/>
        </w:rPr>
        <w:t xml:space="preserve"> at paras. 22-27,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Should these claims be heard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first question to be considered is whether the claims in these separate actions should proceed to separate trials or be tried together, either in a common trial or </w:t>
      </w:r>
      <w:r>
        <w:rPr>
          <w:rFonts w:ascii="arial" w:eastAsia="arial" w:hAnsi="arial" w:cs="arial"/>
          <w:i/>
          <w:color w:val="000000"/>
          <w:sz w:val="20"/>
          <w:lang w:val="en-US" w:eastAsia="en-US" w:bidi="ar-SA"/>
        </w:rPr>
        <w:t>seriatim</w:t>
      </w:r>
      <w:r>
        <w:rPr>
          <w:rFonts w:ascii="arial" w:eastAsia="arial" w:hAnsi="arial" w:cs="arial"/>
          <w:color w:val="000000"/>
          <w:sz w:val="20"/>
          <w:lang w:val="en-US" w:eastAsia="en-US" w:bidi="ar-SA"/>
        </w:rPr>
        <w:t xml:space="preserve"> as the plaintiffs propose.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the present case, it appears to be common ground that there are common claims, disputes and relationships among the parties and that the actions are interwoven such that separate trials before different judges would be undesirable and fraught with problems and unnecessary expense. No one suggests that it would be appropriate to hold eleven different trials of the Actions. Indeed the plaintiffs' proposal is premised on the assumption that there are sufficient commonalities that the findings in the first trial would be binding in any subsequent trials.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However, in reply plaintiffs' counsel seemed to argue to the contrary, stating that a common trial would deny Mr. Mengisteab a fair, speedy and efficient resolution of his claim. He noted that Mr. Mengisteab has produced his documents and been examined for discovery and that unlike other plaintiffs, does not seek postponement of the limitations due to access to counsel but on other grounds. Counsel submits that it is unjust to force Mr. Mengisteab to wait to advance his case to trial for the completion of the remaining examinations for discovery. He notes that Mr. Mengisteab is not part of a pre-defined group like a union, where it could be argued that the legal action is brought on behalf of the entire group and therefore they must proceed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There are two difficulties with this submission. The first is that in the course of submissions the plaintiffs agreed that Mr. Mengisteab's claim should be brought under common case management with the remaining claims. The second is that his is not one of the cases that the plaintiffs have identified to be tried first. It follows that resolution of his case will be postponed under either alternative. In the case of a common trial, the delay would be the result of an inevitable later start date for the trial. In relation to a bellwether trial, the delay would follow from not being selected as one of the bellwether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the present circumstances, I am satisfied that these actions have common claims, disputes and relationships. These are such that separate trials of the individual actions before different judges is undesirable and fraught with problems including unnecessary duplication, extra expense and the risk of inconsistent results. I am satisfied that there is sufficient commonality among the actions that separate trials of the individual actions would be inappropriate.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Consideration of the Two Proposals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Stay of 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 central component of the plaintiffs' proposal is an order for an immediate stay of the claims of all the plaintiffs who are not part of the bellwether trial pending determination of the claims of the test case plaintiffs. This clearly includes a stay of the defendants' ability to conduct any further examinations for discovery in respect of the non bellwether claims. In fact, the stay on further discovery was the main focus of the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Discovery is a particularly time consuming and expensive exercise in this case. All of the plaintiffs reside out of this jurisdiction. They are scattered in a variety of locations across North America, in various countries in Europe, in Israel, and in Ethiopia. The plaintiffs for the most part do not speak English and require translators. The expense and complexity of discovery in this case formed a central component of the plaintiffs' submissions with respect to a stay.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plaintiffs submit that it will take two years to complete discovery of all remaining plaintiffs at a rate that is sustainable for plaintiffs' counsel. Counsel characterizes this exercise as unnecessary, and a "massive waste of resources" that would, of necessity, push back the start date for a common trial of all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plaintiffs submit that a stay would not prejudice Nevsun for the following reasons. First, the plaintiffs assert that Nevsun had years to make a proper assessment of the issues related to forced labour and the working conditions in the mine but failed to do so. In counsel's submission, it follows that Nevsun cannot now assert that the discovery of the plaintiffs is necessary in order to respond to allegations with respect to these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any event, the plaintiffs submit that "will say" statements, interrogatories and "other disclosure tools" are an appropriate substitute for discovery in the circumstances. I note that this submission appears to run counter to the plaintiffs' request for an order that "no steps will be taken" in the claims of all the other plaintiffs. Presumably, the stay sought would encompass these alternative measures.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Nevsun does not dispute that completion of discovery of all of the remaining plaintiffs would result in some delay. Counsel does take issue with the plaintiffs' characterization of the magnitude of such delay. In any event, notwithstanding the issue of additional delay, Nevsun submits that a stay of the actions would prejudice Nevsun and compromise the fairness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Nevsun submits that the discovery process has been an important factor in weeding out unmeritorious claims thereby promoting judicial economy while enhancing the search for truth. In addition, in Nevsun's submission, it is clear that the discovery evidence of the plaintiffs is relevant to the assessment of the credibility and reliability of the claims of other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Nevsun notes that the plaintiffs' submission with respect to discovery run counter to the conclusions that Justice Abrioux reached in </w:t>
      </w:r>
      <w:r>
        <w:rPr>
          <w:rFonts w:ascii="arial" w:eastAsia="arial" w:hAnsi="arial" w:cs="arial"/>
          <w:i/>
          <w:color w:val="000000"/>
          <w:sz w:val="20"/>
          <w:lang w:val="en-US" w:eastAsia="en-US" w:bidi="ar-SA"/>
        </w:rPr>
        <w:t>Araya 2016</w:t>
      </w:r>
      <w:r>
        <w:rPr>
          <w:rFonts w:ascii="arial" w:eastAsia="arial" w:hAnsi="arial" w:cs="arial"/>
          <w:color w:val="000000"/>
          <w:sz w:val="20"/>
          <w:lang w:val="en-US" w:eastAsia="en-US" w:bidi="ar-SA"/>
        </w:rPr>
        <w:t>. In those reasons, at para. 568, Justice Abrioux concluded that one of the "significant advantages" of requiring the plaintiffs to commence individual actions is that Nevsun would be entitled to discovery as a right. He also concluded that it will be necessary for there to be an individual examination of the circumstances of each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Counsel submits that the request for a stay is counter productive since the prospects for settlement will be compromised by denying Nevsun important information about the claims. In Nevsun's submission, denying discovery compromises the chances for a global resolution of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Nevsun notes that the claims are already significantly dated. A stay of discovery will result in further deterioration of the evidence. This affects the fairness of subsequent trials. It is a matter of particular concern given the few documents that the plaintiffs claim to possess.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 agree with Nevsun's submissions with respect to the issue of a stay. In my view the plaintiffs' position with respect to discovery runs counter to the central role it occupies in the administration of justice. As Justice Abrioux noted in </w:t>
      </w:r>
      <w:r>
        <w:rPr>
          <w:rFonts w:ascii="arial" w:eastAsia="arial" w:hAnsi="arial" w:cs="arial"/>
          <w:i/>
          <w:color w:val="000000"/>
          <w:sz w:val="20"/>
          <w:lang w:val="en-US" w:eastAsia="en-US" w:bidi="ar-SA"/>
        </w:rPr>
        <w:t>Marsh Canada Limited v. BFL Canada Insurance Services Inc.</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2014 BCSC 1171</w:t>
        </w:r>
      </w:hyperlink>
      <w:r>
        <w:rPr>
          <w:rFonts w:ascii="arial" w:eastAsia="arial" w:hAnsi="arial" w:cs="arial"/>
          <w:color w:val="000000"/>
          <w:sz w:val="20"/>
          <w:lang w:val="en-US" w:eastAsia="en-US" w:bidi="ar-SA"/>
        </w:rPr>
        <w:t xml:space="preserve"> at para.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Full and complete disclosure between or among litigants prior to trial is essential to the truth- seeking function of the litigation process and the proper administration of justice: </w:t>
      </w:r>
      <w:r>
        <w:rPr>
          <w:rFonts w:ascii="arial" w:eastAsia="arial" w:hAnsi="arial" w:cs="arial"/>
          <w:i/>
          <w:color w:val="000000"/>
          <w:sz w:val="20"/>
          <w:lang w:val="en-US" w:eastAsia="en-US" w:bidi="ar-SA"/>
        </w:rPr>
        <w:t>Nikolic v Olsen</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2011 BCSC 125</w:t>
        </w:r>
      </w:hyperlink>
      <w:r>
        <w:rPr>
          <w:rFonts w:ascii="arial" w:eastAsia="arial" w:hAnsi="arial" w:cs="arial"/>
          <w:color w:val="000000"/>
          <w:sz w:val="20"/>
          <w:lang w:val="en-US" w:eastAsia="en-US" w:bidi="ar-SA"/>
        </w:rPr>
        <w:t xml:space="preserve"> at para. 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Given the central role that discovery plays in the litigation process, in my view it is not for the plaintiffs to suggest that discovery is unnecessary for Nevsun to respond to the plaintiffs' allegations or that other disclosure methods should suffice. Moreover, under the plaintiffs' proposal the plaintiffs would be afforded full rights of discovery of the defendants, further magnifying unfairness.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plaintiffs' position in my view rests upon the unstated premise that the discovery of each plaintiff is relevant only to the circumstances of that plaintiff and irrelevant to the issue of the liability of the defendants. However, I am satisfied both from the pleadings and the extracts from discovery referred to in the course of submissions that in fact there is considerable interrelationship. Non bellwether plaintiffs are likely to have evidence which is material to issues that would be tried in the bellwether cases both with respect to the claims of the other plaintiffs and with respect to the issue of the liability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pleadings allege that the harsh treatment at the mine included public physical punishments. For instance, the Araya action and Alemayo action plaintiffs assert, at para. 49 and para. 41 of the respective notices of civil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and other forms of severe punishment served to create an atmosphere of fear and intimidation at the Bisha mine that helped to ensure the continued obedience of conscripts and other workers and caused the plaintiffs and other forced labourers to live in fear for their lives.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Thus, the atmosphere of fear and intimidation that allegedly arose in part from knowledge of and witnessing the treatment afforded to other workers forms an integral part of the plaintiffs' claim. In addition, many of the plaintiffs were at the mine at the same time as others. The descriptions of the conditions at the mine that each plaintiff provides constitutes evidence that is potentially relevant to the assessment of the reliability and credibility of the accounts of others who were there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agree with Nevsun that the imposition of a stay would be prejudicial to the defendants' rights to a fair trial. A stay would compromise the defendants' ability to respond to the allegations of the plaintiffs. Moreover, in the event that there was an order for a test case trial, a stay would create a real risk of findings of fact in that trial, which would be binding in subsequent trials, that were inconsistent with the evidence at a subsequent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 also agree that the imposition of a stay would be counterproductive to prospects for an overall settlement. In my view, the prospects of settlement are enhanced and not inhibited by full discovery prior to trial. Indeed this is one of the reasons that discovery holds such a central role in our system of justice, see </w:t>
      </w:r>
      <w:r>
        <w:rPr>
          <w:rFonts w:ascii="arial" w:eastAsia="arial" w:hAnsi="arial" w:cs="arial"/>
          <w:i/>
          <w:color w:val="000000"/>
          <w:sz w:val="20"/>
          <w:lang w:val="en-US" w:eastAsia="en-US" w:bidi="ar-SA"/>
        </w:rPr>
        <w:t>Juman v. Doucette</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2008 SCC 8</w:t>
        </w:r>
      </w:hyperlink>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agree that there are features adding to the expense and complexity of the discovery process in the present cases. However, in my view, this is not a case in which the numbers of plaintiffs and the complexity make it impracticable to discover all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plaintiffs' proposal for a stay also rests on the assumption that completion of the discoveries will be unnecessary following the test case trial because either the plaintiffs will lose or there will be a global settlement. However, if the plaintiffs succeed and there is no immediate global settlement the discoveries will have to be completed in any event, only then with further significant delay and the corresponding deterioration of memory. In addition, this is not a case in which it necessarily follows that if the test case plaintiffs fail, the claims of all other plaintiffs are likewise doomed to failure. That result is perhaps likely but by no means 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summary, this is not a case in which it is impracticable to complete the discovery process for all parties. The plaintiffs' proposal results in savings and efficiencies in only a limited set of circumstances but comes at a cost of significant prejudice to the defendants' ability to conduct their defence and to the fairness of the trial and a potential for significant additional delay in the eventual resolution of the litigation. I agree with Nevsun's submission that a stay of the Actions would prejudice Nevsun and compromise the fairness of the proceedings.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Practicalities of the Proposals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turn next to the parties' proposals for the mode of trial. The first consideration is the practicalities of the two proposals. I agree with the plaintiffs that their proposal would see the case ready for the test case trial sooner than the common trial proposed by the defendants. I also agree that a trial of six plaintiffs would be significantly shorter than a trial of all of the claims. However, I also agree with the submission of the defendants that if a bellwether trial is undertaken and all the claims do not resolve following the first test case trial, the final resolution will be delayed for years longer than in a common trial scenario. The resulting expense would be the same if not greater with considerable delay and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promise of the savings of time and expense inherent in the plaintiffs' test case proposal is really premised on a faith in one of two outcomes. The first alternative is that the plaintiffs do not succeed in establishing liability in the first test case trial. It is clear that if the plaintiffs fail and the remainder of the claims do not proceed to trial, much time and expense will have been saved. However, this could be argued in any case in which liability and damages are split, yet this is rarely appropriate. The second alternative is that if the plaintiffs succeed in the bellwether trial all the claims would be settled without proceeding to try the remainder of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An integral component of the plaintiffs' proposal is mandatory mediation following the conclusion of the test case trial. As noted above,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do provide for an order that the parties attend mandatory mediation. None of the parties provided any guidance with respect to the principles that should guide the court in its exercise of discretion in considering such an order. I do not intend to address this aspect of the relief further in these reasons except to note, as stated earlier, that in my view the prospects of settlement are enhanced and not inhibited by the completion of discoveries by all parties to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plaintiffs argue that it is unjust to burden the plaintiffs in a common trial with the longer, more complex trial that would be required with hundreds of days of testimony, potentially unrelated to their time at the Bisha mine and their injuries. However, on the assumption that the claims do not settle after the test case, the result will be the same, only significantly delayed.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plaintiffs argue that a common trial would simply be impracticable. This contention is based upon a premise that a common trial would involve 60 plaintiffs with damage claims requiring 3-5 days each to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With respect to the question of the number of claims that would be tried in a common trial, the defendants note that while at one point there were approximately 90 plaintiffs, that number has been steadily declining as discovery has progressed to the present number of which is less than 60. The defendants predict that if discoveries are permitted to continue, by the time of trial the number would have settled to approximately 40. Of course, we can't know the future. However, given the recent history, it does seem more likely than not that some additional plaintiffs will fall away by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 consideration of how long it would take to try the plaintiffs' case requires some consideration of the claims being advanced. It appears that all or virtually all of the plaintiffs seek recovery for forced labour. In addition, all or virtually all will advance a claim based upon the harsh working conditions that they allege they were forced to endure. A more limited group of plaintiffs allege that they suffered a physical or emotional injury caused by the treatment at the mine and within this group a smaller subset alleges injury that resulted in loss of past and/or future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plaintiffs who advance claims based upon forced labour and harsh working conditions, but who do not advance claims for physical or emotional injury or loss of income, have been defined in the litigation as "restricted damages plaintiffs". The parties reached an agreement at an earlier stage in the litigation with respect to document production for this group of plaintiffs. For the purpose of these applications, the relevance of the restricted damages plaintiffs is that clearly the adjudication of the claims of these plaintiffs would require less court time than those alleging injury and income loss. In my view, it is unlikely that the evidence with respect to the claims of the restricted damages plaintiffs would require 3-5 days of court time each. At this stage of the proceedings, there are four plaintiffs who have been characterized by plaintiffs' counsel as restricted damages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Thus, at this point it is not known how many plaintiffs would be involved in a common trial. Nor do we know the composition of that group, and how many will be restricted damage plaintiffs. On the basis of what we do know and reasonable predictions about what is likely to occur between now and the start of trial, I think that the plaintiffs' prediction of the likely length of a common trial is overly pessimistic as it does not account for further reductions in the number of plaintiffs, the restricted damages plaintiffs and possible efficiencies in the trial process that could be adopted.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my view, it cannot be said at this time that it would be impossible or impracticable to try all of the claims in a common trial. This is not a case involving hundreds or thousands of claims where a trial of all claims is simply not possible or practicable.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Selection of Test Case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As noted above, the plaintiffs contend that the group they have nominated as suitable test plaintiffs offer a balanced distribution of the three major classes of conscripts, cover all of the important time period and are convenient geographically. In oral submissions, counsel stated that the plaintiffs were open to other suggestions with respect to the composition of the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Nevsun submitted that the plaintiffs' claim that the proposed test case plaintiffs are representative rests upon the pleadings and not on the evidence. In fact, Nevsun asserts that the proposed plaintiffs represent the most advantageous selection by the plaintiffs, drawn from those who have been examined and who are convenient geographically.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Nevsun submits that the plaintiffs' criteria for selection ignore considerations about the representativeness of the individuals' experiences or the strength of their cases. For example, Nevsun submits that these plaintiffs are not representative of those who describe witnessing no torture and receiving no threats.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my view, if a test case approach is to be adopted, the selection of the test case plaintiffs is a matter of critical importance. The importance of this element is magnified in the current proposal because the plaintiffs' plan would have the findings of fact from the bellwether trial be binding on subsequent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On the basis of the record and submissions before me I am not able to conclude that the proposed test case plaintiffs are a group that are fairly representative and appropriate for purposes of a test case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Risk of Prejudice/Trial 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plaintiffs' proposal would make findings of fact from the bellwether trial binding on any subsequent action. This creates a potential for significant challenges and potential unfairness.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This is not an occasion for fact finding; however, certain examples referenced in Nevsun's submissions from evidence given on discovery illustrate the concern. Bellwether plaintiffs have testified on discovery about having suffered instances of physical abuse, including being tied up and displayed in public. They described experiencing this, seeing others treated in this way and hearing or knowing of many other instances. However, other non bellwether plaintiffs from the limited group who have been discovered to date testified that they experienced no abuse or threats, and did not witness any torture, threats or abuse to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There is in my view a real potential for inconsistency between the results of bellwether and non bellwether trials, particularly in circumstances in which the defendants have been deprived of the opportunity to complete discovery. As noted earlier, the atmosphere of oppression, which was influenced not only by what the plaintiffs experienced themselves but by what they saw or knew was happening to others, is an integral part of their claim. The plaintiffs' proposal to have the findings of fact from the bellwether trial binding on any subsequent trial carries with it in these circumstances a real risk of an unjust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Nevsun notes that the form of order proposed by the plaintiffs does not refer to issue estoppel, does not prevent the re-litigation of issues or preclude parties from adducing additional or contrary evidence that could alter or embarrass the court's earlier findings. Nevsun notes further that the order proposed by the plaintiffs in the present case, unlike the order in </w:t>
      </w:r>
      <w:r>
        <w:rPr>
          <w:rFonts w:ascii="arial" w:eastAsia="arial" w:hAnsi="arial" w:cs="arial"/>
          <w:i/>
          <w:color w:val="000000"/>
          <w:sz w:val="20"/>
          <w:lang w:val="en-US" w:eastAsia="en-US" w:bidi="ar-SA"/>
        </w:rPr>
        <w:t>First Choice Capital</w:t>
      </w:r>
      <w:r>
        <w:rPr>
          <w:rFonts w:ascii="arial" w:eastAsia="arial" w:hAnsi="arial" w:cs="arial"/>
          <w:color w:val="000000"/>
          <w:sz w:val="20"/>
          <w:lang w:val="en-US" w:eastAsia="en-US" w:bidi="ar-SA"/>
        </w:rPr>
        <w:t>, does not contain an undertaking from all non bellwether plaintiffs "to the effect that they will not pursue their claims against the Defendants if none of the individual Plaintiffs in the test case are ultimately successful" (at para. 37(6)(b)). Nevsun submits that given these concerns the order proposed creates the potential for confusion, additional complexity and disputes.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agree that the form of order proposed by the plaintiffs creates the potential for these problems. The possibility of inconsistent findings of fact is of particular concern in the circumstances of the present litigation which, as noted earlier, raises questions of law which are novel in this jurisdiction.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Claim for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All of the plaintiffs advance a claim for punitive damages. The plaintiffs submit that this claim will turn on a detailed assessment of Nevsun's knowledge and response to the alleged use of forced labour at the Bisha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plaintiffs submit that common issues arising from claims for punitive damages in class proceedings are routinely certified. The approach taken by British Columbia courts in recent cases is described as a bifurcated approach. The issue of whether the acts and omissions of the defendant warrant an award of punitive damages is addressed at the common issues trial. While the ultimate decision as to whether punitive damages should be awarded, and in what amount, is heard and decided later, following determination of the issues including the quantum of compensatory damages payable to class members. See for example </w:t>
      </w:r>
      <w:r>
        <w:rPr>
          <w:rFonts w:ascii="arial" w:eastAsia="arial" w:hAnsi="arial" w:cs="arial"/>
          <w:i/>
          <w:color w:val="000000"/>
          <w:sz w:val="20"/>
          <w:lang w:val="en-US" w:eastAsia="en-US" w:bidi="ar-SA"/>
        </w:rPr>
        <w:t>Sherry v. CIBC Mortgages Inc.</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2015 BCSC 490</w:t>
        </w:r>
      </w:hyperlink>
      <w:r>
        <w:rPr>
          <w:rFonts w:ascii="arial" w:eastAsia="arial" w:hAnsi="arial" w:cs="arial"/>
          <w:color w:val="000000"/>
          <w:sz w:val="20"/>
          <w:lang w:val="en-US" w:eastAsia="en-US" w:bidi="ar-SA"/>
        </w:rPr>
        <w:t xml:space="preserve"> at paras. 6-7, 12-28.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This approach has been held to be appropriate where the assessment of the defendant's conduct will be focused on systemic wrongdoing against the group, rather than wrongdoing against individual class members. In the plaintiffs' submission, the inquiry into Nevsun's knowledge of and response to the alleged use of forced labour at the Bisha mine is an inquiry into conduct that constitutes a systemic wrongdoing against the group of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Counsel submits that a bellwether trial on punitive damages would provide invaluable guidance for the resolution of this issue in the remaining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defendants note that the proposed bellwether trials are not trials of certified common issues belonging to a class of plaintiffs. They are complete trials of the actions of certain selected plaintiffs. There is therefore no room to defer the ultimate decision with respect to whether punitive damages should be awarded and if so, in what amount. Thus in the defendants' submission, the plaintiffs' position is contrary to established principles governing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In my view, the class proceedings decisions concerning this issue are not a helpful analogy. As discussed in </w:t>
      </w:r>
      <w:r>
        <w:rPr>
          <w:rFonts w:ascii="arial" w:eastAsia="arial" w:hAnsi="arial" w:cs="arial"/>
          <w:i/>
          <w:color w:val="000000"/>
          <w:sz w:val="20"/>
          <w:lang w:val="en-US" w:eastAsia="en-US" w:bidi="ar-SA"/>
        </w:rPr>
        <w:t>Sherry</w:t>
      </w:r>
      <w:r>
        <w:rPr>
          <w:rFonts w:ascii="arial" w:eastAsia="arial" w:hAnsi="arial" w:cs="arial"/>
          <w:color w:val="000000"/>
          <w:sz w:val="20"/>
          <w:lang w:val="en-US" w:eastAsia="en-US" w:bidi="ar-SA"/>
        </w:rPr>
        <w:t xml:space="preserve">, in cases in which the analysis of the wrongfulness of the defendant's conduct does not require an examination of the individual class member's circumstances or of any interaction with individual members, the determination of whether the defendant's conduct is sufficiently reprehensible to warrant punishment is capable of being determined as a common issue. See for example </w:t>
      </w:r>
      <w:r>
        <w:rPr>
          <w:rFonts w:ascii="arial" w:eastAsia="arial" w:hAnsi="arial" w:cs="arial"/>
          <w:i/>
          <w:color w:val="000000"/>
          <w:sz w:val="20"/>
          <w:lang w:val="en-US" w:eastAsia="en-US" w:bidi="ar-SA"/>
        </w:rPr>
        <w:t>Chalmers v. AMO Canada Company</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2010 BCCA 560</w:t>
        </w:r>
      </w:hyperlink>
      <w:r>
        <w:rPr>
          <w:rFonts w:ascii="arial" w:eastAsia="arial" w:hAnsi="arial" w:cs="arial"/>
          <w:color w:val="000000"/>
          <w:sz w:val="20"/>
          <w:lang w:val="en-US" w:eastAsia="en-US" w:bidi="ar-SA"/>
        </w:rPr>
        <w:t xml:space="preserve">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However, it is also clear that where adopted this is a bifurcated approach with punitive damages determined only after consideration of the individual circumstances of the class members and the compensatory damages addressed. As Justice Watchuk stated in </w:t>
      </w:r>
      <w:r>
        <w:rPr>
          <w:rFonts w:ascii="arial" w:eastAsia="arial" w:hAnsi="arial" w:cs="arial"/>
          <w:i/>
          <w:color w:val="000000"/>
          <w:sz w:val="20"/>
          <w:lang w:val="en-US" w:eastAsia="en-US" w:bidi="ar-SA"/>
        </w:rPr>
        <w:t>Sherry</w:t>
      </w:r>
      <w:r>
        <w:rPr>
          <w:rFonts w:ascii="arial" w:eastAsia="arial" w:hAnsi="arial" w:cs="arial"/>
          <w:color w:val="000000"/>
          <w:sz w:val="20"/>
          <w:lang w:val="en-US" w:eastAsia="en-US" w:bidi="ar-SA"/>
        </w:rPr>
        <w:t xml:space="preserve"> at para.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indicated above, punitive damages will only be awarded in exceptional cases for egregious misconduct if and only if all other penalties are inadequate to accomplish the objectives of retribution, deterrence, and denunciation: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xml:space="preserve"> at paras. 36 and 94. Punitive damages cannot be determined "at large" and can only be decided once all other sanctions have been visited upon the defendant (at paras. 76, 94, and 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As Justice Perell discussed in </w:t>
      </w:r>
      <w:r>
        <w:rPr>
          <w:rFonts w:ascii="arial" w:eastAsia="arial" w:hAnsi="arial" w:cs="arial"/>
          <w:i/>
          <w:color w:val="000000"/>
          <w:sz w:val="20"/>
          <w:lang w:val="en-US" w:eastAsia="en-US" w:bidi="ar-SA"/>
        </w:rPr>
        <w:t>Robinson v. Medtronic Inc</w:t>
      </w:r>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(2009), 80 C.P.C. (6th) 87</w:t>
        </w:r>
      </w:hyperlink>
      <w:r>
        <w:rPr>
          <w:rFonts w:ascii="arial" w:eastAsia="arial" w:hAnsi="arial" w:cs="arial"/>
          <w:color w:val="000000"/>
          <w:sz w:val="20"/>
          <w:lang w:val="en-US" w:eastAsia="en-US" w:bidi="ar-SA"/>
        </w:rPr>
        <w:t xml:space="preserve"> at paras. 170-171 (Ont. S.C.J.):</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[170] It follows from Justice Binnie's remarks [in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that an assessment of punitive damages requires an appreciation of: (a) the degree of misconduct; (b) the amount of harm caused; (c) the availability of other remedies; (d) the quantification of compensatory damages; and (e) the adequacy of compensatory damages to achieve the objectives or retribution, deterrence, and denunciation. These factors must be known to ensure that punitive damages are rational and to ensure that the amount of punitive damages is not greater than necessary to accomplish their purposes.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[171] In order to rationally determine whether punitive damages should be awarded and to determine the quantum of them, the court needs to know the quantum of compensation that will be awarded. Earlier in his judgment, at para. 74, Justice Binnie stated: "[T]he governing rule for quantum is proportionality. The overall award, that is to say compensatory damages plus punitive damages plus any other punishment related to the same misconduct, should be rationally related to the objectives for which the punitive damages are awarded (retribution, deterrence and denunciation)." Later in his judgment, at para. 100, he stated: "The rationality test applies both to the question of whether an award of punitive damages should be made at all, as well as to the question of 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the case at bar those factors would be known at the conclusion of the common trial under the defendants' proposal. However under the plaintiffs' proposal, those matters would not be known at the conclusion of the bellwether trial. Accordingly, in my view the plaintiffs' claim for punitive damages is a factor that is compatible with the common trial proposal but, incompatible with the bellwether proposal advanced by the plaintiffs.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Alternate Relief - Liability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plaintiffs' notice of application seeks in the alternative an order that the issues of duty and standard of care be tried before other issues including causation and damages. This alternative was not developed in submissions, neither was it abandoned. In my view the proposal, as presented, is contrary to authority, see </w:t>
      </w:r>
      <w:r>
        <w:rPr>
          <w:rFonts w:ascii="arial" w:eastAsia="arial" w:hAnsi="arial" w:cs="arial"/>
          <w:i/>
          <w:color w:val="000000"/>
          <w:sz w:val="20"/>
          <w:lang w:val="en-US" w:eastAsia="en-US" w:bidi="ar-SA"/>
        </w:rPr>
        <w:t>Prevost v. Vetter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2002 BCCA 202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Bacchus Agents (1981) Ltd. v. Philippe Dandurand Wines Limited</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Hobbs v. Robertson</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2002 BCCA 381</w:t>
        </w:r>
      </w:hyperlink>
      <w:r>
        <w:rPr>
          <w:rFonts w:ascii="arial" w:eastAsia="arial" w:hAnsi="arial" w:cs="arial"/>
          <w:color w:val="000000"/>
          <w:sz w:val="20"/>
          <w:lang w:val="en-US" w:eastAsia="en-US" w:bidi="ar-SA"/>
        </w:rPr>
        <w:t>. I do not regard this option, as presented, to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have concluded that it is not impracticable to have a common trial. I am not persuaded that the test case proposal provides an overall practical advantage. I acknowledge that there are certain circumstances that would result in savings of time and expense. However, the plaintiffs' proposal also carries the risk of significant delay in the ultimate resolution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have also concluded that there are legal considerations that do not favor the plaintiffs' proposal. A stay on examination for discovery would in my opinion prejudice the defendants and impair the fairness of the trial. There is a potential for mischief if binding findings of fact from the test case trial prove to be inconsistent with evidence accepted in a subsequent trial of the remaining claims. The plaintiffs' claims for punitive damages cannot be addressed in a bellwether trial, yet such a trial is meant to be a complete trial of the claims of any selected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This litigation is undeniably complex. If a settlement is not reached, on either proposal, the litigation will be protracted and expensive. Considering all of the circumstances, I am satisfied at this time that justice is best done in these cases by proceeding with a common trial. Accordingly, the plaintiffs' application is dismissed. The relief sought in Nevsun's application is granted. I expect that in the coming months, consistent with the object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the parties will direct their attention to exploring ways to conduct this litigation in a fashion that is efficient and fair to all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Accordingly,</w:t>
      </w:r>
      <w:r>
        <w:rPr>
          <w:rFonts w:ascii="arial" w:eastAsia="arial" w:hAnsi="arial" w:cs="arial"/>
          <w:sz w:val="20"/>
          <w:lang w:val="en-US" w:eastAsia="en-US" w:bidi="ar-SA"/>
        </w:rPr>
        <w:cr/>
      </w:r>
    </w:p>
    <w:p>
      <w:pPr>
        <w:numPr>
          <w:numId w:val="9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further order of the court, the Actions shall be tried together and the evidence in one shall be admissible in the other, subject to the direction of the trial judge and the right of any party to dispute the admissibility, in one of the Actions, of evidence admissible in the other on the basis of relevance or otherwise;</w:t>
      </w:r>
    </w:p>
    <w:p>
      <w:pPr>
        <w:numPr>
          <w:numId w:val="9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Actions will proceed to trial as if they are separate actions and nothing in this order shall be construed to merge the claims in the Actions;</w:t>
      </w:r>
    </w:p>
    <w:p>
      <w:pPr>
        <w:numPr>
          <w:numId w:val="9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order shall not prejudice any application by a party pursuant to R. 9-6 or R. 9-7 of the British Columbia </w:t>
      </w:r>
      <w:r>
        <w:rPr>
          <w:rFonts w:ascii="arial" w:eastAsia="arial" w:hAnsi="arial" w:cs="arial"/>
          <w:i/>
          <w:color w:val="000000"/>
          <w:sz w:val="20"/>
          <w:lang w:val="en-US" w:eastAsia="en-US" w:bidi="ar-SA"/>
        </w:rPr>
        <w:t>Supreme Court Civil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for judgement generally or on an issue in any of the Actions;</w:t>
      </w:r>
    </w:p>
    <w:p>
      <w:pPr>
        <w:numPr>
          <w:numId w:val="9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order shall not prejudice the rights of a party to apply for an order that the trial of one or more of the Actions as bellwether or test cases shall proceed before the trials of any remaining actions;</w:t>
      </w:r>
    </w:p>
    <w:p>
      <w:pPr>
        <w:numPr>
          <w:numId w:val="9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party may apply for an order that one or more of the Actions be tried separately in the event of a material change in circumstances that suggests a common trial will result in delay, complication or prolongation of the trial or otherwise prejudice a party; and</w:t>
      </w:r>
    </w:p>
    <w:p>
      <w:pPr>
        <w:numPr>
          <w:numId w:val="9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Debesay Mengisteab v. Nevsun Resources Ltd. and Clifford T. Davis</w:t>
      </w:r>
      <w:r>
        <w:rPr>
          <w:rFonts w:ascii="arial" w:eastAsia="arial" w:hAnsi="arial" w:cs="arial"/>
          <w:color w:val="000000"/>
          <w:sz w:val="20"/>
          <w:lang w:val="en-US" w:eastAsia="en-US" w:bidi="ar-SA"/>
        </w:rPr>
        <w:t>, SCBC Vancouver Registry No. S-191125, be subject to judicial management by Madam Justice Ross in conjunction with 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ROSS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68" style="position:absolute;z-index:251769856"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53"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53"/>
      <w:r>
        <w:rPr>
          <w:rFonts w:ascii="arial" w:eastAsia="arial" w:hAnsi="arial" w:cs="arial"/>
          <w:sz w:val="20"/>
          <w:lang w:val="en-US" w:eastAsia="en-US" w:bidi="ar-SA"/>
        </w:rPr>
        <w:tab/>
      </w:r>
      <w:r>
        <w:rPr>
          <w:rFonts w:ascii="arial" w:eastAsia="arial" w:hAnsi="arial" w:cs="arial"/>
          <w:color w:val="6D6E71"/>
          <w:sz w:val="18"/>
          <w:lang w:val="en-US" w:eastAsia="en-US" w:bidi="ar-SA"/>
        </w:rPr>
        <w:t>Includes an out of contact plaintiff (Samson Haile) whose action was stayed until December 31, 2019 pursuant to the order made September 9, 2019.</w:t>
      </w:r>
    </w:p>
    <w:p>
      <w:pPr>
        <w:spacing w:before="120" w:after="20" w:line="240" w:lineRule="atLeast"/>
        <w:ind w:left="720" w:hanging="360"/>
        <w:jc w:val="both"/>
        <w:rPr>
          <w:rFonts w:ascii="arial" w:eastAsia="arial" w:hAnsi="arial" w:cs="arial"/>
          <w:sz w:val="20"/>
          <w:lang w:val="en-US" w:eastAsia="en-US" w:bidi="ar-SA"/>
        </w:rPr>
      </w:pPr>
      <w:bookmarkStart w:id="54"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54"/>
      <w:r>
        <w:rPr>
          <w:rFonts w:ascii="arial" w:eastAsia="arial" w:hAnsi="arial" w:cs="arial"/>
          <w:sz w:val="20"/>
          <w:lang w:val="en-US" w:eastAsia="en-US" w:bidi="ar-SA"/>
        </w:rPr>
        <w:tab/>
      </w:r>
      <w:r>
        <w:rPr>
          <w:rFonts w:ascii="arial" w:eastAsia="arial" w:hAnsi="arial" w:cs="arial"/>
          <w:color w:val="6D6E71"/>
          <w:sz w:val="18"/>
          <w:lang w:val="en-US" w:eastAsia="en-US" w:bidi="ar-SA"/>
        </w:rPr>
        <w:t>Includes two out of contact plaintiffs (Yemane Sebehatleab and Mekonen Berhane) whose actions were stayed until December 31, 2019 pursuant to the order made September 9, 2019.</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9" style="position:absolute;z-index:2518128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80" w:history="1">
        <w:r>
          <w:rPr>
            <w:rFonts w:ascii="arial" w:eastAsia="arial" w:hAnsi="arial" w:cs="arial"/>
            <w:b/>
            <w:bCs/>
            <w:i/>
            <w:color w:val="0077CC"/>
            <w:kern w:val="32"/>
            <w:sz w:val="28"/>
            <w:szCs w:val="32"/>
            <w:u w:val="single"/>
            <w:shd w:val="clear" w:color="auto" w:fill="FFFFFF"/>
            <w:lang w:val="en-US" w:eastAsia="en-US" w:bidi="ar-SA"/>
          </w:rPr>
          <w:t>Arellano v. Wong, [2013] B.C.J. No. 2526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R. McDiarmid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S075347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2526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2093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Dennis Roberto Arellano, Hermenegilda Manrique Olivares and Iris Adelheid Arellano Manrique, Plaintiff, and Steve Wong, Rex Wong, Thompson Minwax Company, Thompson Minwax (Canada) Ltd., John Doe 1 and John Doe 2, Defendants, and Chong Bo Zhao,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(77 paras.)</w:t>
      </w:r>
    </w:p>
    <w:p>
      <w:pPr>
        <w:jc w:val="both"/>
        <w:rPr>
          <w:rFonts w:ascii="arial" w:eastAsia="arial" w:hAnsi="arial" w:cs="arial"/>
          <w:sz w:val="20"/>
          <w:lang w:val="en-US" w:eastAsia="en-US" w:bidi="ar-SA"/>
        </w:rPr>
      </w:pPr>
      <w:bookmarkStart w:id="55" w:name="Counsel_9"/>
      <w:bookmarkEnd w:id="5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0"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 Quinlan.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Steve Wong and Rex Wong: J.D. Fisher, J.D. Maledy.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Thompson Minwax Co. and Thompson Minwax (Canada) Ltd.: S. Vorbrodt.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one appeared for the Third Party.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6" w:name="Judgment_9"/>
      <w:bookmarkEnd w:id="56"/>
      <w:r>
        <w:pict>
          <v:line id="_x0000_s1071" style="position:absolute;z-index:25172070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December 17, 2013; the changes have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7" w:name="MASTER R. McDIARMID"/>
            <w:bookmarkEnd w:id="57"/>
            <w:r>
              <w:rPr>
                <w:rFonts w:ascii="arial" w:eastAsia="arial" w:hAnsi="arial" w:cs="arial"/>
                <w:b/>
                <w:color w:val="000000"/>
                <w:sz w:val="30"/>
                <w:lang w:val="en-US" w:eastAsia="en-US" w:bidi="ar-SA"/>
              </w:rPr>
              <w:t>MASTER R. McDIARMID</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There are two applications before me, one by the defendants, Steve Wong and Rex Wong (collectively, the "Wongs"), and one by the defendants, Thompson Minwax Company and Thompson Minwax (Canada) Ltd. (collectively, the "Minwax defendants"). Both applications seek dismissal of the plaintiff's action for want of prosecution pursuant to Rules 1-3 and 22-7(7)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xml:space="preserve">], together with costs in the cause pursuant to Rule 14-1(9) and (12)(a)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factual basis for the applications is set out in the litigation chronology provided in paragraph 1 of the Wongs' notice of application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 2: FACTUAL BASIS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Litigation Chronology: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27"/>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2005</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August 9, 2005 Alleged injury to Plaintiffs from inhalation of fumes from hardwood floor refinishing work at rental property.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27"/>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2007</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August 7, 2007 Endorsed Writ of Summons filed by unrepresented Plaintiffs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Dec. 10, 2007</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Residential Tenancy Decision and Reasons between </w:t>
            </w:r>
            <w:r>
              <w:rPr>
                <w:rFonts w:ascii="arial" w:eastAsia="arial" w:hAnsi="arial" w:cs="arial"/>
                <w:i/>
                <w:color w:val="000000"/>
                <w:sz w:val="18"/>
                <w:lang w:val="en-US" w:eastAsia="en-US" w:bidi="ar-SA"/>
              </w:rPr>
              <w:t>Wong v. Arellano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Dec. 11, 2007</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Residential Tenancy Order in </w:t>
            </w:r>
            <w:r>
              <w:rPr>
                <w:rFonts w:ascii="arial" w:eastAsia="arial" w:hAnsi="arial" w:cs="arial"/>
                <w:i/>
                <w:color w:val="000000"/>
                <w:sz w:val="18"/>
                <w:lang w:val="en-US" w:eastAsia="en-US" w:bidi="ar-SA"/>
              </w:rPr>
              <w:t>Wong v. Arellano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2008</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July 30, 2008 Writ Renewed for 12 month period by Order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27"/>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July 21, 2009</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Defendants, Steve Wong and Rex Wong ("Wongs"), filed an Appearance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July 29, 2009</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Plaintiffs filed Notice of Change of Address for Delivery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July 29, 2009</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Writ Renewed for 3 month period by Order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July 31, 2009</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Defendants, Wongs, filed a Statement of Defence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Aug. 5, 2009</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Defendants, Wongs, served List of Documents and Demand for Discovery of Documents and Notice to Produce on Plaintiffs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Aug. 17, 2009</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Defendants, Thompson Minwax Company and Thompson Minwax (Canada) Ltd. ("Minwax"), filed an Appearance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Sept. 11, 2009</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Plaintiffs' counsel, Miller Thomson, filed Notice of Appointment of Solicitor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Sept. 16, 2009</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Plaintiffs' counsel orders copies of Wongs Documents from List of Documents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 9, 2009</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Wongs' counsel served Supplemental List of Documents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 17, 2009</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Minwax counsel served List of Documents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 23, 2009</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Ministry of Health accepts Offer to Settle with respect to health care costs claim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27"/>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Feb. 3, 2010</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Wongs' counsel sends letter to Plaintiffs' counsel requesting their List of Documents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June 7, 2010</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Wongs' counsel sends letter to Plaintiffs' counsel placing time limit of accepting Offer to Settle by June 21, 2010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June 9, 2010</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Third Party Notice filed by Wongs against Chong Bo Zhao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June 25, 2010</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Third Party Zhao filed Statement of Defence to Third Party Notice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Aug. 4, 2010</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Defendants, Minwax, Demand Amendment from Plaintiffs (Rule 24-1(10))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Sept. 8, 2010</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Defendants Wong file Notice of Change of Lawyer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27"/>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15, 2011</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Minwax Application to strike Plaintiffs' action for failure to comply with Supreme Court Civil Rules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23, 2011</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Minwax Requisition to reset hearing date from April 11 to May 11, 2011 by Consent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April 29, 2011</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Wongs file and serve Notice of application to dismiss the Plaintiff's claim for want of prosecution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 9, 2011</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Plaintiffs' counsel files and serves Amended Notice of Civil Claim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 10, 2011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Defendants Wongs' Requisition to adjourn want of prosecution hearing generally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27"/>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2013</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April 3, 2013 Wongs' counsel file and serve Notice of Application to dismiss proceedings for want of prosecution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failed to make any document production despite a demand in August 2009, a follow up with their counsel in February 2010 and the filing of their Amended Notice of Civil Claim on May 9th, 2011.</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failed to take any steps to further their litigation and have not set any dates for discovery 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Some additional facts set out in Part 2 of the Minwax defendants' notice of application are as follows:</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Thompson Minwax Company and Thompson Minwax (Canada) Ltd. (the "Minwax Defendants") have taken,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the following steps: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Minwax Defendants requested the Plaintiffs' documents on August 19, and September 17, 2009;</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Nemetz-Sinchein Affidavit, paras. 6 and 7, Exhibits E and G</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Minwax Defendants requested the Plaintiffs' Statement of Claim/Notice of Civil Claim on the following dates:</w:t>
      </w:r>
    </w:p>
    <w:p>
      <w:pPr>
        <w:numPr>
          <w:numId w:val="6"/>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19, 2009;</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November 5, 2009;</w:t>
      </w:r>
    </w:p>
    <w:p>
      <w:pPr>
        <w:numPr>
          <w:numId w:val="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14, 2010;</w:t>
      </w:r>
    </w:p>
    <w:p>
      <w:pPr>
        <w:numPr>
          <w:numId w:val="9"/>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31, 2010;</w:t>
      </w:r>
    </w:p>
    <w:p>
      <w:pPr>
        <w:numPr>
          <w:numId w:val="1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4, 2010; and</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October 19, 2010</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Nemetz-Sinchein Affidavit, paras. 6, 9, 11, 14, 15 and 16</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Minwax Defendants filed an application on March 15, 2011 seeking an order to strike the Plaintiffs' claims on the basis they failed to provide a Notice of Civil Claim;</w:t>
      </w:r>
    </w:p>
    <w:p>
      <w:pPr>
        <w:spacing w:before="120" w:line="260" w:lineRule="atLeast"/>
        <w:ind w:left="1800"/>
        <w:rPr>
          <w:rFonts w:ascii="arial" w:eastAsia="arial" w:hAnsi="arial" w:cs="arial"/>
          <w:sz w:val="20"/>
          <w:lang w:val="en-US" w:eastAsia="en-US" w:bidi="ar-SA"/>
        </w:rPr>
      </w:pPr>
      <w:r>
        <w:rPr>
          <w:rFonts w:ascii="arial" w:eastAsia="arial" w:hAnsi="arial" w:cs="arial"/>
          <w:i/>
          <w:color w:val="000000"/>
          <w:sz w:val="20"/>
          <w:lang w:val="en-US" w:eastAsia="en-US" w:bidi="ar-SA"/>
        </w:rPr>
        <w:t>Notice of Application</w:t>
      </w:r>
      <w:r>
        <w:rPr>
          <w:rFonts w:ascii="arial" w:eastAsia="arial" w:hAnsi="arial" w:cs="arial"/>
          <w:color w:val="000000"/>
          <w:sz w:val="20"/>
          <w:lang w:val="en-US" w:eastAsia="en-US" w:bidi="ar-SA"/>
        </w:rPr>
        <w:t>, Nemetz-Sinchein Affidavit, Exhibit P</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Minwax Defendants served the Plaintiffs with Interrogatories on August 19, 2009 and requested responses on January 14 and March 31, 2010; and</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Nemetz-Sinchein Affidavit, paras. 6, 11 and 14</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Minwax Defendants served the Plaintiffs with a List of Documents on November 17, 2009.</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Nemetz-Sinchein Affidavit, para. 10</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April 29, 2011, the Defendant Wong filed an application seeking to have the Plaintiffs' claims dismissed for want of prosecution.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than filing pleadings, the Plaintiffs have failed to take any steps to advance this litigation. No response to the Interrogatories has been received. No documents have been produced. No discoveries have been set or taken place and no trial date has been secured.</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Writ of Summons</w:t>
      </w:r>
      <w:r>
        <w:rPr>
          <w:rFonts w:ascii="arial" w:eastAsia="arial" w:hAnsi="arial" w:cs="arial"/>
          <w:color w:val="000000"/>
          <w:sz w:val="20"/>
          <w:lang w:val="en-US" w:eastAsia="en-US" w:bidi="ar-SA"/>
        </w:rPr>
        <w:t>, Nemetz-Sinchein Affidavit, Exhibit A</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Minwax Defendants have been prejudiced by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Evidence of the facts set out in both notices of application has been provided by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Danielle Adam, a legal assistant employed by counsel for the Wongs, filed an affidavit attaching several exhibits which assist in establishing evidence of many of the facts set out in Part 2 of the Wongs' notice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Exhibit A to her affidavit is a copy of decisions and reasons rendered by M. Bruce, a Residential Tenancy Act Dispute Resolution Officer. Curiously, the decision references a hearing date of December 11, 2011, although the decision itself is purported to be dated December 10, 2007. The decision followed a hearing which dealt with an application by the landlord pursuant to the </w:t>
      </w:r>
      <w:r>
        <w:rPr>
          <w:rFonts w:ascii="arial" w:eastAsia="arial" w:hAnsi="arial" w:cs="arial"/>
          <w:i/>
          <w:color w:val="000000"/>
          <w:sz w:val="20"/>
          <w:lang w:val="en-US" w:eastAsia="en-US" w:bidi="ar-SA"/>
        </w:rPr>
        <w:t>Residential Tenancy Act</w:t>
      </w:r>
      <w:r>
        <w:rPr>
          <w:rFonts w:ascii="arial" w:eastAsia="arial" w:hAnsi="arial" w:cs="arial"/>
          <w:color w:val="000000"/>
          <w:sz w:val="20"/>
          <w:lang w:val="en-US" w:eastAsia="en-US" w:bidi="ar-SA"/>
        </w:rPr>
        <w:t xml:space="preserve"> for a monetary order for damage to the landlord's property, and for monetary loss due to the tenant's actions. The tenant is noted as being Dennis Arellano, the first named plaintiff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Under the heading "CONDUCT OF THE HEARING" is written: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tenant stated that he gave notice on September 2, 2007 to end the tenancy on September 30, 2007 due to health issues caused by mould in the basement apartment that they rented from the landlord. The tenant claims compensation in the amount of $9,238.18. Of this, $6,551 is claimed as reporting fees. He has also claimed for his costs of binding the lengthy evidence booklet, doing furnace inspections on September 5th and 6th, 2007 and having a mould assessment done by a contractor.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undisputed facts are that the monthly rent was $650, that the tenants resided in the premises since June 15, 2001 and they paid a security deposit of $325 on June 1, 2001. It is also undisputed that there were problems with leaks over the course of the tenancy and it took a significant amount of time to repair them. In August, 2005 it took one month to repair a shower leak, on August 30, 2006, it took 4 to 5 months to repair leaks and the counter in the kitchen which was finally completed on December 20, 2006. In the latest problem of water coming through the bathroom ceiling, the tenant repeatedly asked for repairs by letters starting on August 21, 2007 and it was finally fixed on September 10, 2007 after the tenants had moved. It is disputed as to the reasons for the delays as the landlord states that the tenant insisted on being there while the tradesmen worked and on having them work limited hours to suit him. The tenant states that he was available but things were just not fixed.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his findings, the Dispute Resolution Officer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the evidence is that the tenant was inconvenienced by a room that was out of order (kitchen or bathroom) for a total of approximately 6 months over the period of the tenancy. For the inconvenience and loss of use of the facility, I award the tenant 25% of the monthly rental for 6 months which is $162.50 X 6 for a total of $975.00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the tenant is not entitled to compensation for the other items listed in his evidence. He had no authority from the landlord to get the furnace inspected and incur charges; also he had already given notice when he had had contractors perform these services. Likewise, he had no authority from the landlord to have mould inspections done. Also, while there are moderate allergies to mould noted, there is no evidence of a direct link to the landlord being negligent and the noted health issues. Furthermore, there is no medical evidence of health issues being linked to the actions of the landlord.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result, the tenant was awarded $975.00 offset as to $479.67 by an order in favour of the landlord with a monetary order for the balance being awarded to the tenant, Dennis Arellano.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support of the facts set out in Part 2 of the Minwax defendants' notice of application, there is an affidavit filed by Talya Nemetz-Sinchein, an articled student with the law firm representing the Minwax defendants. That affidavit establishes, through exhibits attached to it, the facts set out in Part 2, paragraph 3 of the Minwax defendants' notice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attaches two renewal orders, both of which were brought by the plaintiffs without notice. It also attaches a letter to the plaintiff, Olivares, with the enclosures to that letter, including an appearance, a demand for discovery of documents and notice to produce, and interrogatories directed to Olivares.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attaches a letter dated September 17, 2009, sent to Mr. Hobkirk enclosing a revised demand for discovery of documents and notice to produce.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attaches a letter dated September 13, 2009, from Mr. Hobkirk to the Minwax defendants' lawyers which contains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confirm that I will be away from the office from September 14 until October 3, 2009. In the meantime, I have requested responses from Mr. Arellano (unsworn at this time) to many of the interrogatories. I have also requested that Mr. Arellano assemble all relevant documents. It is my intention to prepare and file a Statement of Claim in October, 2009. Thank you for your accommodation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attaches a letter from the Minwax defendants' lawyers to Mr. Hobkirk dated November 5, 2009, the body of which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your correspondence of September 13, 2009 advising your intention to provide us with a filed copy of the Statement of Claim in October 2009, we look forward to same and to answers to our interrogatories at your earliest convenience.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confirms that November 17, 2009, the lawyers for the Minwax defendants provided their list of documents to Mr. Hobkirk.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attaches a copy of a letter dated January 14, 2010, the body of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you correspondence of September 13, 2009 advising your intention to provide us with a filed copy of the Statement of Claim in October 2009, we look forward to hearing from you at your earliest convenience.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also look forward to receipt of answers to our Interrogatories which were originally sent to the Plaintiffs under cover of our correspondence dated August 19,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your intention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attaches three more letters dated February 2, 2010, March 12, 2010 and March 31, 2010, all of which are sent to Mr. Hobkirk and make reference to obtaining responses to the previous letters sent, including specific reference to the interrogatories on the March 31, 2010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On August 4, 2010, the lawyers for the Minwax defendants wrote to Mr. Hobkirk demanding a notice of civil claim in accordance with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xml:space="preserve"> which came into force in the preceding month and contained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note that in the event that the amended Notice of Civil Claim is not delivered to us within 21 days, we may proceed with an application pursuant to Rule 24-1(12) for an order that the deemed pleading (ie. the Writ of Summons)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That was followed up with a letter dated October 19, 2010, the body of which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our letter of August 4, 2010, and our various telephone discussions, we have not received a filed amended Notice of Civil Claim in response to our demand made under Rule 24-1(10) of the Supreme Court Civil Rules.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note that if we do not receive the filed amended Notice of Civil Claim prior to November 5, 2010 we will proceed with an application to strike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March 17, 2011, the Minwax defendants delivered a notice of application which sought orders identical to the orders being sought in this application. The notice of application, dated March 16, 2011 and returnable April 11, 2011, was adjourned by consent in May of 2011, when Mr. Hobkirk, on behalf of the plaintiffs, filed an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original writ of summons contained an endorsement. Paragraphs 4 through 11 of the endorsement deal with an allegation that the plaintiffs suffered injury as a consequence of fumes entering the suite they were renting, which fumes are alleged to have emanated from wood finishing products manufactured by the Minwax defendants. Paragraph 9 contains the following allegation:</w:t>
      </w:r>
      <w:r>
        <w:rPr>
          <w:rFonts w:ascii="arial" w:eastAsia="arial" w:hAnsi="arial" w:cs="arial"/>
          <w:sz w:val="20"/>
          <w:lang w:val="en-US" w:eastAsia="en-US" w:bidi="ar-SA"/>
        </w:rPr>
        <w:cr/>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and each of them, owed a duty of care to the Plaintiffs to prevent the release of toxic substances into the Suite where the Plaintiffs would be exposed to such substances.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Paragraphs 12, 13 and 14 read as follows:</w:t>
      </w:r>
      <w:r>
        <w:rPr>
          <w:rFonts w:ascii="arial" w:eastAsia="arial" w:hAnsi="arial" w:cs="arial"/>
          <w:sz w:val="20"/>
          <w:lang w:val="en-US" w:eastAsia="en-US" w:bidi="ar-SA"/>
        </w:rPr>
        <w:cr/>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the Defendant Steve Wong and Rex Wong have failed to maintain the Suite in a state that is suitable for occupation and have failed to comply with health, safety and housing standards required by law, in breach of the residential tenancy agreement with the Plaintiffs.</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claim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all the Defendants. The Plaintiffs also claim damages in nuisance and trespass to land against the Defendants Steve Wong, Rex Wong, John Doe 1 and John Doe 2. Further, the Plaintiffs Dennis Roberto Arellano and Iris Adelheid Arellano Manrique claim damages for trespass to the person against the Defendants Steve Wong, Rex Wong, John Doe 1 and John Doe 2.</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the Plaintiffs claim damages for breach of contract against the Defendants Steve Wong and Rex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is no specific reference to mould anywhere in the writ of summons. It is apparent from the decision of the Dispute Resolution Officer, that the plaintiff, Dennis Arellano, gave notice on September 2, 2007, to end the tenancy due to health issues caused by mould, and claimed compensation for those health issues. His claim for the "noted health issues" was disallowed.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amended notice of civil claim alleges in May 2011and, for the first time in these proceedings, that the plaintiffs' claim relates not only to what is referred to as "the incident," which relates to the application on August 9, 2005 of a product allegedly manufactured and/or distributed by the Minwax defendants, but also claims damages relating to degraded and unsafe environmental conditions of the suite being rented by the plaintiffs, with particular reference to damages caused by mould as set out in paragraphs 19, 21, 22 and 23 of Part 1 of the plaintiffs'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Some additional relevant facts are found in some of the exhibits to the Danielle Adam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November 9, 2009, counsel for the Wongs wrote to Mr. Hobkirk. The second paragraph of that letter (the bulk of which is an offer to settle)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records reviewed thus far indicate no support for any medical injury or issues related to the incident. As previously requested, we look forward to receiving the Plaintiffs' medical records which may support the allegations of injury arising from the incident on August 9,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February 3, 2010, counsel for the Wongs again wrote to Mr. Hobkirk; the first paragraph of that letter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following up with respect to our request for the Plaintiffs' documents and in particular documents that support allegations of medical injury with respect to this matter and for a response to our formal offer of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Rex Wong filed an affidavit which confirms that the plaintiffs vacated the suite on September 9, 2007. Shortly after the plaintiffs' departure, the suite was completely renovated, including replacement of cabinetry, renovation of the bathroom, closing off of exposed wall and piping, and replacement of flooring. Mr. Wong deposes that subsequent tenants moved into the suite in late 2007, continued to reside there and have provided no complaints of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response to the notices of application, the plaintiffs rely on an affidavit of Allan Hobkirk. The evidence confirms that Mr. Hobkirk was contacted by the plaintiff, Dennis Arellano, in June of 2007, assisted him in drafting an endorsed writ of summon, and had intermittent contact with Mr. Arellano over the course of the next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According to paragraph 17 of Mr. Hobkirk's affidavit, the plaintiffs retained Mr. Hobkirk's firm on September 3, 2009. On September 11, 2009, Mr. Hobkirk filed a notice of appointment of solicitor formally assuming conduct of the plaintiffs'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Dennis Arellano, filed an affidavit. He deposes in paragraph 6 of his affidavit that the other two plaintiffs, Hermenegilda Manrique Olivares, his wife, and Iris Adelheid Arellano Manrique, his daughter, have authorized him to provide information and instructions to legal counsel throughout this proceeding. He details the history of his tenancy of the premises, which commenced in June of 2001, and continued until September of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paragraph 11, he deposes: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was finishing studies at BCIT in hopes of obtaining a degree in environmental engineering and eventually a professional job in that field. It was my goal to establish my own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outlines events of July and August 2005 dealing with renovations done in the unit on the floor above where he was residing and particular details of health problems allegedly suffered by him on August 9,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attaches to his affidavit a series of letters sent to the defendant, Steve Wong, requesting identification of the products used. Although Mr. Wong did not respond, Mr. Arellano deposes that in September of 2006, he learned what the product was. He then had several email exchanges with representatives of Minwax. Exhibit C to his affidavit puts into evidence an email exchange with took place on November 9, 2006, another email exchange (it appears that the complete email exchange was not provided) on January 8, 2007, a further email exchange initiated February 9, 2007 and responded to February 12, 2007, and then an email dated April 23, 2007, where Minwax provides some information and concludes its email with the following, "Can I ask you again what your interest in our Minwax product is?" There is no evidence that this question was responded to by Mr. Arellano.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noted, with the assistance of Mr. Hobkirk, the plaintiffs issued the writ of summons commencing this action on August 7, 2007, two days prior to the second anniversary of the date on which Dennis Arellano alleges he began to experience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 offers no explanation for why he did not serve the endorsed writ of summons promptly. In paragraph 45 of his affidavit, he details his intention to retain counsel once his health improved and he had regular employment, and he details an absence of employment due to ongoing health issues, but offers no explanation for failing to serve the writ of summons within the one year. He deposes that he caused the writ to be renewed on July 30, 2008, and states in paragraph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At the time, I felt unable to prosecute the action due to my poor health, lack of energy and lack of emotional and financial resources to properly retain counsel and fund disbursements to advance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That does not explain what I find to be a strategic delay in failing to serve the writ in a timely way. The delay is strategic because it was for the purpose of gathering evidence while letting the writ sit unserved.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Arellano makes no reference anywhere in his affidavit to further renewing the writ, which was done on July 29, 2009. His affidavit shows that he had received a communication from litigation counsel for the Minwax defendants on June 26, 2008. The letter exchange with the Minwax regulatory department in 2008 had requested whether or not certain ingredients, including in particular toluene, an aromatic hydrocarbon was present in any of the Minwax products. On June 26, 2006, a letter states, "None of the items listed in your letter are ingredients in any of the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 had retained Cantest Ltd. to do an analysis of certain samples. A Cantest analysis performed May 27, 2009 confirms that toluene was present in the Minwax polyuthethane sample provided to Cantest.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Arellano's affidavit attaches evidence that on August 13, 2005, a clinical record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Patient exposed to toxic fumes at home - Aug. 9/2005 ... He developed confusion, eye irritation, nose burning &amp; severe headache/[illegible].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He attaches to his affidavit letters from the Northwest Center for Environmental Medicine, Inc. in Redmond, Washington, dated November 17, 2007, June 21, 2008 and July 16, 2008. These letters, written by David Buscher, M.D., are not in a form which would make them admissible as expert reports pursuant to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They state the following:</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this evaluation I have concluded that Mr. Arellano's medical condition is more likely than not a result of exposures to various toxic chemicals in his previous apartment. This includes petroleum based solvents, such as the hard wood finishes, sealant and polyurethane he was exposed to August 9, 2005. He also has evidence of exposure to organophosphate pesticides in this apartment.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clear evidence that the symptoms such as dermatitis, nosebleeds, headaches, fatigue and muscle aches that were common in the Arellano family can be directly attributed to the mold contamination in their former residence on Barker Avenue.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been treating the Arellano family for medical conditions caused by living in their previous residence on Barker Avenue. They have all experienced medical problems from exposures to environmental toxins at that residence. I have been making medical reports as needed concerning their conditions, which I have put in their charts kept in my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Mr. Arellano also attaches inspection reports performed by Cypress Property Inspections Ltd. (report dated April 22, 2007), Coast Mountain Home Inspection (inspection report dated May 22, 2007), and ACM Environmental Corporation (report dated August 20, 2007). None of these reports are in a form which complies with the requirements for admissibility of expert reports pursuant to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However, they do document the existence of mould, mildew, and possibly other unseen contaminants.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Arellano's affidavit documents significant financial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paragraph 43 of his affidavit, he deposes:</w:t>
      </w:r>
      <w:r>
        <w:rPr>
          <w:rFonts w:ascii="arial" w:eastAsia="arial" w:hAnsi="arial" w:cs="arial"/>
          <w:sz w:val="20"/>
          <w:lang w:val="en-US" w:eastAsia="en-US" w:bidi="ar-SA"/>
        </w:rPr>
        <w:cr/>
      </w:r>
    </w:p>
    <w:p>
      <w:pPr>
        <w:numPr>
          <w:numId w:val="2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Gilda and I have limited assets. We own no real estate. In 2011, in order to assist with family finances, we sold a small property in Peru for CAD $49,000. We own a 2003 Honda Odyssey. The car loan should finally be paid off by the end of 2013. We own no other significant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 deposes in paragraph 51 of his affidavit that after the defendants had been served with the writ and entered appearances, he entered into a retainer agreement with Mr. Hobkirk's firm, and then further deposes that due to his lack of financial resources and period of unemployment he has been unable to honour that agreement. He deposes in paragraph 53 as follows:</w:t>
      </w:r>
      <w:r>
        <w:rPr>
          <w:rFonts w:ascii="arial" w:eastAsia="arial" w:hAnsi="arial" w:cs="arial"/>
          <w:sz w:val="20"/>
          <w:lang w:val="en-US" w:eastAsia="en-US" w:bidi="ar-SA"/>
        </w:rPr>
        <w:cr/>
      </w:r>
    </w:p>
    <w:p>
      <w:pPr>
        <w:numPr>
          <w:numId w:val="2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very much regret that I have been unable to prosecute this claim in as timely a manner as I would like. It has always been my intention to prosecute this action through to a settlement or trial. However, I have simply lacked the requisite health, energy and emotional resources to do so in any consistent manner. In the fall of 2011, I was feeling very fearful and depressed about my condition. In particular, I was advised that I had experienced a significant decline in the bone density in my lumbar spine. Attached and marked as Exhibit "R" to my Affidavit is a copy of the Brooke Radiology Associates report dated October 24, 2011. I continued to lack the financial resources to properly retain counsel and fund disbursements to advance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 deposes in paragraphs 55 and 56 as follows:</w:t>
      </w:r>
      <w:r>
        <w:rPr>
          <w:rFonts w:ascii="arial" w:eastAsia="arial" w:hAnsi="arial" w:cs="arial"/>
          <w:sz w:val="20"/>
          <w:lang w:val="en-US" w:eastAsia="en-US" w:bidi="ar-SA"/>
        </w:rPr>
        <w:cr/>
      </w:r>
    </w:p>
    <w:p>
      <w:pPr>
        <w:numPr>
          <w:numId w:val="2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early May, 2011, I was informed by Mr. Hobkirk that he was preparing a Notice of Civil Claim. He completed and filed an Amended Notice of Civil Claim on May 9, 2011. Mr. Hobkirk told me again that he would prepare a Plaintiffs; List of Documents and, from that point on, I would represent myself. However, a List of Documents was not prepared. Mr. Hobkirk has remained on the record.</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Over time, I have provided documents to Mr. Hobkirk. In doing so, I anticipated that he would produce and deliver the Plaintiffs' List of Documents as required. Between May 9, 2011 and April, 2013, Mr. Hobkirk did not advise me that I ran the risk of having my claim dismissed for 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Based on the evidence contained in the affidavit of Dennis Arellano, I am satisfied of the following facts:</w:t>
      </w:r>
      <w:r>
        <w:rPr>
          <w:rFonts w:ascii="arial" w:eastAsia="arial" w:hAnsi="arial" w:cs="arial"/>
          <w:sz w:val="20"/>
          <w:lang w:val="en-US" w:eastAsia="en-US" w:bidi="ar-SA"/>
        </w:rPr>
        <w:cr/>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Olivares and Manrique, relied on Dennis Arellano to prosecute this case;</w:t>
      </w:r>
    </w:p>
    <w:p>
      <w:pPr>
        <w:numPr>
          <w:numId w:val="3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some evidence of health issues suffered by Olivares and Manrique, and a substantial amount of documentation relating to health issues which affect Arellano;</w:t>
      </w:r>
    </w:p>
    <w:p>
      <w:pPr>
        <w:numPr>
          <w:numId w:val="3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documents which raise issues with the air quality of the rental premises being occupied by the plaintiffs which might form the basis of admissible evidence which could be used by the plaintiffs to support their claims; and</w:t>
      </w:r>
    </w:p>
    <w:p>
      <w:pPr>
        <w:numPr>
          <w:numId w:val="3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health issues suffered by the plaintiff, Arellano, have affected, to some extent, his prosecution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There is no explanation offered as to why the writ was not served promptly, although there is some evidence that in July of 2008, Mr. Arellano felt unable to prosecute the action due to health and financial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affidavit of Mr. Hobkirk essentially confirms the history provided by the defendants in the affidavits provided by them in their notices of application. There is evidence in paragraph 24 of his affidavit that Mr. Hobkirk was informed by Mr. Arellano that delays from late October 2009 through to June 2010 were "... often attributable to the various symptoms that he was suffering from related to his exposure on August 9, 2005 and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legal help Mr. Hobkirk has provided to the plaintiffs by firstly taking on a retainer at a reduced hourly rate and then agreeing to represent the plaintiffs without up-front remuneration is commendable. My criticism of Mr. Hobkirk in assessing his evidence and lack of activity does not detract from the fact that he provided assistance to people who could not afford conventional retainer arrangements. This factor though does not affect my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paragraph 9, Mr. Hobkirk deposes:</w:t>
      </w:r>
      <w:r>
        <w:rPr>
          <w:rFonts w:ascii="arial" w:eastAsia="arial" w:hAnsi="arial" w:cs="arial"/>
          <w:sz w:val="20"/>
          <w:lang w:val="en-US" w:eastAsia="en-US" w:bidi="ar-SA"/>
        </w:rPr>
        <w:cr/>
      </w:r>
    </w:p>
    <w:p>
      <w:pPr>
        <w:numPr>
          <w:numId w:val="3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6, 2009, Dennis informed me that the Writ had again been renewed, however, the Writ would have to be served on the Defendants by July 30, 2009. We offered some advice and assistance with respect to effecting service. Subsequently, Dennis attended to service of the Writ on the Defendants in a timely manner. At the time, I understood from Dennis that his continuing health problems and the uncertainty related to his condition was causing him considerable physical and mental distress, such that he was unable to get on with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writ was renewed on July 30, 2008 for a period of twelve months and was renewed again on July 29, 2009. The initial renewal required service by July 30, 2009. The subsequent renewal required service by three months from July 29, 2009, which would be by October 29, 2009. If, by "timely manner," Mr. Hobkirk meant by July 30, 2009, that was not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paragraph 44 of his affidavit, Mr. Hobkirk deposes as follows:</w:t>
      </w:r>
      <w:r>
        <w:rPr>
          <w:rFonts w:ascii="arial" w:eastAsia="arial" w:hAnsi="arial" w:cs="arial"/>
          <w:sz w:val="20"/>
          <w:lang w:val="en-US" w:eastAsia="en-US" w:bidi="ar-SA"/>
        </w:rPr>
        <w:cr/>
      </w:r>
    </w:p>
    <w:p>
      <w:pPr>
        <w:numPr>
          <w:numId w:val="3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the latter part of July, 2013, when I reviewed my entire file, it became clear to me that, apart from my clients' inability to pay our legal fees and Dennis' health issues, a significant reason for any pre-May, 2011 delay (inordinate or not) was my failure to prepare and deliver a List of Documents or Notice of Civil Claim in a timely manner. The main reason for the post-May, 2011 (filing of Amended Notice of Civil Claim) delay (inordinate or not) was my failure to prepare and deliver a List of Documents in a timely manner. I understood, for the first time, that my clients had an argument that the delay, if inordinate, could be "excused" as it was caused by the failure of their counsel to prepare a Notice of Civil Claim and a List of Documents, as I said I would do. As I had remained on the record throughout this time, it was only natural that my clients would rely upon me to ensure that all necessary steps were taken so as not to jeopardize their action on the basis of want of prosecution. There was also the issue of whether the client had been advised by me of this danger. In the circumstances, I realized that, in order to afford my clients' full opportunity to defend the applications, I would need to swear an affidavit respecting my role in the delay. As such, it was inappropriate for me to have conduct of the hearing of 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paragraph 42, Mr. Hobkirk deposes:</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filing of the Amended Notice of Civil Claim, I lulled myself into believing that timelines were not that important to the Defendants. In so stating, I wish to make it clear that this was entirely my own perception and was not caused by any words (or conduct) of defence counsel. The only factors I would point to were the absence of repeated demands, which is often the case in these cases and/or specific court applications (such as for production of a list of documents). Suffice it to say, as of April, 2013, I was not anticipating an application to be brought for dismissal of the action for 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Fisher, on behalf of the Wongs, had politely requested receipt of a statement of claim on September 17, 2009. She requested plaintiffs' medical records in a letter dated November 9, 2009. Commencing with the letter dated August 19, 2009, counsel for the Minwax defendants sought discovery of documents and response to interrogatories on seven occasions (August 19, 2009, September 17, 2009, November 5, 2009, November 17, 2009, January 14, 2010, February 2, 2010, March 12, 2010, and March 31, 2010). They then made a demand for filing an amended notice of civil claim on August 4, 2010, threatening to proceed with an application to strike. That was reiterated on October 19, 2010. As noted, they brought an application filed March 15, 2011. The letters from defendants' counsel to Mr. Hobkirk were polite, but they constituted repeated demands and including making a court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Hobkirk should not have been lulled into believing that timelines were not that important and should have anticipated an application could be brought for dismissal, given that an application had already been brought once.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delay between the service of the applications and the delivery of response materials is attributable to Mr. Hobkirk as he stated in his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A starting point for dismissal for want of prosecution is the decision of Mr. Justice Goldie in </w:t>
      </w:r>
      <w:r>
        <w:rPr>
          <w:rFonts w:ascii="arial" w:eastAsia="arial" w:hAnsi="arial" w:cs="arial"/>
          <w:i/>
          <w:color w:val="000000"/>
          <w:sz w:val="20"/>
          <w:lang w:val="en-US" w:eastAsia="en-US" w:bidi="ar-SA"/>
        </w:rPr>
        <w:t>Busse v. Robinson Morelli Chertkow</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1999 BCCA 313</w:t>
        </w:r>
      </w:hyperlink>
      <w:r>
        <w:rPr>
          <w:rFonts w:ascii="arial" w:eastAsia="arial" w:hAnsi="arial" w:cs="arial"/>
          <w:color w:val="000000"/>
          <w:sz w:val="20"/>
          <w:lang w:val="en-US" w:eastAsia="en-US" w:bidi="ar-SA"/>
        </w:rPr>
        <w:t>, where he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In my view, it is open to this Court to adopt the principle that once a defendant has established the delay complained of has been inordinate and is inexcusable a rebuttable presumption of prejudice arises. To continue imposing the evidentiary burden of proving prejudice after establishing inordinate and inexcusable delay is contrary to the object expressed in sub-rule (5) of Rule 1 of the Rules of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Object of rules</w:t>
      </w:r>
    </w:p>
    <w:p>
      <w:pPr>
        <w:numPr>
          <w:numId w:val="36"/>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object of these rules is to secure the just, speedy and inexpensive determination of every proceeding on its merits.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Of this rule His Honour Judge Gow (as he then was, sitting as a local judge of the Supreme Court) said in Lindholm v. Pollen </w:t>
      </w:r>
      <w:hyperlink r:id="rId282" w:history="1">
        <w:r>
          <w:rPr>
            <w:rFonts w:ascii="arial" w:eastAsia="arial" w:hAnsi="arial" w:cs="arial"/>
            <w:i/>
            <w:color w:val="0077CC"/>
            <w:sz w:val="20"/>
            <w:u w:val="single"/>
            <w:shd w:val="clear" w:color="auto" w:fill="FFFFFF"/>
            <w:lang w:val="en-US" w:eastAsia="en-US" w:bidi="ar-SA"/>
          </w:rPr>
          <w:t>(1986), 3 B.C.L.R. (2d) 23</w:t>
        </w:r>
      </w:hyperlink>
      <w:r>
        <w:rPr>
          <w:rFonts w:ascii="arial" w:eastAsia="arial" w:hAnsi="arial" w:cs="arial"/>
          <w:color w:val="000000"/>
          <w:sz w:val="20"/>
          <w:lang w:val="en-US" w:eastAsia="en-US" w:bidi="ar-SA"/>
        </w:rPr>
        <w:t xml:space="preserve"> (B.C.S.C.) at 27: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animating principle lying back of any system of administration of justice is that litigation be proceeded with diligence and expedition. This principle is expressed in R. 1(5) that the object of the Rules of Court is to secure the just, speedy and inexpensive determination of every proceeding on its merits and echoed in s. 11 of the Charter of Rights and Freedoms, which speaks of the right to be tried within a reasonable time. A just determination can only be attained if an action is tried while the facts are still within the recollection of the witnesses.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finding the delay in question both inordinate and inexcusable he applied the presumption I have referred to and dismissed the action, the plaintiffs having failed to rebut that presumption.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When the correct test is applied the concerns expressed by Mr. Justice Lambert are subsumed in the question the chambers judge must answer at the end of the day: has the plaintiff established on a balance of probabilities that the defendant has not suffered prejudice or that other circumstances would make it unjust to terminate the action? If the answer to this question is "no", judgment must go in favour of the defendant. If the answer is "yes", the application must be dismissed. In some circumstances it may be appropriate to make this order without prejudice to the right of the defendant to make another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Lindholm v. Pollen</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(1996), 3 B.C.L.R. (2d) 23</w:t>
        </w:r>
      </w:hyperlink>
      <w:r>
        <w:rPr>
          <w:rFonts w:ascii="arial" w:eastAsia="arial" w:hAnsi="arial" w:cs="arial"/>
          <w:color w:val="000000"/>
          <w:sz w:val="20"/>
          <w:lang w:val="en-US" w:eastAsia="en-US" w:bidi="ar-SA"/>
        </w:rPr>
        <w:t>, Judge Gow, sitting as a local judge of the Supreme Court, summarizes relevant law and some considerations at paras. 10-12 and 16 of his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As was said by Seaton J.A. in Irving v. Irving </w:t>
      </w:r>
      <w:hyperlink r:id="rId283" w:history="1">
        <w:r>
          <w:rPr>
            <w:rFonts w:ascii="arial" w:eastAsia="arial" w:hAnsi="arial" w:cs="arial"/>
            <w:i/>
            <w:color w:val="0077CC"/>
            <w:sz w:val="20"/>
            <w:u w:val="single"/>
            <w:shd w:val="clear" w:color="auto" w:fill="FFFFFF"/>
            <w:lang w:val="en-US" w:eastAsia="en-US" w:bidi="ar-SA"/>
          </w:rPr>
          <w:t>(1982), 38 B.C.L.R. 318</w:t>
        </w:r>
      </w:hyperlink>
      <w:r>
        <w:rPr>
          <w:rFonts w:ascii="arial" w:eastAsia="arial" w:hAnsi="arial" w:cs="arial"/>
          <w:color w:val="000000"/>
          <w:sz w:val="20"/>
          <w:lang w:val="en-US" w:eastAsia="en-US" w:bidi="ar-SA"/>
        </w:rPr>
        <w:t xml:space="preserve"> at 321: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Discovering the principles to be applied in a case such as this is not difficult; applying the principles to the facts of the case is often very difficult.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principles applicable are:</w:t>
      </w:r>
    </w:p>
    <w:p>
      <w:pPr>
        <w:numPr>
          <w:numId w:val="3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there been an inordinate delay? - if so,</w:t>
      </w:r>
    </w:p>
    <w:p>
      <w:pPr>
        <w:numPr>
          <w:numId w:val="3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this inordinate delay inexcusable? - if so,</w:t>
      </w:r>
    </w:p>
    <w:p>
      <w:pPr>
        <w:numPr>
          <w:numId w:val="3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delay caused serious prejudice or is likely to cause serious prejudice to the applicant?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In Irving, supra, Seaton J.A. also said at p. 328: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demonstration of inordinate delay, in excusable delay and serious prejudice does not lead necessarily to dismissal. Those three factors are only the primary considerations; all of the circumstances must be considered. It is still for the courts to decide "whether or not on balance justice demands that the action should be dismissed": Salmon L.J. in Allen v. Sir Alfred McAlpine &amp; Sons Ltd., supra. All of the statements of law are subject to the overriding principle that essential justice must be done. (See Freedman J.A. (as he then was) in Ross v. Crown Fuel Co. (1962), 41 W.W.R. 65 at 88.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In the last mentioned case, Freedman J.A., although he was considering a slightly different rule, at p. 87,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explanation which is offered by the plaintiff may or may not be satisfactory to the court. If it is unsatisfactory the defendant would normally be entitled to his order of dismissal. Perhaps this statement ought to be qualified by pointing out that the court still has a discretion to make whatever order it thinks best. The court would accordingly have power to refuse the defendant's application and allow the plaintiff's action to proceed to trial, despite unreasonable delay, if it appeared manifest that injustice would result from a dismissal without trial. I should think that cases falling into this latter category, where the special indulgence of the court has to be extended, are the exception rather than the rule.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The animating principle lying back of any system of administration of justice is that litigation be proceeded with diligence and expedition. This principle is expressed in R. 1(5) that the object of the Rules of Court is to secure the just, speedy and inexpensive determination of every proceeding on its merits and echoed in s. 11 of the Charter of Rights and Freedoms, which speaks of the right to be tried within a reasonable time. A just determination can only be attained if an action is tried while the facts are still within the recollection of the witnesses. As was said in Russell v. Glassman (1959), 66 Man. R. 464 at 472: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court is entitled to have the best evidence obtainable. Even in the simplest of cases there is often great difficulty in ascertaining the relevant facts where the testimony is recent in the memory of the witnesses, a difficulty manifestly greatly increased when witnesses are asked to remember events or circumstances which occurred four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seminal case of </w:t>
      </w:r>
      <w:r>
        <w:rPr>
          <w:rFonts w:ascii="arial" w:eastAsia="arial" w:hAnsi="arial" w:cs="arial"/>
          <w:i/>
          <w:color w:val="000000"/>
          <w:sz w:val="20"/>
          <w:lang w:val="en-US" w:eastAsia="en-US" w:bidi="ar-SA"/>
        </w:rPr>
        <w:t>Irving v. Irving</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(1982), 38 B.C.L.R. 318</w:t>
        </w:r>
      </w:hyperlink>
      <w:r>
        <w:rPr>
          <w:rFonts w:ascii="arial" w:eastAsia="arial" w:hAnsi="arial" w:cs="arial"/>
          <w:color w:val="000000"/>
          <w:sz w:val="20"/>
          <w:lang w:val="en-US" w:eastAsia="en-US" w:bidi="ar-SA"/>
        </w:rPr>
        <w:t>, relied on by both counsel for the plaintiffs and counsel for the defendants, a decision of the British Columbia Court of Appeal written by Mr. Justice Seaton with concurring reasons by Carrothers J.A. and Lambert J.A. contains the following guidance: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Discovering the principles to be applied in a case such as this is not difficult; applying the principles to the facts of the case is often very difficult. Allen v. Sir Alfred McAlpine &amp; Sons Ltd. [1968] 2 Q.B. 229 is frequently referred to. Each of the three cases before the court there bears two characteristics not found here: first, the plaintiffs had good cases from the beginning, and second, the plaintiffs did not authorize the delay as a tactic, but rather it was the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others. Notwithstanding those differences, I think the decision is useful to us. It directs the approach that ought to be taken. Lord Denning M.R. said this: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principle upon which we go is clear: when the delay is prolonged and inexcusable, and is such as to do grave injustice to one side or the other or to both, the court may in its discretion dismiss the action straightaway, leaving the plaintiff to his remedy against his own solicitor who has brought him to this plight.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Diplock L.J., coming to the same conclusion, made these general observations: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where the case is one in which at the trial disputed facts will have to be ascertained from oral testimony of witnesses recounting what they then recall of events which happened in the past, memories grow dim, witnesses may die or disappear. The chances of the court's being able to find out what really happened are progressively reduced as time goes on. This puts justice to the hazard. If the trial is allowed to proceed, this is more likely to operate to the prejudice of the plaintiff on whom the onus of satisfying the court as to what happened generally lies. But there may come a time when the interval between the events alleged to constitute the cause of action and the trial of the action is so prolonged that there is a substantial risk that a fair trial of the issues will be no longer possible. When this stage has been reached, the public interest in the administration of justice demands that the action should not be allowed to proceed.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thus inherent in an adversary system which relies exclusively upon the parties to an action to take whatever procedural steps appear to them to be expedient to advance their own case, that the defendant, instead of spurring the plaintiff to proceed to trial, can with propriety wait until he can successfully apply to the court to dismiss the plaintiff's action for want of prosecution on the ground that so long a time has elapsed since the events alleged to constitute the cause of action that there is a substantial risk that a fair trial of the issues will not be possible.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then a Draconian order and will not be lightly made. It should not in any event be exercised without giving the plaintiff an opportunity to remedy his default, unless the court is satisfied either that the default has been intentional and contumelious, or that the inexcusable delay for which the plaintiff or his lawyers have been responsible has been such as to give rise to a substantial risk that a fair trial of the issues in the litigation will not be possible at the earliest date at which, as a result of the delay, the action would come to trial if it were allowed to continue.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for the defendant to satisfy the court that one or other of these two conditions is fulfilled. Disobedience to a peremptory order of the court would be sufficient to satisfy the first condition. Whether the second alternative condition is satisfied will depend upon the circumstances of the particular case; but the length of the delay may of itself suffice to satisfy this condition if the relevant issues would depend upon the recollection of witnesses of events which happened long ago.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Salmon L.J. said this: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defendant may apply to have an action dismissed for want of prosecution either (a) because of the plaintiff's failure to comply with the Rules of the Supreme Court or (b) under the court's inherent jurisdiction. In my view it matters not whether the application comes under limb (a) or (b), the same principles apply. They are as follows: - In order for such an application to succeed, the defendant must show:</w:t>
      </w:r>
    </w:p>
    <w:p>
      <w:pPr>
        <w:numPr>
          <w:numId w:val="3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has been inordinate delay. It would be highly undesirable and indeed impossible to attempt to lay down a tariff - so many years or more on one side of the line and a lesser period on the other. What is or is not inordinate delay must depend upon the facts of each particular case. These vary infinitely from case to case, but inordinate delay should not be too difficult to recognize when it occurs.</w:t>
      </w:r>
    </w:p>
    <w:p>
      <w:pPr>
        <w:numPr>
          <w:numId w:val="3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this inordinate delay is inexcusable. As a rule, until a credible excuse is made out, the natural inference would be that it is inexcusable.</w:t>
      </w:r>
    </w:p>
    <w:p>
      <w:pPr>
        <w:numPr>
          <w:numId w:val="3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defendants are likely to be seriously prejudiced by the delay. This may be prejudice at the trial of the issue between themselves and the plaintiff, or between each other, or between themselves and the third parties. In addition to any inference that may properly be drawn from the delay itself, prejudice can sometimes be directly proved. As a rule, the longer the delay, the greater the likelihood of serious prejudice at the trial.</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If the defendant establishes the three factors to which I have referred, the court, in exercising its discretion, must take into consideration the position of the plaintiff himself and strike a balance. If he is personally to blame for the delay, no difficulty arises. There can be no injustice in his bearing the consequences of his own fault.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 the end, the court must decide whether or not on balance justice demands that the action should be dismissed.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[11] The Chambers judge found, and in my view he had no alternative, that the delay was inordinate. He then turned to the question whether the delay was inexcusable and concluded: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While I have concern in this area in respect to a litigant waiting for the law to advance, or to develop or to be clarified, in order to enhance the advancement of a claim against a defendant, I am unable to say that such a type of delay was inexcusable. In my view there was a reason ascribed to the delay and even though that reason does not appear to be a particularly commendable reason, nevertheless, I cannot conclude that it should be characterized as inexcusable.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 is not the approach to excusability found in most of the cases. The reason, that the action would probably fail, seems to be a wise reason not to proceed. When tied to a hope that the law will change, it might justify a tactical decision to delay the trial. But the question here is not whether the reason is good or bad, or wise or unwise; it is whether the delay was excusable or inexcusable. A delay as a means of gaining tactical advantage is not to be compared to a delay forced on the plaintiff by negligent solicitors, impecuniosity, or illness. This delay was intentional, calculated to help the plaintiff and therefore hurt the defendants. None of the questions that arise on an application such as this can be considered in isolation. That which would make a short delay excusable might not be sufficient to make a long delay excusable. Some delays may be so long and the prejudice to the defendant so great that no reason would excuse the delay. The question is whether this delay is excusable in the light of the reason for it and the other circumstances.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[22] The demonstration of inordinate delay, inexcusable delay and serious prejudice does not lead necessarily to dismissal. Those three factors are only the primary considerations; all of the circumstances must be considered. It is still for the courts to decide "whether or not on balance justice demands that the action should be dismissed". Salmon L.J. in Allen v. Sir Alfred McAlpine &amp; Sons Ltd. (above). All of the statements of law are subject to the overriding principle that essential justice must be done. (See Freedman J.A., as he then was, in Ross and Ross v. Crown Fuel Co. Ltd. et al (1962) 41 W.W.R. 65 at 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Aliperti v. Dhalla</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2009 BCSC 1774</w:t>
        </w:r>
      </w:hyperlink>
      <w:r>
        <w:rPr>
          <w:rFonts w:ascii="arial" w:eastAsia="arial" w:hAnsi="arial" w:cs="arial"/>
          <w:color w:val="000000"/>
          <w:sz w:val="20"/>
          <w:lang w:val="en-US" w:eastAsia="en-US" w:bidi="ar-SA"/>
        </w:rPr>
        <w:t>, Mr. Justice Walker, in giving oral reasons for judgment, sets out in paras. 9-12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A narrow view of delay is not the approach to take. In other words, the court does not restrict its assessment by looking at delay since the plaintiff took her last step. The question must be whether there has been an overall delay on the part of the plaintiff since the cause of action arose: </w:t>
      </w:r>
      <w:r>
        <w:rPr>
          <w:rFonts w:ascii="arial" w:eastAsia="arial" w:hAnsi="arial" w:cs="arial"/>
          <w:i/>
          <w:color w:val="000000"/>
          <w:sz w:val="20"/>
          <w:lang w:val="en-US" w:eastAsia="en-US" w:bidi="ar-SA"/>
        </w:rPr>
        <w:t>McCandless v. Linemayer</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[1991] B.C.J. No. 841</w:t>
        </w:r>
      </w:hyperlink>
      <w:r>
        <w:rPr>
          <w:rFonts w:ascii="arial" w:eastAsia="arial" w:hAnsi="arial" w:cs="arial"/>
          <w:color w:val="000000"/>
          <w:sz w:val="20"/>
          <w:lang w:val="en-US" w:eastAsia="en-US" w:bidi="ar-SA"/>
        </w:rPr>
        <w:t xml:space="preserve"> (QL) (S.C.) and </w:t>
      </w:r>
      <w:r>
        <w:rPr>
          <w:rFonts w:ascii="arial" w:eastAsia="arial" w:hAnsi="arial" w:cs="arial"/>
          <w:i/>
          <w:color w:val="000000"/>
          <w:sz w:val="20"/>
          <w:lang w:val="en-US" w:eastAsia="en-US" w:bidi="ar-SA"/>
        </w:rPr>
        <w:t>Earthwerks Marine Ltd. v. Collingwood School Society</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2009 BCSC 807</w:t>
        </w:r>
      </w:hyperlink>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[2009] B.C.J. No. 1209</w:t>
        </w:r>
      </w:hyperlink>
      <w:r>
        <w:rPr>
          <w:rFonts w:ascii="arial" w:eastAsia="arial" w:hAnsi="arial" w:cs="arial"/>
          <w:color w:val="000000"/>
          <w:sz w:val="20"/>
          <w:lang w:val="en-US" w:eastAsia="en-US" w:bidi="ar-SA"/>
        </w:rPr>
        <w:t xml:space="preserve"> (QL), at para. 27.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In </w:t>
      </w:r>
      <w:r>
        <w:rPr>
          <w:rFonts w:ascii="arial" w:eastAsia="arial" w:hAnsi="arial" w:cs="arial"/>
          <w:i/>
          <w:color w:val="000000"/>
          <w:sz w:val="20"/>
          <w:lang w:val="en-US" w:eastAsia="en-US" w:bidi="ar-SA"/>
        </w:rPr>
        <w:t>Rhyolite Resources Inc. v. CanQuest Resources Corp</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[1997] B.C.J. No. 2608</w:t>
        </w:r>
      </w:hyperlink>
      <w:r>
        <w:rPr>
          <w:rFonts w:ascii="arial" w:eastAsia="arial" w:hAnsi="arial" w:cs="arial"/>
          <w:color w:val="000000"/>
          <w:sz w:val="20"/>
          <w:lang w:val="en-US" w:eastAsia="en-US" w:bidi="ar-SA"/>
        </w:rPr>
        <w:t xml:space="preserve"> (QL) (S.C.), aff'd </w:t>
      </w:r>
      <w:hyperlink r:id="rId288" w:history="1">
        <w:r>
          <w:rPr>
            <w:rFonts w:ascii="arial" w:eastAsia="arial" w:hAnsi="arial" w:cs="arial"/>
            <w:i/>
            <w:color w:val="0077CC"/>
            <w:sz w:val="20"/>
            <w:u w:val="single"/>
            <w:shd w:val="clear" w:color="auto" w:fill="FFFFFF"/>
            <w:lang w:val="en-US" w:eastAsia="en-US" w:bidi="ar-SA"/>
          </w:rPr>
          <w:t>1999 BCCA 36</w:t>
        </w:r>
      </w:hyperlink>
      <w:r>
        <w:rPr>
          <w:rFonts w:ascii="arial" w:eastAsia="arial" w:hAnsi="arial" w:cs="arial"/>
          <w:color w:val="000000"/>
          <w:sz w:val="20"/>
          <w:lang w:val="en-US" w:eastAsia="en-US" w:bidi="ar-SA"/>
        </w:rPr>
        <w:t>, Mr. Justice Hood commenced his analysis by reiterating what he characterized as "two fundamental and overlapping principles". At para. 25, he wrote: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commence by reiterating two fundamental and overlapping principles. They are (1) that actions should be brought to trial with reasonable diligence and expedition in the interests of justice; and, (2) that the longer the delay, especially where the resolution of disputed facts and issues will depend on the recollection of witnesses as to what was said and done, the less likely that a fair trial of the issue is possible, and therefore justice will be done.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then concluded, at para. 38: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onus was on the plaintiff to bring on its case with reasonable dispatch. It did not do so, and no credible reason for its conduct was given. I may assume that the reason was that the case was understood to be weak or without merit. In any event, the responsibility for failing to bring the case forward must lie with the plaintiff. Further, while perhaps not relevant on the issue of prejudice, the plaintiff's claims against the defendants sounding in fraud are, as described by Diplock L.J., in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 "of a character which common fairness required should not be kept hanging over their heads a moment longer than was necessary". On striking the balance between the parties, if essential justice is to be done, it is not difficult to come down in favour of the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Examples of inexcusable and inordinate delay are found in the case law:</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tactical decisions by a plaintiff to wait in order to seek an advantage;</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delay caused by counsel overburdened with work; and</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periods of time ranging from three years to thirteen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McCandless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Stryk v. Curtain</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2001 BCSC 137</w:t>
        </w:r>
      </w:hyperlink>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[2001] B.C.J. No. 128</w:t>
        </w:r>
      </w:hyperlink>
      <w:r>
        <w:rPr>
          <w:rFonts w:ascii="arial" w:eastAsia="arial" w:hAnsi="arial" w:cs="arial"/>
          <w:color w:val="000000"/>
          <w:sz w:val="20"/>
          <w:lang w:val="en-US" w:eastAsia="en-US" w:bidi="ar-SA"/>
        </w:rPr>
        <w:t xml:space="preserve"> (QL); </w:t>
      </w:r>
      <w:r>
        <w:rPr>
          <w:rFonts w:ascii="arial" w:eastAsia="arial" w:hAnsi="arial" w:cs="arial"/>
          <w:i/>
          <w:color w:val="000000"/>
          <w:sz w:val="20"/>
          <w:lang w:val="en-US" w:eastAsia="en-US" w:bidi="ar-SA"/>
        </w:rPr>
        <w:t>Rhyolite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Hi-To Fisheries Ltd. v. Pacific Forex Ltd.</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2003 BCSC 1996</w:t>
        </w:r>
      </w:hyperlink>
      <w:r>
        <w:rPr>
          <w:rFonts w:ascii="arial" w:eastAsia="arial" w:hAnsi="arial" w:cs="arial"/>
          <w:color w:val="000000"/>
          <w:sz w:val="20"/>
          <w:lang w:val="en-US" w:eastAsia="en-US" w:bidi="ar-SA"/>
        </w:rPr>
        <w:t xml:space="preserve">, aff'd </w:t>
      </w:r>
      <w:hyperlink r:id="rId291" w:history="1">
        <w:r>
          <w:rPr>
            <w:rFonts w:ascii="arial" w:eastAsia="arial" w:hAnsi="arial" w:cs="arial"/>
            <w:i/>
            <w:color w:val="0077CC"/>
            <w:sz w:val="20"/>
            <w:u w:val="single"/>
            <w:shd w:val="clear" w:color="auto" w:fill="FFFFFF"/>
            <w:lang w:val="en-US" w:eastAsia="en-US" w:bidi="ar-SA"/>
          </w:rPr>
          <w:t>2004 BCCA 545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Robert McAlpine Ltd. v. Martell</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(1978), 86 D.L.R. (3d) 481</w:t>
        </w:r>
      </w:hyperlink>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25 N.S.R. (2d) 540</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There is no rigid rule as to a timeline. In each case, it is a question of fact. In </w:t>
      </w:r>
      <w:r>
        <w:rPr>
          <w:rFonts w:ascii="arial" w:eastAsia="arial" w:hAnsi="arial" w:cs="arial"/>
          <w:i/>
          <w:color w:val="000000"/>
          <w:sz w:val="20"/>
          <w:lang w:val="en-US" w:eastAsia="en-US" w:bidi="ar-SA"/>
        </w:rPr>
        <w:t>Rhyolite</w:t>
      </w:r>
      <w:r>
        <w:rPr>
          <w:rFonts w:ascii="arial" w:eastAsia="arial" w:hAnsi="arial" w:cs="arial"/>
          <w:color w:val="000000"/>
          <w:sz w:val="20"/>
          <w:lang w:val="en-US" w:eastAsia="en-US" w:bidi="ar-SA"/>
        </w:rPr>
        <w:t xml:space="preserve">, Mr. Justice Hood remarked upon the length of the delay and the likelihood of serious prejudice at trial. At paras. 33 and 34, he quoted the remarks of Lord Salmon in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 xml:space="preserve"> (which are set out in para. 8 of my reasons for judgment).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Then, Mr. Justice Hood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[34] I do not read the cases as holding that a defendant must always establish absolutely that he has been prejudiced by the delay; although in a given case this may be necessary, for example, where the delay is for a relatively short period. But often he could not do this unless and until a full trial has been held, and the witnesses, whose reflections are said to be affected, have testified. In some cases it will be simply a matter of inference, from the evidence adduced. A lengthy period of delay alone, in most cases, will give rise to the inference as a matter of common sense. It likely will be impossible to have a fair trial after such a delay. The fairness of the trial, which is fundamental to the administration of justice, and our very judicial system, is to be preserved.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Mr. Justice Walker's comments with respect to overall delay since the cause of action arose must be considered in light of the decision of our Court of Appeal in </w:t>
      </w:r>
      <w:r>
        <w:rPr>
          <w:rFonts w:ascii="arial" w:eastAsia="arial" w:hAnsi="arial" w:cs="arial"/>
          <w:i/>
          <w:color w:val="000000"/>
          <w:sz w:val="20"/>
          <w:lang w:val="en-US" w:eastAsia="en-US" w:bidi="ar-SA"/>
        </w:rPr>
        <w:t>McIntosh v. Nilsson Bros. Inc.</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2005 BCCA 297</w:t>
        </w:r>
      </w:hyperlink>
      <w:r>
        <w:rPr>
          <w:rFonts w:ascii="arial" w:eastAsia="arial" w:hAnsi="arial" w:cs="arial"/>
          <w:color w:val="000000"/>
          <w:sz w:val="20"/>
          <w:lang w:val="en-US" w:eastAsia="en-US" w:bidi="ar-SA"/>
        </w:rPr>
        <w:t>, where at paras. 7-8, Lambert J.A., in giving reasons of the Court of Appeal, a decision relating to an application by the plaintiffs to add a defendant (not a dismissal for want of prosecution application) writes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It does not seem that the decision of Mr. Justice Bruce Macdonald in Kean v. Blue Boy Motor Hotel Ltd., </w:t>
      </w:r>
      <w:hyperlink r:id="rId294" w:history="1">
        <w:r>
          <w:rPr>
            <w:rFonts w:ascii="arial" w:eastAsia="arial" w:hAnsi="arial" w:cs="arial"/>
            <w:i/>
            <w:color w:val="0077CC"/>
            <w:sz w:val="20"/>
            <w:u w:val="single"/>
            <w:shd w:val="clear" w:color="auto" w:fill="FFFFFF"/>
            <w:lang w:val="en-US" w:eastAsia="en-US" w:bidi="ar-SA"/>
          </w:rPr>
          <w:t>[1988] B.C.J. No. 1653</w:t>
        </w:r>
      </w:hyperlink>
      <w:r>
        <w:rPr>
          <w:rFonts w:ascii="arial" w:eastAsia="arial" w:hAnsi="arial" w:cs="arial"/>
          <w:color w:val="000000"/>
          <w:sz w:val="20"/>
          <w:lang w:val="en-US" w:eastAsia="en-US" w:bidi="ar-SA"/>
        </w:rPr>
        <w:t xml:space="preserve"> was referred to the chambers judge in this appeal or to the chambers judge who set aside the ex parte joinder of Bavaria. The first important point made by Mr. Justice Macdonald in the Blue Boy case was that when Rule 15(5)(a)(iii) was added to the Rules in 1980 it widened the basis for adding a party after the expiry of a limitation period. In this passage, at page two, Mr. Justice Macdonald quotes Mr. Justice McKenzie in Honeywell v. Latimer, thus: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Rule 15(5)(a)(iii) clearly extended the scope of the original subrule (ii) when it was added in 1980. In Honeywell v. Latimer et al </w:t>
      </w:r>
      <w:hyperlink r:id="rId295" w:history="1">
        <w:r>
          <w:rPr>
            <w:rFonts w:ascii="arial" w:eastAsia="arial" w:hAnsi="arial" w:cs="arial"/>
            <w:i/>
            <w:color w:val="0077CC"/>
            <w:sz w:val="20"/>
            <w:u w:val="single"/>
            <w:shd w:val="clear" w:color="auto" w:fill="FFFFFF"/>
            <w:lang w:val="en-US" w:eastAsia="en-US" w:bidi="ar-SA"/>
          </w:rPr>
          <w:t>[1982] 1 W.W.R. 606</w:t>
        </w:r>
      </w:hyperlink>
      <w:r>
        <w:rPr>
          <w:rFonts w:ascii="arial" w:eastAsia="arial" w:hAnsi="arial" w:cs="arial"/>
          <w:color w:val="000000"/>
          <w:sz w:val="20"/>
          <w:lang w:val="en-US" w:eastAsia="en-US" w:bidi="ar-SA"/>
        </w:rPr>
        <w:t xml:space="preserve"> (B.C.S.C.) at p. 614, McKenzie J. stated: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"It seems clear that limitation defences must now be defeated whenever a claim against a person who would otherwise have had protection of the statute involves questions or issues connected with the relief sought in, or the subject matter of, an existing action brought within the limitation period against others, provided that joinder would be just and convenient. The only questions for the court are whether there is such a connection and whether joinder would in the circumstances, be just and convenient between the proposed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second and perhaps more crucial point made by Mr. Justice Macdonald is contained in these two paragraphs at page three: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argued that, because of the delay of more than two years in bringing this claim to his notice, Dr. Moskovitch has been unable, despite diligent efforts, to reconstruct what occurred on the occasion in question and thus determine what his defences are. The defendant employee no longer works for the hotel, although he is available for consultation, but neither he nor any of the other hotel employees who were on duty around that date can recollect the incident involving the plaintiff with any clarity. Dr. Moskovitch thus argues that it would not be "just" that he be now added as a defendant. He alleges that the prejudice to him arises from an unexplained delay of some twenty months on the part of the plaintiff in consulting a lawyer.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argument must be rejected. </w:t>
      </w:r>
      <w:r>
        <w:rPr>
          <w:rFonts w:ascii="arial" w:eastAsia="arial" w:hAnsi="arial" w:cs="arial"/>
          <w:color w:val="000000"/>
          <w:sz w:val="20"/>
          <w:u w:val="single"/>
          <w:lang w:val="en-US" w:eastAsia="en-US" w:bidi="ar-SA"/>
        </w:rPr>
        <w:t>The plaintiff had two years within which to commence his action and another year in which to serve the writ.</w:t>
      </w:r>
      <w:r>
        <w:rPr>
          <w:rFonts w:ascii="arial" w:eastAsia="arial" w:hAnsi="arial" w:cs="arial"/>
          <w:color w:val="000000"/>
          <w:sz w:val="20"/>
          <w:lang w:val="en-US" w:eastAsia="en-US" w:bidi="ar-SA"/>
        </w:rPr>
        <w:t xml:space="preserve"> His claim came to the attention of Dr. Moskovitch, albeit in his capacity as a director of Blue Boy Motor Hotel Ltd., some eleven months before the expiry of that three-year period. Had he been joined at the outset, and received no notice until almost three years after the date of the alleged assault, Dr. Moskovitch could not have been heard to complain. </w:t>
      </w:r>
      <w:r>
        <w:rPr>
          <w:rFonts w:ascii="arial" w:eastAsia="arial" w:hAnsi="arial" w:cs="arial"/>
          <w:color w:val="000000"/>
          <w:sz w:val="20"/>
          <w:u w:val="single"/>
          <w:lang w:val="en-US" w:eastAsia="en-US" w:bidi="ar-SA"/>
        </w:rPr>
        <w:t>I do not consider a delay within the period available to the plaintiff in a normal situation to require any explanation on his part.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In my opinion, that analysis is correct. The prejudice that must be presumed should surely be restricted to situations where the period which has passed since the cause of action arose is the length of the limitation period plus one year for service of the Writ. Because, within that time, a Writ could have been filed within the limitation period and served after the limitation period expired for up to a year, without any prejudice to the defendant. And the same is true, as pointed out by Mr. Justice Macdonald, with respect to actual prejudice by destruction of evidence or failure of recollection. If these occur within the limitation period plus the year allowed for service of the Writ, then any prejudice to the defendant sought to be added is not caused by the plaintiff. The defendant should not have conducted himself, herself, or itself in such a way as to pass the detriment caused by the passage of time on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was referred by counsel for the plaintiffs to a series of Court of Appeal decisions which I will refer to in the chronological order in which they were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Canadian Imperial Bank of Commerce v. Kungle</w:t>
      </w:r>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(1991), 62 B.C.L.R. (2d) 154</w:t>
        </w:r>
      </w:hyperlink>
      <w:r>
        <w:rPr>
          <w:rFonts w:ascii="arial" w:eastAsia="arial" w:hAnsi="arial" w:cs="arial"/>
          <w:color w:val="000000"/>
          <w:sz w:val="20"/>
          <w:lang w:val="en-US" w:eastAsia="en-US" w:bidi="ar-SA"/>
        </w:rPr>
        <w:t>, Lambert J.A. for the court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 determination should be made that is required to see that justice is done; in the course of seeing that justice is done consideration should be given to the interests of justice as they affect the plaintiff, and the interests of justice as they affect the defendant, including the prejudice that each will suffer if the order goes against them; and then a balancing must be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Rhyolite Resources Inc. v. CanQuest Resource Corp.</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1999 BCCA 36</w:t>
        </w:r>
      </w:hyperlink>
      <w:r>
        <w:rPr>
          <w:rFonts w:ascii="arial" w:eastAsia="arial" w:hAnsi="arial" w:cs="arial"/>
          <w:color w:val="000000"/>
          <w:sz w:val="20"/>
          <w:lang w:val="en-US" w:eastAsia="en-US" w:bidi="ar-SA"/>
        </w:rPr>
        <w:t>, Mr. Justice Hall writes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In the last mentioned case, Freedman J.A., although he was considering a slightly different rule, at p. 87,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explanation which is offered by the plaintiff may or may not be satisfactory to the court. If it is unsatisfactory the defendant would normally be entitled to his order of dismissal. Perhaps this statement ought to be qualified by pointing out that the court still has a discretion to make whatever order it thinks best. The court would accordingly have power to refuse the defendant's application and allow the plaintiff's action to proceed to trial, despite unreasonable delay, if it appeared manifest that injustice would result from a dismissal without trial. I should think that cases falling into this latter category, where the special indulgence of the court has to be extended, are the exception rather than the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Tundra Helicopters Ltd. v. Allison Gas Turbine, a Division of General Motors Corp.</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2002 BCCA 145</w:t>
        </w:r>
      </w:hyperlink>
      <w:r>
        <w:rPr>
          <w:rFonts w:ascii="arial" w:eastAsia="arial" w:hAnsi="arial" w:cs="arial"/>
          <w:color w:val="000000"/>
          <w:sz w:val="20"/>
          <w:lang w:val="en-US" w:eastAsia="en-US" w:bidi="ar-SA"/>
        </w:rPr>
        <w:t>, Mr. Justice Esson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I also regard it as error in principle to dispose of the issue of prejudice by asking whether the plaintiffs had rebutted 'the presumption of prejudice that arises in the circumstances' and by going on to answer that question in the negative. The "presumption of prejudice" is not a presumption of law. It can be termed a presumption of fact but only in the sense, as it is put in Sopinka and Lederman "The Law of Evidence in Civil Cases", 1974 at p. 378: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term "presumption of fact" is used in many instances in which it is desired merely to shift the secondary burden to a particular party. When used in this sense, it means that the facts are such that a certain inference should, but need not, be logically drawn.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It is in that sense that the word "presumption" is employed in Busse v. Robinson Morelli Chertkow, supra. In considering whether the presumption of prejudice has any application in a particular case, the question properly to be asked, as stated by Goldie J.A. in para. 27 of Busse, 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has the plaintiff established on a balance of probabilities that the defendant has not suffered prejudice or that other circumstances would make it unjust to terminate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considering that question it may be misleading to approach it by asking whether the plaintiff offered evidence on the point. In most cases, it will only be the defendant who is in a position to offer evidence as to the existence of specific prejudice - as two of the defendants attempted to do in this case. The plaintiff often will be able only to point to the overall circumstances, including the absence of any evidence from the defendant of specific prejudice, as establishing on the balance of probabilities that serious prejudice has not been suffered.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In this case, much of the evidence which tends to prove absence of prejudice was put in the record by those defendants who sought to establish that the case against them is a weak one. It matters not who puts forward the evidence. The question remains whether, on a balance of probabilities, absence of prejudice has been established. In considering that, it must be borne in mind that in all contested law suits there is likely to be sufficient passage of time that memories erode to some extent, records may be lost, witnesses may disappear. It is no light matter to dismiss an action for want of prosecution. As Diplock L.J. said in Allen v. Sir Alfred McAlpine &amp; Sons Ltd., supra, at p. 259: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application is not usually made until the period of limitation for the plaintiff's cause of action has expired. It is then a Draconian order and will not be lightly made. It should not in any event be exercised without giving the plaintiff an opportunity to remedy his default, unless the court is satisfied either that the default has been intentional and contumelious, or that the inexcusable delay for which the plaintiff or his lawyers have been responsible has been such as to give rise to a substantial risk that a fair trial of the issues in the litigation will not be possible at the earliest date at which, as a result of the delay, the action would come to trial if it were allowed to continue.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the plaintiffs should have been given an opportunity to remedy their default. Had that been done, the case by now could have been tried or, more likely, resolved by settlement. In all the circumstances, there was virtually no risk, much less a substantial one, that a fair trial of the issues would not have been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Pacific Hunter Resources Inc. v. Moss Management Inc.</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2004 BCCA 40</w:t>
        </w:r>
      </w:hyperlink>
      <w:r>
        <w:rPr>
          <w:rFonts w:ascii="arial" w:eastAsia="arial" w:hAnsi="arial" w:cs="arial"/>
          <w:color w:val="000000"/>
          <w:sz w:val="20"/>
          <w:lang w:val="en-US" w:eastAsia="en-US" w:bidi="ar-SA"/>
        </w:rPr>
        <w:t>, Mr. Justice Smith, in delivering judgment of the court,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First, she erred in considering the relevant period of delay to be ten years, measured from the date that the cause of action arose. An application to dismiss an action for want of prosecution relates to the proceeding itself, not to the underlying cause of action; its goal is the effective and efficient administration of justice, not the dismissal of stale claims: see the concurring reasons of Lambert J.A. in Rhyolite Resources Inc. v. CanQuest Resource Corp. </w:t>
      </w:r>
      <w:hyperlink r:id="rId288" w:history="1">
        <w:r>
          <w:rPr>
            <w:rFonts w:ascii="arial" w:eastAsia="arial" w:hAnsi="arial" w:cs="arial"/>
            <w:i/>
            <w:color w:val="0077CC"/>
            <w:sz w:val="20"/>
            <w:u w:val="single"/>
            <w:shd w:val="clear" w:color="auto" w:fill="FFFFFF"/>
            <w:lang w:val="en-US" w:eastAsia="en-US" w:bidi="ar-SA"/>
          </w:rPr>
          <w:t>(1999), 64 B.C.L.R. (3d) 80</w:t>
        </w:r>
      </w:hyperlink>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1999 BCCA 36</w:t>
        </w:r>
      </w:hyperlink>
      <w:r>
        <w:rPr>
          <w:rFonts w:ascii="arial" w:eastAsia="arial" w:hAnsi="arial" w:cs="arial"/>
          <w:color w:val="000000"/>
          <w:sz w:val="20"/>
          <w:lang w:val="en-US" w:eastAsia="en-US" w:bidi="ar-SA"/>
        </w:rPr>
        <w:t xml:space="preserve"> at [paragraph]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Finally, in </w:t>
      </w:r>
      <w:r>
        <w:rPr>
          <w:rFonts w:ascii="arial" w:eastAsia="arial" w:hAnsi="arial" w:cs="arial"/>
          <w:i/>
          <w:color w:val="000000"/>
          <w:sz w:val="20"/>
          <w:lang w:val="en-US" w:eastAsia="en-US" w:bidi="ar-SA"/>
        </w:rPr>
        <w:t>PMC Builders &amp; Developers Ltd. v. Country West Construction Ltd.</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2009 BCCA 535</w:t>
        </w:r>
      </w:hyperlink>
      <w:r>
        <w:rPr>
          <w:rFonts w:ascii="arial" w:eastAsia="arial" w:hAnsi="arial" w:cs="arial"/>
          <w:color w:val="000000"/>
          <w:sz w:val="20"/>
          <w:lang w:val="en-US" w:eastAsia="en-US" w:bidi="ar-SA"/>
        </w:rPr>
        <w:t>, Mr. Justice Low, in delivering judgment of the court,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Rule 2(7) raises the possibility of dismissal of an action other than on its merits. Therefore, it should be applied with considerable caution. Lengthy delay by a plaintiff in bringing a claim to trial must be carefully considered in the context of evidence presented by both sides as to actual prejudice to the defendant in presenting its case at trial. Any prejudice will only be material to the extent that it was caused by the plaintiff's inordinate delay, not by other events.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appellant offered no explanation for the delay in prosecuting its claims and, as I have said, conceded before the chambers judge that the delay was inordinate and not excusable. I would not say, however, that the appellant's conduct was contumelious. The appellant was merely dilatory.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I would not attempt to state what reasons for the delay might serve as an excuse for the plaintiff. In some cases, for example,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plaintiff's lawyer might amount to an excuse, in others it might not. Whether the reason for the delay amounts to an excuse will depend on the circumstances of the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Applying the facts of this case to the legal authorities which guide me, I find as follows:</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delay is inordinate. The cause of action arose in August of 2005, over eight years ago;</w:t>
      </w:r>
    </w:p>
    <w:p>
      <w:pPr>
        <w:numPr>
          <w:numId w:val="4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of the delay was inexcusable and tactical. There is no reason why the writ of summons was not promptly served, apart from the unstated, but apparent, facts which show that the plaintiff, Arellano, was trying to bolster his case by obtaining evidence. The exhibits attached to his own affidavit confirm the efforts he was making to gather evidence, including obtaining reports from various parties. Those reports must have required the expenditure of funds, which contradicts in some ways his position that he is financially strapped to the extent that it has prevented timely prosecution of this case;</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prejudice which has been caused to the Minwax defendants. This prejudice is succinctly summarized by their counsel in paragraph 33 of the written submissions as follows:</w:t>
      </w:r>
    </w:p>
    <w:p>
      <w:pPr>
        <w:numPr>
          <w:numId w:val="4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Remediation took place approximately two years prior to the service of the Writ (which was in August 2009). It is submitted that by the time the Writ was served, it was no longer possible to obtain samples of mould in the Suite in order to assess the extent, if any, the Plaintiffs' health problems were caused by mould rather than Minwax fumes. This prejudice was caused by the Plaintiffs' four year delay in filing and serving the Writ and could have been avoided had they pursued the claim in a timely manner.</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Apart from that prejudice, and the presumed prejudiced referred to in many of the cases (in the context of this case, particularly helpfully by Esson J.A. in the </w:t>
      </w:r>
      <w:r>
        <w:rPr>
          <w:rFonts w:ascii="arial" w:eastAsia="arial" w:hAnsi="arial" w:cs="arial"/>
          <w:i/>
          <w:color w:val="000000"/>
          <w:sz w:val="20"/>
          <w:lang w:val="en-US" w:eastAsia="en-US" w:bidi="ar-SA"/>
        </w:rPr>
        <w:t>Tundra Helicopters Ltd.</w:t>
      </w:r>
      <w:r>
        <w:rPr>
          <w:rFonts w:ascii="arial" w:eastAsia="arial" w:hAnsi="arial" w:cs="arial"/>
          <w:color w:val="000000"/>
          <w:sz w:val="20"/>
          <w:lang w:val="en-US" w:eastAsia="en-US" w:bidi="ar-SA"/>
        </w:rPr>
        <w:t xml:space="preserve"> decision), there has been no evidence offered by the defendants of actual prejudice;</w:t>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considered the explanations provided by Mr. Hobkirk. Much of this is not a satisfactory explanation for delay. There are also other periods where there is no explanation for delay by either the plaintiffs or Mr. Hobkirk. Some of the delay is attributable to the plaintiff, Arellano's health issues. Some of the delay is attributable to the plaintiffs' lack of financial resources. Undoubtedly, some of the delay (more than he admits to) is occasioned by Mr. Hobkirk's lack of attention to the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There is no doubt that prejudice occurred when the premises were renovated in the fall of 2007. This was done in the months following the timely issuance of the writ of summons. As set out by Lambert J.A. in </w:t>
      </w:r>
      <w:r>
        <w:rPr>
          <w:rFonts w:ascii="arial" w:eastAsia="arial" w:hAnsi="arial" w:cs="arial"/>
          <w:i/>
          <w:color w:val="000000"/>
          <w:sz w:val="20"/>
          <w:lang w:val="en-US" w:eastAsia="en-US" w:bidi="ar-SA"/>
        </w:rPr>
        <w:t>McIntosh</w:t>
      </w:r>
      <w:r>
        <w:rPr>
          <w:rFonts w:ascii="arial" w:eastAsia="arial" w:hAnsi="arial" w:cs="arial"/>
          <w:color w:val="000000"/>
          <w:sz w:val="20"/>
          <w:lang w:val="en-US" w:eastAsia="en-US" w:bidi="ar-SA"/>
        </w:rPr>
        <w:t xml:space="preserve"> [para. 60 above], that delay would be irrelevant in the context of an application to add a party outside a limitation period. I think different considerations apply in considering delay. The authorities satisfy me that I should consider delay to run from the time the cause of action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this case, when I consider whether there is prejudice following from delay, the loss of evidence in this case is not attributable to delay. The loss of evidence and the consequences which result therefrom, including in particular the loss of any ability to obtain evidence from the premises to assist in apportioning liability between the consequences, if any, of mould, and the consequences, if any, of fumes, would have been lost in any event, had the action been commenced and served at any time prior to the end of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As has been pointed out in other cases, it is no light matter to dismiss an action for want of prosecution. Such an order is a "draconian" order which is not to be lightly made. I take "draconian" to be in reference to a dismissal other than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plaintiffs knew that they were primarily responsible for prosecution of this action. They knew that it was the intention of Mr. Hobkirk to get off the record once he had performed certain tasks. The plaintiffs did nothing to follow up to ensure performance of those tasks. Their failure to follow up has not been adequately explained. Some of the delay was intentional in the sense of being calculated to help the plaintiff in gathering evidence, although that delay does not appear to be intentional in the sense of attempting to hurt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While there has been inordinate delay, and while a portion of that inordinate delay is inexcusable, much of the delay was caused by the plaintiffs' solicitors, by impecuniosity and/or by illness, and is thus excusable.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After consideration of the legal principles and, after applying them to the facts, and in particular the absence, apart from that which flows from presumed prejudice, of any evidence of actual prejudice after the remediation of the premises was performed in the latter part of 2007, I conclude that these applications must be dismissed, but with strict terms. I, therefore, order as follows:</w:t>
      </w:r>
      <w:r>
        <w:rPr>
          <w:rFonts w:ascii="arial" w:eastAsia="arial" w:hAnsi="arial" w:cs="arial"/>
          <w:sz w:val="20"/>
          <w:lang w:val="en-US" w:eastAsia="en-US" w:bidi="ar-SA"/>
        </w:rPr>
        <w:cr/>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applications are dismissed, with liberty to the defendants to renew the applications in the event that the balance of the terms of my order are not complied with;</w:t>
      </w:r>
    </w:p>
    <w:p>
      <w:pPr>
        <w:numPr>
          <w:numId w:val="4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are to respond by December 31, 2013 to the interrogatories which have been delivered, together with any further interrogatories which any of the defendants and/or third party may choose to deliver, provided such additional interrogatories are delivered prior to 4 p.m. December 9, 2013. It is not intended by this order to compel the plaintiffs to respond to interrogatories which in law do not require a response, but if any of the interrogatories served to date or to be served are in some way objectionable, then they are to be responded to, by December 31, 2013, by setting out any objections and the rationale for those objections;</w:t>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Forthwith the plaintiffs are to canvas all counsel and parties of record of their trial availability. The plaintiffs must then set this matter down for trial for ten days at the earliest available mutually agreeable trial date, with liberty to apply to me in the event that there are difficulties in complying with this portion of my order. Subject to the court schedule, the trial must commence no later than June 30, 2015;</w:t>
      </w:r>
    </w:p>
    <w:p>
      <w:pPr>
        <w:numPr>
          <w:numId w:val="4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December 31, 2013, the plaintiffs must confirm dates and locations for any discoveries they wish to conduct of the defendants;</w:t>
      </w:r>
    </w:p>
    <w:p>
      <w:pPr>
        <w:numPr>
          <w:numId w:val="5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must make themselves available for examinations for discovery. Such examinations for discovery are to take place prior to March 31, 2014, or such later date as the defendants, in their sole discretion, may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Costs normally follow the event. In this case, I have no hesitation in finding that the plaintiffs would have done nothing for the foreseeable future had the defendants not brought on their notices of application. Those notices of application were essential in moving this litigation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Accordingly, the defendants are entitled to the costs of their applications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R. McDIARMID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December 17,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This is a corrigendum to my reasons for judgment dated November 20, 2013. Clarification of the circumstances surrounding the making of the affidavit of Allan Hobkirk, sworn August 23, 2013, make it necessary to issue this corrigendum. Although not stated in the affidavit, the evidence deposed to in paragraph 42 was intended to refer to the period following the filing of the amended notice of civil claim on May 9, 2011. All counsel have agreed that this is so. Accordingly, my pejorative comments about veracity must be deleted.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84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82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Paragraphs 55 to 57 of my reasons should read: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 Ms. Fisher, on behalf of the Wongs, had politely requested receipt of a statement of claim on September 17, 2009. She requested plaintiffs' medical records in a letter dated November 9, 2009. Commencing with the letter dated August 19, 2009, counsel for the Minwax defendants sought discovery of documents and response to interrogatories on seven occasions (August 19, 2009, September 17, 2009, November 5, 2009, November 17, 2009, January 14, 2010, February 2, 2010, March 12, 2010, and March 31, 2010). They then made a demand for filing an amended notice of civil claim on August 4, 2010, threatening to proceed with an application to strike. That was reiterated on October 19, 2010. As noted, they brought an application filed March 15, 2011. The letters from defendants' counsel to Mr. Hobkirk were polite, but they constituted repeated demands and including making a court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 Mr. Hobkirk should not have been lulled into believing that timelines were not that important and should have anticipated an application could be brought for dismissal, given that an application had already been brought once.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The delay between the service of the applications and the delivery of response materials is attributable to Mr. Hobkirk as he stated in his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R. McDIARMID</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2" style="position:absolute;z-index:2517708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Atkinson (Guardian ad litem of) v. Gypsea Rose (The), [2016] B.C.J. No. 20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J.E. Watchuk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10,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7,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S087644, S104438, S087642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Admiralty Action In Rem against the Vessel "Gypsea Rose" and In Personam Between Ashleigh Atkinson, an infant by her guardian ad litem, Kathe Atkinson and Kathe Atkinson, Plaintiffs, and The Owners and all others interested in the "Gypsea Rose", the "Gypsea Rose", Cory Skidmore, Maridee Patricia Skidmore, and Maridee Patricia Skidmore, Executor and Trustee under the Last Will and Testament of Lloyd Skidmore, Deceased, Defendants Admiralty Action In Rem against the Vessel "Gypsea Rose" and the pleasure craft A 1994 20-foot Searay and In Personam And between Dawn Boys and James Hugh Perry, each on their own behalf and as Guardians Ad Litem on behalf of the infants, Tatum Perry, Dawson Boys-Kerekes and Daxton Perry, Plaintiffs, and The Owners and all others interested in the "Gypsea Rose", the "Gypsea Rose", Maridee Patricia Skidmore and Maridee Patricia Skidmore, Executor and Trustee under the Last Will and Testament of Lloyd Skidmore, Cory Skidmore, The Owners and all others interested in the pleasure craft A 1994 20-foot Searay, the 1994 20-foot Searay, and Norman Atkinson, Defendants And between Norman Atkinson, Plaintiff, and The Owners and all others interested in the "Gypsea Rose", the "Gypsea Rose", Cory Skidmore, Maridee Patricia Skidmore and Maridee Patricia Skidmore, Executor and Trustee under the Last Will and Testament of Lloyd Skidmore, Deceased,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 paras.)</w:t>
      </w:r>
    </w:p>
    <w:p>
      <w:pPr>
        <w:jc w:val="both"/>
        <w:rPr>
          <w:rFonts w:ascii="arial" w:eastAsia="arial" w:hAnsi="arial" w:cs="arial"/>
          <w:sz w:val="20"/>
          <w:lang w:val="en-US" w:eastAsia="en-US" w:bidi="ar-SA"/>
        </w:rPr>
      </w:pPr>
      <w:bookmarkStart w:id="58" w:name="Counsel_10"/>
      <w:bookmarkEnd w:id="5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3"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Atkinsons: L.R. Roenspies.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Plaintiffs Dawn Boys and James Hugh Perry: H.P. Swanson.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 Norman Atkinson and Defendants "Searay" and Norman Atkinson: J.G. Dives,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9" w:name="Judgment_10"/>
      <w:bookmarkEnd w:id="59"/>
      <w:r>
        <w:pict>
          <v:line id="_x0000_s1074" style="position:absolute;z-index:251721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0" w:name="J.E. WATCHUK J."/>
            <w:bookmarkEnd w:id="60"/>
            <w:r>
              <w:rPr>
                <w:rFonts w:ascii="arial" w:eastAsia="arial" w:hAnsi="arial" w:cs="arial"/>
                <w:b/>
                <w:color w:val="000000"/>
                <w:sz w:val="30"/>
                <w:lang w:val="en-US" w:eastAsia="en-US" w:bidi="ar-SA"/>
              </w:rPr>
              <w:t>J.E. WATCHUK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for costs following a trial with regard to liability on three related maritime law actions. Reasons on the liability trial were given on June 6, 2014 and are reported at </w:t>
      </w:r>
      <w:r>
        <w:rPr>
          <w:rFonts w:ascii="arial" w:eastAsia="arial" w:hAnsi="arial" w:cs="arial"/>
          <w:i/>
          <w:color w:val="000000"/>
          <w:sz w:val="20"/>
          <w:lang w:val="en-US" w:eastAsia="en-US" w:bidi="ar-SA"/>
        </w:rPr>
        <w:t>Atkinson (Guardian ad litem of) v. Gypsea Rose (Ship),</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2014 BCSC 1017</w:t>
        </w:r>
      </w:hyperlink>
      <w:r>
        <w:rPr>
          <w:rFonts w:ascii="arial" w:eastAsia="arial" w:hAnsi="arial" w:cs="arial"/>
          <w:color w:val="000000"/>
          <w:sz w:val="20"/>
          <w:lang w:val="en-US" w:eastAsia="en-US" w:bidi="ar-SA"/>
        </w:rPr>
        <w:t>. In order to describe the parties and the issues at trial, the Introduction from the Reasons is set out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Two small pleasure boats collided on Lake Okanagan on the afternoon of June 30, 2008. Both were driven by experienced drivers. The 26.5 foot Campion vessel, Gypsea Rose, which was driven by Cory Skidmore and owned by his mother Maridee Skidmore, hit the starboard side of the bow of the 20 foot Searay vessel ("the Searay") which was owned and operated by Norman Atkinson.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Mr. Atkinson's wife, Kathe, their three children, the three children of family friends and those children's grandmother, June Dawn Boys, were on the Atkinson vessel at the time of the collision.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Three maritime law actions arise from this collision. In Action No. S087644, Kathe Atkinson and her daughter Ashleigh by her </w:t>
      </w:r>
      <w:r>
        <w:rPr>
          <w:rFonts w:ascii="arial" w:eastAsia="arial" w:hAnsi="arial" w:cs="arial"/>
          <w:i/>
          <w:color w:val="000000"/>
          <w:sz w:val="20"/>
          <w:lang w:val="en-US" w:eastAsia="en-US" w:bidi="ar-SA"/>
        </w:rPr>
        <w:t>guardian ad litem</w:t>
      </w:r>
      <w:r>
        <w:rPr>
          <w:rFonts w:ascii="arial" w:eastAsia="arial" w:hAnsi="arial" w:cs="arial"/>
          <w:color w:val="000000"/>
          <w:sz w:val="20"/>
          <w:lang w:val="en-US" w:eastAsia="en-US" w:bidi="ar-SA"/>
        </w:rPr>
        <w:t xml:space="preserve"> are plaintiffs in the action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xml:space="preserve"> against the vessel Gypsea Rose and </w:t>
      </w:r>
      <w:r>
        <w:rPr>
          <w:rFonts w:ascii="arial" w:eastAsia="arial" w:hAnsi="arial" w:cs="arial"/>
          <w:i/>
          <w:color w:val="000000"/>
          <w:sz w:val="20"/>
          <w:lang w:val="en-US" w:eastAsia="en-US" w:bidi="ar-SA"/>
        </w:rPr>
        <w:t>In Personam</w:t>
      </w:r>
      <w:r>
        <w:rPr>
          <w:rFonts w:ascii="arial" w:eastAsia="arial" w:hAnsi="arial" w:cs="arial"/>
          <w:color w:val="000000"/>
          <w:sz w:val="20"/>
          <w:lang w:val="en-US" w:eastAsia="en-US" w:bidi="ar-SA"/>
        </w:rPr>
        <w:t xml:space="preserve"> against Cory Skidmore, Maridee Skidmore and Maridee Skidmore as executor of the estate of Lloyd Skidmore ("the Atkinson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Ms. Boys is a plaintiff in Action No. S104438 along with her son-in-law, James Perry as </w:t>
      </w:r>
      <w:r>
        <w:rPr>
          <w:rFonts w:ascii="arial" w:eastAsia="arial" w:hAnsi="arial" w:cs="arial"/>
          <w:i/>
          <w:color w:val="000000"/>
          <w:sz w:val="20"/>
          <w:lang w:val="en-US" w:eastAsia="en-US" w:bidi="ar-SA"/>
        </w:rPr>
        <w:t>guardian ad litem,</w:t>
      </w:r>
      <w:r>
        <w:rPr>
          <w:rFonts w:ascii="arial" w:eastAsia="arial" w:hAnsi="arial" w:cs="arial"/>
          <w:color w:val="000000"/>
          <w:sz w:val="20"/>
          <w:lang w:val="en-US" w:eastAsia="en-US" w:bidi="ar-SA"/>
        </w:rPr>
        <w:t xml:space="preserve"> on behalf of her three grandchildren who were in the Atkinson vessel. The defendants include the defendants in the Atkinson Action as well as the Searay and Mr. Atkinson ("the Boys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The third action is commenced by Norman Atkinson for property loss against the owners and all others interested in the Gypsea Rose. This Action No. S087642, will be referred to as the "Norman Atkinson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Cory Skidmore, his mother, Maridee Skidmore, personally and as executor of the estate of Lloyd Skidmore, the owners and all others interested in the Gypsea Rose and the Gypsea Rose are defendants in all actions. Mr. Atkinson and his vessel the Searay are defendants in the Boys Action. Mr. Atkinson, in addition to being a defendant in the Boys Action, is the sole plaintiff in the Norman Atkinson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Cory Skidmore admitted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liability during the trial. The actions were defended on behalf of Ms. Skidmore, the Gypsea Rose, Mr. Atkinson and the Searay.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This trial was limited to the </w:t>
      </w:r>
      <w:r>
        <w:rPr>
          <w:rFonts w:ascii="arial" w:eastAsia="arial" w:hAnsi="arial" w:cs="arial"/>
          <w:i/>
          <w:color w:val="000000"/>
          <w:sz w:val="20"/>
          <w:lang w:val="en-US" w:eastAsia="en-US" w:bidi="ar-SA"/>
        </w:rPr>
        <w:t>In Personam</w:t>
      </w:r>
      <w:r>
        <w:rPr>
          <w:rFonts w:ascii="arial" w:eastAsia="arial" w:hAnsi="arial" w:cs="arial"/>
          <w:color w:val="000000"/>
          <w:sz w:val="20"/>
          <w:lang w:val="en-US" w:eastAsia="en-US" w:bidi="ar-SA"/>
        </w:rPr>
        <w:t xml:space="preserve"> actions and only liability was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paras. 158 to 160 are the orders made regarding liability at the conclusion of the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[158] In the Boys Action I apportion liability 80% to Cory Skidmore and 20% to Mr. Atkinson. The claim against Ms. Skidmore is dismissed.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[159] Cory Skidmore is found liable in the Atkinson Action, and the claim against Ms. Skidmore is dismissed.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[160] In the Norman Atkinson Action, the claim against Ms. Skidmore is dismissed. Cory Skidmore is 80% liable with Mr. Atkinson found to bear 20%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Little is known of the injuries suffered by any plaintiffs. The only reference in the Reasons is at para. 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The Gypsea Rose hit the bow of the Searay at a 90[degrees] angle on the starboard side. It drove over the bow and windshield and stopped on the port or far side of the Searay. Significant damage was caused to the Searay. Injuries were sustained by Kathe and Ashleigh Atkinson, the three Perry children and Ms. Boys.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With regard to costs, I stated: "[I]f counsel are not able to reach an agreement, arrangements should be made to appear before me at a further hearing on that issue" (at para. 161).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Counsel advise that a number of agreements on costs have been reached. The entitlement and the quantum of costs for Maridee Skidmore both in her personal capacity and as Trustee have been agreed to in all three actions and no further order is required with respect to her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APPLICATION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This application is brought by the plaintiffs in the Boys Action. They submit that Norman Atkinson and Cory Skidmore should be ordered to pay the plaintiffs' costs of the liability trial forthwith on a joint and several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in the Boys Action include infants who are now 16, 12 and 10 years old. They submit that the extent of their injuries from the boating accident remains to be determined, and that they are entitled to wait until their damages are fully known before damages are assessed. It would unduly prejudice them to wait years until their damages are quantified before recovering their costs of the liability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Counsel for the plaintiffs in the Atkinson Action supports the application and submits that the cost result sought in the Boys Action ought also to follow in the Atkinson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Norman Atkinson action in which Mr. Atkinson was the plaintiff, it is submitted that costs relating to the liability portion of the proceeding should be payable to Mr. Atkinson by Cory Skidmore at Scale B to be assessed at the conclusion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Atkinson opposes the application brought in the Boys Action. He submits that the costs of the plaintiffs should not be assessed or payable until the resolution of the damages portion of the proceeding. He also submits that the costs award should not be on a joint and several basis. In the alternative, he says that costs at large should be deferred.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Although served with the written submissions filed in this Application, Cory Skidmore has not appeared nor taken any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RULES REGARDING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general principle is that costs follow the event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R. 14-1(9)). Rule 14-1(13) provides that costs are payable at the conclusion of a proceeding unless otherwise ordered.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When costs payable</w:t>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entitlement to costs arises during a proceeding, whether as a result of an order or otherwise, those costs are payable on the conclusion of the proceeding unless the court otherwise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Rule 14-1(15) sets out the area of discretion when a court may award costs that relate to some "particular application, step or matter" in or related to the proceeding: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Costs of whole or part of proceeding</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award costs</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of a proceeding,</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relate to some particular application, step or matter in or related to the proceeding, or</w:t>
      </w:r>
    </w:p>
    <w:p>
      <w:pPr>
        <w:numPr>
          <w:numId w:val="5"/>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so far as they relate to some particular application, step or matter in or related to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in awarding those costs the court may fix the amount of costs, including the amount of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not in dispute that the plaintiffs in the Boys Action and the Atkinson Action, as well as Mr. Atkinson in the Norman Atkinson Action, were successful. The issue is whether the court should exercise its discretion to order costs payable forthwith when the matter of damages remains outstanding.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order granting severance was granted by consent. All parties agreed to divide the trial to have liability determined prior to the hearing of the issues on the quantum of damages. The trial will not be concluded until the damages are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plaintiffs ask the court to exercise its discretion to order costs payable forthwith because of the ages of the plaintiffs. It is submitted that, due to the uncertainty of the extent of their injuries, they will delay the conclusion of the trial pursuant to the operation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which provides that the limitation date does not commence until they turn 19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With respect,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is not a relevant consideration. The legislation in effect at the time of the collision on June 30, 2008, was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Section 7 of that legislation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If a person is a minor or incapable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627"/>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For the purposes of this section,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is under a disability while the person</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is a minor,</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at the time the right to bring an action arises, a person is under a disability, the running of time with respect to a limitation period set by this Act is postponed so long as that person is under a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Section 7 postpones the running of time to bring an action while a person is a minor. It is of no further relevance once an action is begun. The infant plaintiffs in the Boys Action commenced their action by Notice of Civil Claim dated December 10, 2010. Pursuant to that claim liability has been determined. However, since no further claim need be filed by the plaintiffs,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has no effect on the setting of the damages portion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process of completing the litigation is not yet clear. However, counsel for Mr. Atkinson advises that steps are presently being taken on behalf of Mr. Atkinson to proceed with the damages issues. At the present time, there is no information before this Court that establishes any unusual circumstances in the steps to be taken in order to conclude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Two cases are relied upon by the applicants as instances where the court exercised its discretion to depart from the usual rule regarding costs being payable at the conclusion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Karran v. Anderson</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2009 BCSC 1704</w:t>
        </w:r>
      </w:hyperlink>
      <w:r>
        <w:rPr>
          <w:rFonts w:ascii="arial" w:eastAsia="arial" w:hAnsi="arial" w:cs="arial"/>
          <w:color w:val="000000"/>
          <w:sz w:val="20"/>
          <w:lang w:val="en-US" w:eastAsia="en-US" w:bidi="ar-SA"/>
        </w:rPr>
        <w:t>, the circumstances were unusual. The plaintiff, to whom costs payable forthwith were awarded after two liability trials, was in the position of being required to pay costs payable forthwith to the defendant pursuant to an order of the Court of Appeal prior to the determination of the quantum of damages. Mr. Justice Cohen addressed this cost issue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The liability trial held before me was the second trial on the issue of liability. The first trial resulted in an apportionment of liability 50% to the plaintiff and 50% to the defendant. Costs were awarded to the plaintiff at Scale B. This result was appealed. The Court of Appeal overturned the learned trial judge and sent the matter back to this Court for a new trial on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In the trial before me I apportioned liability 75% to the plaintiff, and 25% to the defendant. No order was made as to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Following receipt of the Court of Appeal decision the defendant delivered to the plaintiff a bill of costs in the amount of $14,671.84, and claimed costs payable forthwith. The plaintiff applied to the Court of Appeal to defer the payment of costs until all cost issues were dealt with following resolution of the plaintiff's claim. The Court of Appeal rejected this position and ordered costs be paid forthwith.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In this Court the plaintiff submits that costs should be paid to her at this juncture of the proceeding. She submits that she will be in a severely disadvantaged position following the cost hearing in the Court of Appeal if she is indebted to the defendant for costs payable forthwith, while entitlement to her own costs does not arise until after the unscheduled trial on quantum of damages. The plaintiff submits that she should be entitled to the costs of the two trials on liability at this juncture of the proceeding so that she can offset the defendant's bill of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The defence position is that the plaintiff has failed to establish that the Court should depart from the usual practice, as provided for in Rule 57(12.1), that costs are presumptively payable in the cause, that is at the end of the proceeding, although the defence concedes that the Court has a discretion to award costs to the plaintiff at this juncture of the proceeding, and that it also has a discretion to order costs payable forthwith.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I am persuaded by the plaintiff that this is a case where the Court should not only award costs following the decision on liability, but also that costs should be payable forthwith.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The proceeding was severed by consent. The plaintiff succeeded at both trials on liability. I agree with the position of the plaintiff that she should be awarded her costs of the two liability trials at this juncture of the proceeding payable forthwith to permit her to remain on an equal footing with the defendant who is entitled to his costs in the Court of Appeal payable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Freshway Specialty Foods Inc. v. Map Produce LLC et al.</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2005 BCSC 594</w:t>
        </w:r>
      </w:hyperlink>
      <w:r>
        <w:rPr>
          <w:rFonts w:ascii="arial" w:eastAsia="arial" w:hAnsi="arial" w:cs="arial"/>
          <w:color w:val="000000"/>
          <w:sz w:val="20"/>
          <w:lang w:val="en-US" w:eastAsia="en-US" w:bidi="ar-SA"/>
        </w:rPr>
        <w:t>, Madam Justice Lynn Smith awarded costs to the defendant payable forthwith in any event of the cause after dismissal of an interlocutory application brought by the plaintiff against the defendant. The discussion of this issue commences at para.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I will first deal with the DRC's application for an order for costs in any event of the cause, payable forthwith.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DRC had to appear on very short notice in response to the plaintiff's application. That application was ill-founded. I do not accept the plaintiff's submission that it was not dismissed on the merits "but on the basis that the grounds for relief were not proper". It was dismissed on the merits.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There is some reason to doubt that the defamation allegations or the action as a whole will ever go to a final hearing.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There was a basis for the plaintiff's sense of urgency, given the perishable nature of the plaintiff's products. I do not see here the kind of egregious behaviour on the part of the plaintiff that existed in the </w:t>
      </w:r>
      <w:r>
        <w:rPr>
          <w:rFonts w:ascii="arial" w:eastAsia="arial" w:hAnsi="arial" w:cs="arial"/>
          <w:b/>
          <w:i/>
          <w:color w:val="000000"/>
          <w:sz w:val="20"/>
          <w:lang w:val="en-US" w:eastAsia="en-US" w:bidi="ar-SA"/>
        </w:rPr>
        <w:t>Lalji</w:t>
      </w:r>
      <w:r>
        <w:rPr>
          <w:rFonts w:ascii="arial" w:eastAsia="arial" w:hAnsi="arial" w:cs="arial"/>
          <w:color w:val="000000"/>
          <w:sz w:val="20"/>
          <w:lang w:val="en-US" w:eastAsia="en-US" w:bidi="ar-SA"/>
        </w:rPr>
        <w:t xml:space="preserve"> case or the </w:t>
      </w:r>
      <w:r>
        <w:rPr>
          <w:rFonts w:ascii="arial" w:eastAsia="arial" w:hAnsi="arial" w:cs="arial"/>
          <w:b/>
          <w:i/>
          <w:color w:val="000000"/>
          <w:sz w:val="20"/>
          <w:lang w:val="en-US" w:eastAsia="en-US" w:bidi="ar-SA"/>
        </w:rPr>
        <w:t>Chances Housing</w:t>
      </w:r>
      <w:r>
        <w:rPr>
          <w:rFonts w:ascii="arial" w:eastAsia="arial" w:hAnsi="arial" w:cs="arial"/>
          <w:color w:val="000000"/>
          <w:sz w:val="20"/>
          <w:lang w:val="en-US" w:eastAsia="en-US" w:bidi="ar-SA"/>
        </w:rPr>
        <w:t xml:space="preserve"> case. (I note, however, that the issue in </w:t>
      </w:r>
      <w:r>
        <w:rPr>
          <w:rFonts w:ascii="arial" w:eastAsia="arial" w:hAnsi="arial" w:cs="arial"/>
          <w:b/>
          <w:i/>
          <w:color w:val="000000"/>
          <w:sz w:val="20"/>
          <w:lang w:val="en-US" w:eastAsia="en-US" w:bidi="ar-SA"/>
        </w:rPr>
        <w:t>Lalji</w:t>
      </w:r>
      <w:r>
        <w:rPr>
          <w:rFonts w:ascii="arial" w:eastAsia="arial" w:hAnsi="arial" w:cs="arial"/>
          <w:color w:val="000000"/>
          <w:sz w:val="20"/>
          <w:lang w:val="en-US" w:eastAsia="en-US" w:bidi="ar-SA"/>
        </w:rPr>
        <w:t xml:space="preserve"> arose in the context of an application for special costs; there is no application for special costs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I have concluded that the defendant DRC has established a sufficient basis for the court to depart from the presumptive costs award provided in Rule 57(12) (b):</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a court hearing a motion otherwise orders,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making a motion that is refused is not entitled to costs as costs in the cause, but the party opposing it is entitled to costs as costs in the cause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 application here should not have been brought and it is unlikely that the matter will go to a final hearing. The defendant DRC will have its costs in any event of the cause, payable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applicants for costs in these cases, established a basis for departure from the usual rule. In </w:t>
      </w:r>
      <w:r>
        <w:rPr>
          <w:rFonts w:ascii="arial" w:eastAsia="arial" w:hAnsi="arial" w:cs="arial"/>
          <w:i/>
          <w:color w:val="000000"/>
          <w:sz w:val="20"/>
          <w:lang w:val="en-US" w:eastAsia="en-US" w:bidi="ar-SA"/>
        </w:rPr>
        <w:t>Freshway</w:t>
      </w:r>
      <w:r>
        <w:rPr>
          <w:rFonts w:ascii="arial" w:eastAsia="arial" w:hAnsi="arial" w:cs="arial"/>
          <w:color w:val="000000"/>
          <w:sz w:val="20"/>
          <w:lang w:val="en-US" w:eastAsia="en-US" w:bidi="ar-SA"/>
        </w:rPr>
        <w:t xml:space="preserve">, this occurred as a result of the particular circumstances present at the time of the hearing. In </w:t>
      </w:r>
      <w:r>
        <w:rPr>
          <w:rFonts w:ascii="arial" w:eastAsia="arial" w:hAnsi="arial" w:cs="arial"/>
          <w:i/>
          <w:color w:val="000000"/>
          <w:sz w:val="20"/>
          <w:lang w:val="en-US" w:eastAsia="en-US" w:bidi="ar-SA"/>
        </w:rPr>
        <w:t>Karran</w:t>
      </w:r>
      <w:r>
        <w:rPr>
          <w:rFonts w:ascii="arial" w:eastAsia="arial" w:hAnsi="arial" w:cs="arial"/>
          <w:color w:val="000000"/>
          <w:sz w:val="20"/>
          <w:lang w:val="en-US" w:eastAsia="en-US" w:bidi="ar-SA"/>
        </w:rPr>
        <w:t>, it was as a result of a Court of Appeal order ordering costs payable to the opposing party after two liability trials.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these matters, the plaintiffs in the Boys Action and the Atkinson Action are entitled to the costs of the trial. I am not satisfied that in this case there is a basis for the exercise of discretion to depart from the usual rule that costs are assessed and payable following the conclusion of the proceeding. Mr. Atkinson is taking steps to move the matter forward. Further, there are differing views of the potential outcome of the assessment of damages which may have an impact on the issue of costs. Counsel for Mr. Atkinson says that it is not known if there are any injuries, while counsel for the plaintiffs in the Boys Action submits that it is highly unlikely that no injuries were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With regard to the issue of whether costs should be assessed on a joint and several basis, I agree with the plaintiffs. Mr. Atkinson and Cory Skidmore are jointly and severally liable for the damages in the Boys Action and there is no reason to order costs on a different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summary, the plaintiffs in the Boys Action are entitled on a joint and several basis to the costs of the liability trial against Mr. Atkinson and Cory Skidmore. In the Atkinson Action, the plaintiffs are entitled to their costs against Cory Skidmore. In the Norman Atkinson Action, as there was a finding of 20%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Mr. Atkinson is entitled to 80% of his costs against Cory Skidmore. All costs are to be assessed and are payable on the conclusion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there has been mixed success, the parties will bear their own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J.E. WATCHUK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5" style="position:absolute;z-index:2517719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11"/>
          <w:headerReference w:type="default" r:id="rId312"/>
          <w:footerReference w:type="even" r:id="rId313"/>
          <w:footerReference w:type="default" r:id="rId314"/>
          <w:headerReference w:type="first" r:id="rId315"/>
          <w:footerReference w:type="first" r:id="rId3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17" w:history="1">
        <w:r>
          <w:rPr>
            <w:rFonts w:ascii="arial" w:eastAsia="arial" w:hAnsi="arial" w:cs="arial"/>
            <w:b/>
            <w:bCs/>
            <w:i/>
            <w:color w:val="0077CC"/>
            <w:kern w:val="32"/>
            <w:sz w:val="28"/>
            <w:szCs w:val="32"/>
            <w:u w:val="single"/>
            <w:shd w:val="clear" w:color="auto" w:fill="FFFFFF"/>
            <w:lang w:val="en-US" w:eastAsia="en-US" w:bidi="ar-SA"/>
          </w:rPr>
          <w:t>Bakaluk v. Western Star Trucks Inc., [2004] B.C.J. No. 658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Beames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3,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Kelowna Registry Nos. 36384, 36379, 36389, S62999,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S63000, S63001, S63002, S63003 and S63004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658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417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 B.C.L.R. (4th) 360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130 A.C.W.S. (3d) 313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B.C.T.C. 417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Gregory Bakaluk, William Barnay, Herbert Boehmer, Terry Boles, James Bone, Greg Bosch, George Boyle, Gordon Brayshaw, Donald Burdge, Robert Caley, Sonny Carlton, Curt Chamberlain, Robert Cocks, Joseph Couillard, James Courtney, Tom Davy, Allen Derksen, Mario Di Nanno, Kevin Donnelly, John Erickson, Georgie Fedrick, John Filipchuk, Walter Fischer, Michael S. Fitzpatrick, Alan Foley, Olivier Gaucher, Robert Groholski, Richard Gunoff, Kevin Halisky, Chris Hawthorne, John Hetter, Joe Hofer, Arno Hurzak, Colin Jensen, Roger Kania, Thomas Kemmis, Murray King, Gary King, C.G. Neil Klassen, Richard LeBlanc, Jack Leeper, Daniel Lehmann, Randy Lewis, Kerry Lomay, Avtar Lot, Paul Makarow, Jack Martin, Leonard McCormid, Terry McCrady, Victor McCulley, Martin Mellen, Dennis Moyan, Geoffrey Murray, Steve Nadasde, Adam Neigum, Brian Neigum, Declan Odermatt, Robert Patton, Les Philips, Gerald Picklyk, Richard Ponto, Wayne Rafferty, Al Reimer, Randy Ritchie, David Roberts, Mark Roth, Bryan Rowland, Frederick Rush, William Sargent, Mike Schramek, Thomas Seddon, Jim Sliworsky, Wayne Stolz, Joe Stoochnff, David Storozak, Perry Stratichuk, Frank Stubbs, Gerry Thacyk, Robert Thibert, Stewart Todd, Erich Trapp, Hank Van Apeldoorn, Jr., Hank Van Apeldoorn, Sr. James Wilson, Anthony Yip, plaintiffs, and Western Star Trucks Inc., Western Star Trucks Holdings Ltd. (formerly 395220 British Columbia Ltd.), Royal Trust Corporation of Canada, International Association of Machinists and Aerospace Workers District 250, defendants (Kelowna Registry No. 36384) And between Arnold Frank, Ed Wollin, Raymond Opitz, Horst Schwientek, Aloys Orsulic, Robert Edstrom, Perry G. Stoik, Jack Dollman, Orazio Marin, Dimitirio Mpoulougouris, Nick Goruk, Ron Coombs, Chris Odermatt, Dave Murray and Bob Marson, plaintiffs, and Western Star Trucks Inc., Western Star Trucks Holdings Ltd., Royal Trust Corporation of Canada, and International Association of Machinists and Aerospace Workers, defendants (Kelowna Registry No. 36379) And between Barry Schmidt, plaintiff, and Western Star Trucks Inc., Western Star Trucks Holdings Ltd. (formerly 395220 British Columbia Ltd.), Royal Trust Corporation of Canada, International Association of Machinists and Aerospace Workers District 250, defendants (Kelowna Registry No. 36389) And between Jack Dollman, plaintiff, and Western Star Trucks Inc., Western Star Trucks Holdings Ltd., Royal Trust Corporation of Canada, and International Association of Machinists and Aerospace Workers, defendants (Kelowna Registry No. S62999) And between Robert Groholski, plaintiff, and Western Star Trucks Inc., Western Star Trucks Holdings Ltd. (formerly 395220 British Columbia Ltd.), Royal Trust Corporation of Canada, International Association of Machinists and Aerospace Workers District 250, defendants (Kelowna Registry No. S63000) And between Dimitrios Mpoulougouris, plaintiff, and Western Star Trucks Inc., Western Star Trucks Holdings Ltd., Royal Trust Corporation of Canada, International Association of Machinists and Aerospace Workers, defendants (Kelowna Registry No. S63001) And between Raymond Opitz, plaintiff, and Western Star Trucks Inc., Western Star Trucks Holdings Ltd., Royal Trust Corporation of Canada, and International Association of Machinists and Aerospace Workers, defendants (Kelowna Registry No. S63002) And between Perry Stoik, plaintiff, and Western Star Trucks Inc., Western Star Trucks Holdings Ltd., Royal Trust Corporation of Canada, and International Association of Machinists and Aerospace Workers, defendants (Kelowna Registry No. S63003) And between Aloys Orsulic, plaintiff, and Western Star Trucks Inc., Western Star Trucks Holdings Ltd., Royal Trust Corporation of Canada, and International Association of Machinists and Aerospace Workers, defendants (Kelowna Registry No. S63004)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 paras.)</w:t>
      </w:r>
    </w:p>
    <w:p>
      <w:pPr>
        <w:jc w:val="both"/>
        <w:rPr>
          <w:rFonts w:ascii="arial" w:eastAsia="arial" w:hAnsi="arial" w:cs="arial"/>
          <w:sz w:val="20"/>
          <w:lang w:val="en-US" w:eastAsia="en-US" w:bidi="ar-SA"/>
        </w:rPr>
      </w:pPr>
      <w:bookmarkStart w:id="61" w:name="Counsel_11"/>
      <w:bookmarkEnd w:id="6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6"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J.G. Hardwick, for the plaintiffs, in Action No. 36384 and the plaintiff, Barry Schmidt, in Action No. 36389. T.C. Arsenault, for the International Association of Machinists and Aerospace Workers District 250. R. Groholski, appeared on his own behalf. R. Opitz, appeared on his own behalf. D. Mpoulougouris, appeared on his own behalf. A. Orsulic, appeared on his own behalf. J. Dollman, appeared on his own behalf. No other appearances.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2" w:name="Judgment_11"/>
      <w:bookmarkEnd w:id="62"/>
      <w:r>
        <w:pict>
          <v:line id="_x0000_s1077" style="position:absolute;z-index:2517227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3" w:name="BEAMES J."/>
            <w:bookmarkEnd w:id="63"/>
            <w:r>
              <w:rPr>
                <w:rFonts w:ascii="arial" w:eastAsia="arial" w:hAnsi="arial" w:cs="arial"/>
                <w:b/>
                <w:color w:val="000000"/>
                <w:sz w:val="30"/>
                <w:lang w:val="en-US" w:eastAsia="en-US" w:bidi="ar-SA"/>
              </w:rPr>
              <w:t>BEAMES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have brought actions against the defendants for damages with respect to a share-gifting program created in 1991 for employees of Western Star Trucks Inc. The defendant union, International Association of Machinists and Aerospace Workers District 250 ("the Union"), applies pursuant to Rule 14(6)(c) and Rule 19(24)(a) for a declaration that this court has no jurisdiction to adjudicate the plaintiffs' claims against the Union and that the plaintiffs' claims against it be struck out, or in the alternative, dismissed, all on the ground that the only duty the Union could be found owing to the plaintiffs is a statutory duty of fair representation, over which the Labour Relations Board has exclusive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1991, the Province of British Columbia agreed to provide financial assistance to Western Star Trucks Inc. on certain terms. One of the terms imposed by the province was that at least 10 percent of the Class "A" Common Shares of Western Star Trucks Inc. be made available for gifting to regular full-time employees of the company. It is common ground that the agreement with respect to gifting shares was an agreement made without the assistance, involvement or participation of the Union. The share-gifting program arose wholly outside the terms of the collective agreement. None of the plaintiffs received gifted shares. Some of the plaintiffs did not receive notice of their right to receive shares, some completed a notice of acceptance but did not actually receive gifted shares, and some received notice but did not apply to receive gifted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claim against the Union is framed in similar terms in each of the actions. Quoting from the Statement of Claim filed in the Bakaluk action, the claim is set out as follows:</w:t>
      </w:r>
      <w:r>
        <w:rPr>
          <w:rFonts w:ascii="arial" w:eastAsia="arial" w:hAnsi="arial" w:cs="arial"/>
          <w:sz w:val="20"/>
          <w:lang w:val="en-US" w:eastAsia="en-US" w:bidi="ar-SA"/>
        </w:rPr>
        <w:cr/>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interval between April 26, 1991 and May 17, 1991, certain of the Plaintiffs did approach the International Association of Machinists and Aerospace Workers District 250 through its duly elected and authorized shop stewards to ask the advice of the said trade union, hereinafter called IAM &amp; AW as to the wisdom of acquiring the gifted share. The said shop stewards as duly authorized representatives of IAM &amp; AW did advise those Plaintiffs that the acquisition of the gifted share would place the Plaintiff in a position of conflict of interest with their employer and recommended against the acquisition of the said share by the employee. Unknown to those Plaintiffs was the fact that at the same time that shop stewards were recommending against the acquisition of the share, those same shop stewards as employees of Western Star Trucks were in fact exercising the option to acquire the gifted share themselves.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state and the fact is that the IAM &amp; AW, as the certified bargaining agent for the Plaintiffs and a trade union wherein the said Plaintiffs held membership owed a duty of care to the Plaintiffs to fairly advise them as to the potential benefits of acquisition of the gifted share, which duty the said IAM &amp; AW did negligently perform and thereby cause the Plaintiffs loss.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and or in the alternative, the said Plaintiffs state and the fact is that the Defendant, IAM &amp; AW acted in breach of the lawful obligations upon it in advising against the acquisition pursuant to the terms and conditions surrounding the Plaintiffs membership within the said Defendant as members of the trade union.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and some of them acted in reliance on the recommendation of the representatives of the Defendant, IAM &amp; AW and declined to accept the gifted share, thereby causing the said Plaintiffs damage and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Wherefore the plaintiffs seek as against the Defendants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against the Defendant, International Association of Machinists and Aerospace Workers District 250 the following;</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breach of contract,</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 accounting,</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this Honourable Court may seem just,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one action which has an additional feature is the Groholski action. In his Statement of Claim, Mr. Groholski alleges that he was an illegally laid-off employee and should have been a full-time employee as of April 26, 1991. In addition to his claims for damages for breach of contract and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for an accounting, he also claims for damages for loss of wages in overtime; top-up of pension; damages for missed opportunities; and a $100,000 capital gains tax exemption.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Union's position is that the sole duty a union owes to its members is the duty of fair representation, which has been codified in s. 12 of the Labour Relations Code, </w:t>
      </w:r>
      <w:r>
        <w:rPr>
          <w:rFonts w:ascii="arial" w:eastAsia="arial" w:hAnsi="arial" w:cs="arial"/>
          <w:i/>
          <w:color w:val="000000"/>
          <w:sz w:val="20"/>
          <w:lang w:val="en-US" w:eastAsia="en-US" w:bidi="ar-SA"/>
        </w:rPr>
        <w:t>R.S.B.C. 1996, c. 244</w:t>
      </w:r>
      <w:r>
        <w:rPr>
          <w:rFonts w:ascii="arial" w:eastAsia="arial" w:hAnsi="arial" w:cs="arial"/>
          <w:color w:val="000000"/>
          <w:sz w:val="20"/>
          <w:lang w:val="en-US" w:eastAsia="en-US" w:bidi="ar-SA"/>
        </w:rPr>
        <w:t xml:space="preserve"> (the "LRC"). If the plaintiffs' claim is, in essence, a claim that the Union breached its duty of fair representation, then the Labour Relations Board has exclusive jurisdiction to hear such a claim. If the essence of the plaintiffs' claim is that the Union owed a common-law duty of some other description to its members, the law in British Columbia is that the Union owes no such additional duty to its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position is that the plaintiffs' claims against the Union do not arise, expressly or inferentially, out of the collective agreement, and the duty which is alleged is not the duty of fair representation as codified in s. 12 of the LRC. The plaintiffs say that the essence of their claim against the Union is a claim for negligent misrepresentation, and that in the circumstances of this case, such a claim can be maintained in this court against the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case in British Columbia that defined a union's duty of fair representation to its members is Fisher v. Pemberton et al. </w:t>
      </w:r>
      <w:hyperlink r:id="rId318" w:history="1">
        <w:r>
          <w:rPr>
            <w:rFonts w:ascii="arial" w:eastAsia="arial" w:hAnsi="arial" w:cs="arial"/>
            <w:i/>
            <w:color w:val="0077CC"/>
            <w:sz w:val="20"/>
            <w:u w:val="single"/>
            <w:shd w:val="clear" w:color="auto" w:fill="FFFFFF"/>
            <w:lang w:val="en-US" w:eastAsia="en-US" w:bidi="ar-SA"/>
          </w:rPr>
          <w:t>(1969), 8 D.L.R. (3d) 521</w:t>
        </w:r>
      </w:hyperlink>
      <w:r>
        <w:rPr>
          <w:rFonts w:ascii="arial" w:eastAsia="arial" w:hAnsi="arial" w:cs="arial"/>
          <w:color w:val="000000"/>
          <w:sz w:val="20"/>
          <w:lang w:val="en-US" w:eastAsia="en-US" w:bidi="ar-SA"/>
        </w:rPr>
        <w:t xml:space="preserve"> (B.C.S.C.). Mr. Fisher, a unionized employee, was fired by his employer. The employer alleged cause for the termination after the acting union president had reported wrongful conduct on the part of Mr. Fisher. Mr. Fisher unsuccessfully grieved his termination and then sued his union for damages. On the issue of what duty a union may owe its members, and following a consideration of American jurisprudence on the issue, the trial judge concluded that because a union is an employee's exclusive bargaining agent, it has a duty to represent all employees fairly both in the collective bargaining process and in the administration of the resulting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This duty, known as the duty of fair representation, has been codified in British Columbia since 1973. Section 12 of the LRC provides, in part:</w:t>
      </w:r>
      <w:r>
        <w:rPr>
          <w:rFonts w:ascii="arial" w:eastAsia="arial" w:hAnsi="arial" w:cs="arial"/>
          <w:sz w:val="20"/>
          <w:lang w:val="en-US" w:eastAsia="en-US" w:bidi="ar-SA"/>
        </w:rPr>
        <w:cr/>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trade union...must not act in a manner that is arbitrary, discriminatory or in bad faith</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representing any of the employees in an appropriate bargaining unit, or</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referral of persons to employment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whether or not the employees or persons are members of the trade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Since the decision of the British Columbia Court of Appeal in Mulherin v. U.S.W.A. Local 7884 </w:t>
      </w:r>
      <w:hyperlink r:id="rId319" w:history="1">
        <w:r>
          <w:rPr>
            <w:rFonts w:ascii="arial" w:eastAsia="arial" w:hAnsi="arial" w:cs="arial"/>
            <w:i/>
            <w:color w:val="0077CC"/>
            <w:sz w:val="20"/>
            <w:u w:val="single"/>
            <w:shd w:val="clear" w:color="auto" w:fill="FFFFFF"/>
            <w:lang w:val="en-US" w:eastAsia="en-US" w:bidi="ar-SA"/>
          </w:rPr>
          <w:t>(1987), 12 B.C.L.R. (2d) 251</w:t>
        </w:r>
      </w:hyperlink>
      <w:r>
        <w:rPr>
          <w:rFonts w:ascii="arial" w:eastAsia="arial" w:hAnsi="arial" w:cs="arial"/>
          <w:color w:val="000000"/>
          <w:sz w:val="20"/>
          <w:lang w:val="en-US" w:eastAsia="en-US" w:bidi="ar-SA"/>
        </w:rPr>
        <w:t xml:space="preserve">, leave to appeal refused </w:t>
      </w:r>
      <w:hyperlink r:id="rId320" w:history="1">
        <w:r>
          <w:rPr>
            <w:rFonts w:ascii="arial" w:eastAsia="arial" w:hAnsi="arial" w:cs="arial"/>
            <w:i/>
            <w:color w:val="0077CC"/>
            <w:sz w:val="20"/>
            <w:u w:val="single"/>
            <w:shd w:val="clear" w:color="auto" w:fill="FFFFFF"/>
            <w:lang w:val="en-US" w:eastAsia="en-US" w:bidi="ar-SA"/>
          </w:rPr>
          <w:t>[1987] S.C.C.A. No. 243</w:t>
        </w:r>
      </w:hyperlink>
      <w:r>
        <w:rPr>
          <w:rFonts w:ascii="arial" w:eastAsia="arial" w:hAnsi="arial" w:cs="arial"/>
          <w:color w:val="000000"/>
          <w:sz w:val="20"/>
          <w:lang w:val="en-US" w:eastAsia="en-US" w:bidi="ar-SA"/>
        </w:rPr>
        <w:t xml:space="preserve">, it has been clear that issues arising with respect to the duty of fair representation are within the exclusive jurisdiction of the Labour Relations Board and are not divisible between labour boards and courts. In reaching that conclusion, Mr. Justice Seaton, for the court, referred to Fisher, supra, and said that case "established the union's duty, called a duty of fair representation, breach of which would be actionable. There was no additional common law duty" (p. 336). He also referred to Merchant Service Guild v. Gagnon, </w:t>
      </w:r>
      <w:hyperlink r:id="rId321" w:history="1">
        <w:r>
          <w:rPr>
            <w:rFonts w:ascii="arial" w:eastAsia="arial" w:hAnsi="arial" w:cs="arial"/>
            <w:i/>
            <w:color w:val="0077CC"/>
            <w:sz w:val="20"/>
            <w:u w:val="single"/>
            <w:shd w:val="clear" w:color="auto" w:fill="FFFFFF"/>
            <w:lang w:val="en-US" w:eastAsia="en-US" w:bidi="ar-SA"/>
          </w:rPr>
          <w:t>[1984] 1 S.C.R. 509</w:t>
        </w:r>
      </w:hyperlink>
      <w:r>
        <w:rPr>
          <w:rFonts w:ascii="arial" w:eastAsia="arial" w:hAnsi="arial" w:cs="arial"/>
          <w:color w:val="000000"/>
          <w:sz w:val="20"/>
          <w:lang w:val="en-US" w:eastAsia="en-US" w:bidi="ar-SA"/>
        </w:rPr>
        <w:t>, which had recognized a common law duty of fair representation, where the applicable labour legislation had not codified the duty, stating, at pp. 336-7: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there was formerly a doubt about whether there was a duty in addition to the duty of fair representation developed in the cases and incorporated in the Labour Code, that doubt cannot survive Gagnon.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Gagnon cannot be interpreted to permit two types of negligent representation, one to be heard by labour tribunals and the other by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Daniels v. British Columbia Government Employees' Union, </w:t>
      </w:r>
      <w:hyperlink r:id="rId322" w:history="1">
        <w:r>
          <w:rPr>
            <w:rFonts w:ascii="arial" w:eastAsia="arial" w:hAnsi="arial" w:cs="arial"/>
            <w:i/>
            <w:color w:val="0077CC"/>
            <w:sz w:val="20"/>
            <w:u w:val="single"/>
            <w:shd w:val="clear" w:color="auto" w:fill="FFFFFF"/>
            <w:lang w:val="en-US" w:eastAsia="en-US" w:bidi="ar-SA"/>
          </w:rPr>
          <w:t>[1995] B.C.J. No. 2777</w:t>
        </w:r>
      </w:hyperlink>
      <w:r>
        <w:rPr>
          <w:rFonts w:ascii="arial" w:eastAsia="arial" w:hAnsi="arial" w:cs="arial"/>
          <w:color w:val="000000"/>
          <w:sz w:val="20"/>
          <w:lang w:val="en-US" w:eastAsia="en-US" w:bidi="ar-SA"/>
        </w:rPr>
        <w:t xml:space="preserve"> (S.C.), the plaintiff sued his union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for negligent misrepresentation. The facts were set out by Saunders, J. (as she then was)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Daniels was charged with a criminal offence and suspended from employment without pay. At his trial he was acquitted. The Union then entered negotiations with the employer, seeking compensation for Mr. Daniels' legal fees, reimbursement for last wages, payment of counselling expenses and severance pay.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employer made an offer of settlement...The offer lapsed...without having been presented to Mr. Daniels.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union took the position that the plaintiff's claims were within the exclusive jurisdiction of the Labour Relations Board. The plaintiff said his complaint did not concern the duty of fair representation, as it arose from actions of the union fell outside of labour relations, prior to the commencement of the grievance procedure. Relying on Mulherin, Saunders J. concluded: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agree that this court is without jurisdiction to hear this action; the legislature has defined the duty owed by a trade union to its members and has assigned disputes over performance of this duty to the Labour Relations Board of British Columbia. Although this action is framed as one based upon negotiations outside of the grievance process, the negotiations concerned compensation to Mr. Daniels and the terms of his severance. These are issues that arose only because he was or had been employed by the provincial government. In that employment relationship, including its termination and any entitlements arising from it, he was represented by the Union. The Union, in turn, was required to meet the standard set out in s. 12 of the Code.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leading authority in British Columbia confirming these principles is Mulherin...In this decision Mr. Justice Seaton noted that the case of Fisher...established that </w:t>
            </w:r>
            <w:r>
              <w:rPr>
                <w:rFonts w:ascii="arial" w:eastAsia="arial" w:hAnsi="arial" w:cs="arial"/>
                <w:color w:val="000000"/>
                <w:sz w:val="18"/>
                <w:u w:val="single"/>
                <w:lang w:val="en-US" w:eastAsia="en-US" w:bidi="ar-SA"/>
              </w:rPr>
              <w:t>the sole common law duty of a trade union to its members was a duty of fair representation</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my view the essential character of the dispute does arise under the Labour Relations Code. The underlying dispute between employee and employer was within the Union's proper realm of representation under the legislative scheme; the issues the Union was discussing with Mr. Daniel's employer were not issues upon which Mr. Daniels could have sued his employer...Adjudication upon the performance of the Union's duties is assigned exclusively to the Labour Relations Board under s. 139.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issue of a union member suing his union was considered in Ancheta v. Joe, </w:t>
      </w:r>
      <w:hyperlink r:id="rId323" w:history="1">
        <w:r>
          <w:rPr>
            <w:rFonts w:ascii="arial" w:eastAsia="arial" w:hAnsi="arial" w:cs="arial"/>
            <w:i/>
            <w:color w:val="0077CC"/>
            <w:sz w:val="20"/>
            <w:u w:val="single"/>
            <w:shd w:val="clear" w:color="auto" w:fill="FFFFFF"/>
            <w:lang w:val="en-US" w:eastAsia="en-US" w:bidi="ar-SA"/>
          </w:rPr>
          <w:t>[2003] B.C.J. No. 112</w:t>
        </w:r>
      </w:hyperlink>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2003 BCSC 93</w:t>
        </w:r>
      </w:hyperlink>
      <w:r>
        <w:rPr>
          <w:rFonts w:ascii="arial" w:eastAsia="arial" w:hAnsi="arial" w:cs="arial"/>
          <w:color w:val="000000"/>
          <w:sz w:val="20"/>
          <w:lang w:val="en-US" w:eastAsia="en-US" w:bidi="ar-SA"/>
        </w:rPr>
        <w:t>. The plaintiff in that case sued his former employer, his former union, its president and various former co-workers, alleging such things as malicious prosecution, defamation, false imprisonment, conspiracy and breach of fiduciary duty. As against the union, the plaintiff also claimed breach of trust and conspiracy to injure. The union asserted that the essential character of the dispute related to the plaintiff's workplace conduct, and investigation of it, and that all of claims, while not common in a labour dispute, fell within the purview of the collective agreement and were within the exclusive jurisdiction of the Labour Relations Board. The plaintiff's response was that an arbitrator could not provide an effective remedy for some of his claims and that the defendants' acts were committed outside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the issue of jurisdiction, Sigurdson J.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[56]</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Weber v. Ontario Hydro sets out the principles to be applied in determining whether the court has jurisdiction over a particular workplace or labour relations dispute.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[57]</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jurisdiction of courts in labour matters and the effect of the decision in Weber was recently summarized by Levine J.A. in Haight-Smith v. Neden </w:t>
            </w:r>
            <w:hyperlink r:id="rId324" w:history="1">
              <w:r>
                <w:rPr>
                  <w:rFonts w:ascii="arial" w:eastAsia="arial" w:hAnsi="arial" w:cs="arial"/>
                  <w:i/>
                  <w:color w:val="0077CC"/>
                  <w:sz w:val="18"/>
                  <w:u w:val="single"/>
                  <w:shd w:val="clear" w:color="auto" w:fill="FFFFFF"/>
                  <w:lang w:val="en-US" w:eastAsia="en-US" w:bidi="ar-SA"/>
                </w:rPr>
                <w:t>(2002), 98 B.C.L.R. (3d) 260</w:t>
              </w:r>
            </w:hyperlink>
            <w:r>
              <w:rPr>
                <w:rFonts w:ascii="arial" w:eastAsia="arial" w:hAnsi="arial" w:cs="arial"/>
                <w:color w:val="000000"/>
                <w:sz w:val="18"/>
                <w:lang w:val="en-US" w:eastAsia="en-US" w:bidi="ar-SA"/>
              </w:rPr>
              <w:t xml:space="preserve"> (C.A.), </w:t>
            </w:r>
            <w:hyperlink r:id="rId324" w:history="1">
              <w:r>
                <w:rPr>
                  <w:rFonts w:ascii="arial" w:eastAsia="arial" w:hAnsi="arial" w:cs="arial"/>
                  <w:i/>
                  <w:color w:val="0077CC"/>
                  <w:sz w:val="18"/>
                  <w:u w:val="single"/>
                  <w:shd w:val="clear" w:color="auto" w:fill="FFFFFF"/>
                  <w:lang w:val="en-US" w:eastAsia="en-US" w:bidi="ar-SA"/>
                </w:rPr>
                <w:t>2002 BCCA 132</w:t>
              </w:r>
            </w:hyperlink>
            <w:r>
              <w:rPr>
                <w:rFonts w:ascii="arial" w:eastAsia="arial" w:hAnsi="arial" w:cs="arial"/>
                <w:color w:val="000000"/>
                <w:sz w:val="18"/>
                <w:lang w:val="en-US" w:eastAsia="en-US" w:bidi="ar-SA"/>
              </w:rPr>
              <w:t xml:space="preserve"> (leave to appeal to S.C.C. denied </w:t>
            </w:r>
            <w:hyperlink r:id="rId325" w:history="1">
              <w:r>
                <w:rPr>
                  <w:rFonts w:ascii="arial" w:eastAsia="arial" w:hAnsi="arial" w:cs="arial"/>
                  <w:i/>
                  <w:color w:val="0077CC"/>
                  <w:sz w:val="18"/>
                  <w:u w:val="single"/>
                  <w:shd w:val="clear" w:color="auto" w:fill="FFFFFF"/>
                  <w:lang w:val="en-US" w:eastAsia="en-US" w:bidi="ar-SA"/>
                </w:rPr>
                <w:t>[2002] S.C.C.A. No. 176</w:t>
              </w:r>
            </w:hyperlink>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Levine J.A. said, at paras. 28-30:</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Supreme Court of Canada in Weber v. Ontario Hydro, </w:t>
      </w:r>
      <w:hyperlink r:id="rId326" w:history="1">
        <w:r>
          <w:rPr>
            <w:rFonts w:ascii="arial" w:eastAsia="arial" w:hAnsi="arial" w:cs="arial"/>
            <w:i/>
            <w:color w:val="0077CC"/>
            <w:sz w:val="20"/>
            <w:u w:val="single"/>
            <w:shd w:val="clear" w:color="auto" w:fill="FFFFFF"/>
            <w:lang w:val="en-US" w:eastAsia="en-US" w:bidi="ar-SA"/>
          </w:rPr>
          <w:t>[1995] 2 S.C.R. 929</w:t>
        </w:r>
      </w:hyperlink>
      <w:r>
        <w:rPr>
          <w:rFonts w:ascii="arial" w:eastAsia="arial" w:hAnsi="arial" w:cs="arial"/>
          <w:color w:val="000000"/>
          <w:sz w:val="20"/>
          <w:lang w:val="en-US" w:eastAsia="en-US" w:bidi="ar-SA"/>
        </w:rPr>
        <w:t xml:space="preserve">, decided that if the "essential character" of a dispute arises from the interpretation, application, administration or violation of the collective agreement, then the dispute must be dealt with by the dispute resolution process provided in the collective agreement and labour relations statutes and not by litigation in the courts. The "exclusive jurisdiction" approach to labour disputes was affirmed in Regina Police Assn. Inc. v. Regina (City) Board of Police Commissioners, </w:t>
      </w:r>
      <w:hyperlink r:id="rId327" w:history="1">
        <w:r>
          <w:rPr>
            <w:rFonts w:ascii="arial" w:eastAsia="arial" w:hAnsi="arial" w:cs="arial"/>
            <w:i/>
            <w:color w:val="0077CC"/>
            <w:sz w:val="20"/>
            <w:u w:val="single"/>
            <w:shd w:val="clear" w:color="auto" w:fill="FFFFFF"/>
            <w:lang w:val="en-US" w:eastAsia="en-US" w:bidi="ar-SA"/>
          </w:rPr>
          <w:t>[2000] 1 S.C.R. 360</w:t>
        </w:r>
      </w:hyperlink>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 both of these cases, the Supreme Court made it clear that to determine whether a dispute arises out of a collective agreement, two elements must be considered: the nature of the dispute and the ambit of the collective agreement (Weber at para. 51; Regina Police at para. 25). The legal characterization of the dispute (as a claim in tort, for example) is not determinative of jurisdiction. If the dispute arises under the collective agreement, the jurisdiction to resolve it lies exclusively with the labour tribunal and the courts cannot try it (Weber at para. 43).</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courts retain jurisdiction, however, over disputes which do not expressly or inferentially arise out of the collective agreement (Weber at para. 54) and where a remedy is required that an arbitrator is not empowered to grant, in order to avoid a "real deprivation of ultimate remedy" (Weber at para. 57, citing Estey J. in St. Anne-Nackawic Pulp &amp; Paper Co. v. C.P.U., Local 219, </w:t>
      </w:r>
      <w:hyperlink r:id="rId328" w:history="1">
        <w:r>
          <w:rPr>
            <w:rFonts w:ascii="arial" w:eastAsia="arial" w:hAnsi="arial" w:cs="arial"/>
            <w:i/>
            <w:color w:val="0077CC"/>
            <w:sz w:val="20"/>
            <w:u w:val="single"/>
            <w:shd w:val="clear" w:color="auto" w:fill="FFFFFF"/>
            <w:lang w:val="en-US" w:eastAsia="en-US" w:bidi="ar-SA"/>
          </w:rPr>
          <w:t>[1986] 1 S.C.R. 704</w:t>
        </w:r>
      </w:hyperlink>
      <w:r>
        <w:rPr>
          <w:rFonts w:ascii="arial" w:eastAsia="arial" w:hAnsi="arial" w:cs="arial"/>
          <w:color w:val="000000"/>
          <w:sz w:val="20"/>
          <w:lang w:val="en-US" w:eastAsia="en-US" w:bidi="ar-SA"/>
        </w:rPr>
        <w:t xml:space="preserve"> at p. 723).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[59]</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Weber, McLachlin J.A. discussed the concept of the essential character of the dispute at para. 52: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considering the dispute, the decision-maker must attempt to define its "essential character", to use the phrase of La Forest J.A. in Energy &amp; Chemical Workers Union, Local 691 v. Irving Oil Ltd. </w:t>
      </w:r>
      <w:hyperlink r:id="rId329" w:history="1">
        <w:r>
          <w:rPr>
            <w:rFonts w:ascii="arial" w:eastAsia="arial" w:hAnsi="arial" w:cs="arial"/>
            <w:i/>
            <w:color w:val="0077CC"/>
            <w:sz w:val="20"/>
            <w:u w:val="single"/>
            <w:shd w:val="clear" w:color="auto" w:fill="FFFFFF"/>
            <w:lang w:val="en-US" w:eastAsia="en-US" w:bidi="ar-SA"/>
          </w:rPr>
          <w:t>(1983), 148 D.L.R. (3d) 398</w:t>
        </w:r>
      </w:hyperlink>
      <w:r>
        <w:rPr>
          <w:rFonts w:ascii="arial" w:eastAsia="arial" w:hAnsi="arial" w:cs="arial"/>
          <w:color w:val="000000"/>
          <w:sz w:val="20"/>
          <w:lang w:val="en-US" w:eastAsia="en-US" w:bidi="ar-SA"/>
        </w:rPr>
        <w:t xml:space="preserve"> (N.B.C.A.). The fact that the parties are employer and employee may not be determinative. Similarly, the place of the conduct giving rise to the dispute may not be conclusive; matters arising from the collective agreement may occur off the workplace and conversely, not everything that happens on the workplace may arise from the collective agreement...The question in each case is whether the dispute, in its essential character, arises from the interpretation, application, administration or violation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Weber indicates that this approach does not preclude all actions by employees against employers, only those which expressly or inferentially arise out of the collective agreement.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authorities indicate that it is the nature of the dispute in its essential character that is critical, not the manner in which it may be described in the particular language of the statement of claim. As Levine J.A. noted in Haight-Smith at para. 33: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All of the authorities make it clear that the principles enunciated in Weber must be applied analytically to the particular facts of the case before the court. It is that factual analysis which gives rise to apparently conflicting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only are the particular factual circumstances critical and must be analyzed, but the terms of the collective agreement and the relevant labour legislation are of importance. The authorities, however, indicate that in attempting to determine the essential character of the dispute, particular difficulty has arisen in connection with certain causes of action, particularly those of malicious prosecution and defamation.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With respect to the plaintiff's claims against the union, Sigurdson J. concluded: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
        <w:gridCol w:w="730"/>
        <w:gridCol w:w="240"/>
        <w:gridCol w:w="8026"/>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[107]</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Although Mr. Ancheta's statement of claim in connection with the union and its president includes phrases such as "breach of fiduciary duty" and "bad faith", "conduct unbecoming the union representative", "failing to inform the plaintiff what was taking place at the workplace during the investigation" and "breach of trust", I think that the essential character of Mr. Ancheta's claims amounts to an allegation that the union (and the president) breached the duty of fair representation described in s. 12 of the Labour Relations Code. Although the statement of claim speaks of conspiracy, I think that the essential character of these allegations is nevertheless a failure of the union to discharge its obligation to represent its members. To call it also a conspiracy is an attempt to disguise the essential character of the dispute with the union.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[108]</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Ancheta made a complaint to the Labour Relations Board which was dismissed and his appeal was also dismissed. Although some of the points that he raises in the action were not, it appears, made in his complaint, they could have been made.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[109]</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Saunders J. held in Daniels, I conclude "that the essential character of the dispute does arise under the Labour Relations Code". The plaintiff had an effective remedy of which he was not deprived in connection with the claims he now is advancing against the union. The dispute with the union is in connection with its alleged inadequate representation of the plaintiff in a workplace-related dispute that arises under the collective agreement. This court has no jurisdiction.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urge me to conclude that the essential character of the dispute in this case is not something which can be said to arise under the collective agreement and, therefore, is not something which falls within the exclusive jurisdiction of the Labour Relations Board. The foundation for all of the claims is the share gifting program. The agreement which created that program was negotiated by the employer and third parties, without the involvement of the Union, and was outside of the collective agreement. As the business representative of the Union, Stan Pickthall, says in his affidavit filed in support of the Union's application, "The Collective Agreement does not include any term entitling employees to acquire shares in the Employer corporation. The shares in issue were offered directly to Plaintiffs..." However, it must be remembered that the plaintiffs claim that they were entitled to shares because they were employees of Western Star. The claimed entitlement is, as submitted by the Union, inextricably linked to the employment relationship. It was, in its essential character, a form of compensation. The Union's role within the employment relationship was to represent the plaintiffs and other members. It was required fulfill its role in accordance with s. 12 of the LRC. I am satisfied that the essential character of the claims the plaintiffs make against the Union is a breach of the duty of fair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Given that conclusion, it is unnecessary to consider whether or not there is, in British Columbia, any duty owed by a union to its members, beyond the statutory duty of fair representation. Accordingly, the plaintiffs' claims against the union must be dismissed, as this court is without jurisdiction to hear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BEAMES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8" style="position:absolute;z-index:2517729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36" w:history="1">
        <w:r>
          <w:rPr>
            <w:rFonts w:ascii="arial" w:eastAsia="arial" w:hAnsi="arial" w:cs="arial"/>
            <w:b/>
            <w:bCs/>
            <w:i/>
            <w:color w:val="0077CC"/>
            <w:kern w:val="32"/>
            <w:sz w:val="28"/>
            <w:szCs w:val="32"/>
            <w:u w:val="single"/>
            <w:shd w:val="clear" w:color="auto" w:fill="FFFFFF"/>
            <w:lang w:val="en-US" w:eastAsia="en-US" w:bidi="ar-SA"/>
          </w:rPr>
          <w:t>Beauchesne v. W.J. Stelmaschuk and Associates Ltd., [2015] B.C.J. No. 1134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Cranbrook,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S. Harper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April 28,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S21883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Cranbrook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1134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921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Darquise Beauchesne, Plaintiff, and W.J. Stelmaschuk and Associates Ltd., B.B., an infant, by his litigation guardian yet to be appointed, E.K., an infant, by his litigation guardian yet to be appointed and Her Majesty the Queen in Right of the Province of British Columbia, Defendants, and W.J. Stelmaschuk and Associates Ltd., B.B., an infant, by his litigation guardian yet to be appointed, E.K., an infant, by his litigation guardian yet to be appointed,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(37 paras.)</w:t>
      </w:r>
    </w:p>
    <w:p>
      <w:pPr>
        <w:jc w:val="both"/>
        <w:rPr>
          <w:rFonts w:ascii="arial" w:eastAsia="arial" w:hAnsi="arial" w:cs="arial"/>
          <w:sz w:val="20"/>
          <w:lang w:val="en-US" w:eastAsia="en-US" w:bidi="ar-SA"/>
        </w:rPr>
      </w:pPr>
      <w:bookmarkStart w:id="64" w:name="Counsel_12"/>
      <w:bookmarkEnd w:id="6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9"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R.G. Buddenhagen.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W.J. Stelmaschuk and Associates Ltd. appearing by teleconference: M.M. Skorah,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Her Majesty The Queen in Right of the Province of British Columbia: A.H. Dalmyn.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5" w:name="Judgment_12"/>
      <w:bookmarkEnd w:id="65"/>
      <w:r>
        <w:pict>
          <v:line id="_x0000_s1080" style="position:absolute;z-index:2517237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3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6" w:name="MASTER S. HARPER (orally)"/>
            <w:bookmarkEnd w:id="66"/>
            <w:r>
              <w:rPr>
                <w:rFonts w:ascii="arial" w:eastAsia="arial" w:hAnsi="arial" w:cs="arial"/>
                <w:b/>
                <w:color w:val="000000"/>
                <w:sz w:val="30"/>
                <w:lang w:val="en-US" w:eastAsia="en-US" w:bidi="ar-SA"/>
              </w:rPr>
              <w:t>MASTER S. HARPER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 Her Majesty The Queen in Right of the Province of British Columbia, whom I will refer to in these reasons as HMTQ, applies for an order striking paragraph 21 of Part 1 and paragraph 2 of Part 3 of the notice of civil claim filed by the plaintiff in this matter as disclosing no reasonable claim under Rule 9-5(1)(a)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reserve the right to edit these reasons if a transcript of my reasons is required, but the result will be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application is also brought on the ground that the claim is frivolous. I have not found it necessary to consider the application under that ground, as I am satisfied that the application can be decided solely under Rule 9-5(1)(a).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an application under Rule 9-5(1)(a), no evidence is admissible. Therefore, I look only at the amended notice of civil claim. The facts are assumed to be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facts, as asserted by the plaintiff, are that she was an employee of one of the defendants, against whom the action has now been discontinued, W.J. Stelmaschuk and Associates Ltd. ("Stelmaschuk"). Stelmaschuk operated a group home in Cranbrook, British Columbia, and the plaintiff was employed to provide care or some kind of services for the youths who were residing in that group home. Stelmaschuk operated the home under an agreement with the Ministry for Children and Family Development, who is represented in these proceedings by HMTQ.</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Unfortunately, during the course of her employment, the plaintiff was attacked by two youths who resided in the group home and one of them slashed her with a knife, causing injury. As a result of those injuries, the plaintiff has sued the two youths, Stelmaschuk, and HMTQ. Because the plaintiff was a worker employed by Stelmaschuk, the claim against Stelmaschuk is barred by the operation of s. 10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 and therefore the claim has been discontinued against Stelmaschuk. (Stelmaschuk participated in this application by virtue of being named as a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did not amend her notice of civil claim to reflect any changes in the nature of her claim as a result of the discontinuance against Stelmaschuk.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amended notice of civil claim sets out the facts of the assault and, leaving aside the claims against Stelmaschuk, which of course are irrelevant now because the claim is discontinued, seeks judgment against the two youths.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only reference to a claim against HMTQ is at paragraph 22 of the amended notice of civil claim which states:</w:t>
      </w:r>
      <w:r>
        <w:rPr>
          <w:rFonts w:ascii="arial" w:eastAsia="arial" w:hAnsi="arial" w:cs="arial"/>
          <w:sz w:val="20"/>
          <w:lang w:val="en-US" w:eastAsia="en-US" w:bidi="ar-SA"/>
        </w:rPr>
        <w:cr/>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Her Majesty The Queen is vicariously liable for the torts of its wards and the plaintiff pleads the principle of </w:t>
      </w:r>
      <w:r>
        <w:rPr>
          <w:rFonts w:ascii="arial" w:eastAsia="arial" w:hAnsi="arial" w:cs="arial"/>
          <w:i/>
          <w:color w:val="000000"/>
          <w:sz w:val="20"/>
          <w:lang w:val="en-US" w:eastAsia="en-US" w:bidi="ar-SA"/>
        </w:rPr>
        <w:t>respondeat superior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Further, at paragraph 2 under Part 3 of the legal basis, the assertion is repeated as follows: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Her Majesty is liable because the tortfeasors were wards of the province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Clearly the claim as pleaded is for vicarious liability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HMTQ takes the position that the claim has no chance of success, and therefore the claim should be struck. The plaintiff argues that Crown liability is an evolving area and that it is not plain and obvious that the claim will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 turn now to a discussion of the law, and I start with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[2011] 3 S.C.R. 45</w:t>
        </w:r>
      </w:hyperlink>
      <w:r>
        <w:rPr>
          <w:rFonts w:ascii="arial" w:eastAsia="arial" w:hAnsi="arial" w:cs="arial"/>
          <w:color w:val="000000"/>
          <w:sz w:val="20"/>
          <w:lang w:val="en-US" w:eastAsia="en-US" w:bidi="ar-SA"/>
        </w:rPr>
        <w:t>. In that decision, the Supreme Court of Canada dealt with applications to strike. The overview is very instructive, and therefore I will quote extensively from the decision, starting with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 power to strike out claims that have no reasonable prospect of success is a valuable housekeeping measure essential to effective and fair litigation. It unclutters the proceedings, weeding out the hopeless claims and ensuring that those that have some chance of success go on to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This promotes two goods - efficiency in the conduct of the litigation and correct results. Striking out claims that have no reasonable prospect of success promotes litigation efficiency, reducing time and cost. The litigants can focus on serious claims, without devoting days and sometimes weeks of evidence and argument to claims that are in any event hopeless. The same applies to judges and juries, whose attention is focused where it should be - on claims that have a reasonable chance of success. The efficiency gained by weeding out unmeritorious claims in turn contributes to better justice. The more the evidence and arguments are trained on the real issues, the more likely it is that the trial process will successfully come to grips with the parties' respective positions on those issues and the merits of the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Valuable as it is, the motion to strike is a tool that must be used with care. The law is not static and unchanging. Actions that yesterday were deemed hopeless may tomorrow succeed. Before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xml:space="preserve">, [1932] A.C. 562 (H.L.) introduced a general duty of care to one's neighbour premised on foreseeability, few would have predicted that, absent a contractual relationship, a bottling company could be held liable for physical injury and emotional trauma resulting from a snail in a bottle of ginger beer. Before </w:t>
      </w:r>
      <w:r>
        <w:rPr>
          <w:rFonts w:ascii="arial" w:eastAsia="arial" w:hAnsi="arial" w:cs="arial"/>
          <w:i/>
          <w:color w:val="000000"/>
          <w:sz w:val="20"/>
          <w:lang w:val="en-US" w:eastAsia="en-US" w:bidi="ar-SA"/>
        </w:rPr>
        <w:t>Hedley Byrne &amp; Co. v. Heller &amp; Partners, Ltd.,</w:t>
      </w:r>
      <w:r>
        <w:rPr>
          <w:rFonts w:ascii="arial" w:eastAsia="arial" w:hAnsi="arial" w:cs="arial"/>
          <w:color w:val="000000"/>
          <w:sz w:val="20"/>
          <w:lang w:val="en-US" w:eastAsia="en-US" w:bidi="ar-SA"/>
        </w:rPr>
        <w:t xml:space="preserve"> [1963] 2 All E.R. 575 (H.L.), a tort action for negligent misstatement would have been regarded as incapable of success. The history of our law reveals that often new developments in the law first surface on motions to strike or similar preliminary motions, like the one at issue in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Therefore, on a motion to strike, it is not determinative that the law has not yet recognized the particular claim. The court must rather ask whether, assuming the facts pleaded are true, there is a reasonable prospect that the claim will succeed. The approach must be generous and err on the side of permitting a novel but arguable claim to proceed to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A motion to strike for failure to disclose a reasonable cause of action proceeds on the basis that the facts pleaded are true, unless they are manifestly incapable of being proven: </w:t>
      </w:r>
      <w:r>
        <w:rPr>
          <w:rFonts w:ascii="arial" w:eastAsia="arial" w:hAnsi="arial" w:cs="arial"/>
          <w:i/>
          <w:color w:val="000000"/>
          <w:sz w:val="20"/>
          <w:lang w:val="en-US" w:eastAsia="en-US" w:bidi="ar-SA"/>
        </w:rPr>
        <w:t>Operation Dismantle Inc. v. The Queen</w:t>
      </w:r>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at p. 455. No evidence is admissible on such a motion [and I will not refer to the citation there, but it is the same as our Rule 9-5(2)]. It is incumbent on the claimant to clearly plead the facts upon which it relies in making its claim. A claimant is not entitled to rely on the possibility that new facts may turn up as the case progresses. The claimant may not be in a position to prove the facts pleaded at the time of the motion. It may only hope to be able to prove them. But plead them it must. The facts pleaded are the firm basis upon which the possibility of success of the claim must be evaluated. If they are not pleaded, the exercise cannot be properly conducted.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next case I wish to refer to as a foundation for my decision is </w:t>
      </w:r>
      <w:r>
        <w:rPr>
          <w:rFonts w:ascii="arial" w:eastAsia="arial" w:hAnsi="arial" w:cs="arial"/>
          <w:i/>
          <w:color w:val="000000"/>
          <w:sz w:val="20"/>
          <w:lang w:val="en-US" w:eastAsia="en-US" w:bidi="ar-SA"/>
        </w:rPr>
        <w:t>K.L.B. v. British Columbia</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[2003] 2 S.C.R. 403</w:t>
        </w:r>
      </w:hyperlink>
      <w:r>
        <w:rPr>
          <w:rFonts w:ascii="arial" w:eastAsia="arial" w:hAnsi="arial" w:cs="arial"/>
          <w:color w:val="000000"/>
          <w:sz w:val="20"/>
          <w:lang w:val="en-US" w:eastAsia="en-US" w:bidi="ar-SA"/>
        </w:rPr>
        <w:t>, and I quote from paras. 18 and 19. This is the section of the judgment entitled, "Vicarious Liability of the Government for the Torts of Foster Parents":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Direct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requires tortious conduct by the person held liable, in this case, the government. The doctrine of vicarious liability, by contrast, does not require tortious conduct by the person held liable. Rather, liability is imposed on the theory that the person may properly be held responsible where the risks inherent in his or her enterprise materialize and cause harm, provided that liability is both fair and useful: </w:t>
      </w:r>
      <w:r>
        <w:rPr>
          <w:rFonts w:ascii="arial" w:eastAsia="arial" w:hAnsi="arial" w:cs="arial"/>
          <w:i/>
          <w:color w:val="000000"/>
          <w:sz w:val="20"/>
          <w:lang w:val="en-US" w:eastAsia="en-US" w:bidi="ar-SA"/>
        </w:rPr>
        <w:t>Bazley v. Curry</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[1999] 2 S.C.R. 534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Jacobi v. Griffiths</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[1999] 2 S.C.R. 570</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To make out a successful claim for vicarious liability, plaintiffs must demonstrate at least two things. First, they must show that the relationship between the tortfeasor and the person against whom liability is sought is sufficiently close as to make a claim for vicarious liability appropriate. ... Second, plaintiffs must demonstrate that the tort is sufficiently connected to the tortfeasor's assigned tasks that the tort can be regarded as a materialization of the risks created by the enterprise. This was the issue in </w:t>
      </w:r>
      <w:r>
        <w:rPr>
          <w:rFonts w:ascii="arial" w:eastAsia="arial" w:hAnsi="arial" w:cs="arial"/>
          <w:i/>
          <w:color w:val="000000"/>
          <w:sz w:val="20"/>
          <w:lang w:val="en-US" w:eastAsia="en-US" w:bidi="ar-SA"/>
        </w:rPr>
        <w:t>Bazley,</w:t>
      </w:r>
      <w:r>
        <w:rPr>
          <w:rFonts w:ascii="arial" w:eastAsia="arial" w:hAnsi="arial" w:cs="arial"/>
          <w:color w:val="000000"/>
          <w:sz w:val="20"/>
          <w:lang w:val="en-US" w:eastAsia="en-US" w:bidi="ar-SA"/>
        </w:rPr>
        <w:t xml:space="preserve"> supra, which concerned whether sexual assaults on children by employees of a residential care institution were sufficiently closely connected to the enterprise to justify imposing vicarious liability.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my view, if there is no vicarious liability on the part of a foster parent for a tort committed by a child, as in </w:t>
      </w:r>
      <w:r>
        <w:rPr>
          <w:rFonts w:ascii="arial" w:eastAsia="arial" w:hAnsi="arial" w:cs="arial"/>
          <w:i/>
          <w:color w:val="000000"/>
          <w:sz w:val="20"/>
          <w:lang w:val="en-US" w:eastAsia="en-US" w:bidi="ar-SA"/>
        </w:rPr>
        <w:t>K.L.B.</w:t>
      </w:r>
      <w:r>
        <w:rPr>
          <w:rFonts w:ascii="arial" w:eastAsia="arial" w:hAnsi="arial" w:cs="arial"/>
          <w:color w:val="000000"/>
          <w:sz w:val="20"/>
          <w:lang w:val="en-US" w:eastAsia="en-US" w:bidi="ar-SA"/>
        </w:rPr>
        <w:t>, then HMTQ, being a statutory parent, cannot be held vicariously liable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Here there is no claim in direct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HMTQ. Even if there were, counsel for HMTQ says that claim would be barred by the operation of s. 10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and that procedure would play itself out through a hearing before the Workers' Compensation Appeal Tribunal. In any event, none of those facts are before me, since that is not the claim that is being pleaded. And I repeat for emphasis that I am making this decision solely on the pleadings that are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plaintiff cites </w:t>
      </w:r>
      <w:r>
        <w:rPr>
          <w:rFonts w:ascii="arial" w:eastAsia="arial" w:hAnsi="arial" w:cs="arial"/>
          <w:i/>
          <w:color w:val="000000"/>
          <w:sz w:val="20"/>
          <w:lang w:val="en-US" w:eastAsia="en-US" w:bidi="ar-SA"/>
        </w:rPr>
        <w:t>Bazley v. Curry</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[1999] 2 S.C.R. 534</w:t>
        </w:r>
      </w:hyperlink>
      <w:r>
        <w:rPr>
          <w:rFonts w:ascii="arial" w:eastAsia="arial" w:hAnsi="arial" w:cs="arial"/>
          <w:color w:val="000000"/>
          <w:sz w:val="20"/>
          <w:lang w:val="en-US" w:eastAsia="en-US" w:bidi="ar-SA"/>
        </w:rPr>
        <w:t xml:space="preserve"> which I have already referred to in the quotation from </w:t>
      </w:r>
      <w:r>
        <w:rPr>
          <w:rFonts w:ascii="arial" w:eastAsia="arial" w:hAnsi="arial" w:cs="arial"/>
          <w:i/>
          <w:color w:val="000000"/>
          <w:sz w:val="20"/>
          <w:lang w:val="en-US" w:eastAsia="en-US" w:bidi="ar-SA"/>
        </w:rPr>
        <w:t>K.L.B</w:t>
      </w:r>
      <w:r>
        <w:rPr>
          <w:rFonts w:ascii="arial" w:eastAsia="arial" w:hAnsi="arial" w:cs="arial"/>
          <w:color w:val="000000"/>
          <w:sz w:val="20"/>
          <w:lang w:val="en-US" w:eastAsia="en-US" w:bidi="ar-SA"/>
        </w:rPr>
        <w:t xml:space="preserve">. At para. 30 of </w:t>
      </w:r>
      <w:r>
        <w:rPr>
          <w:rFonts w:ascii="arial" w:eastAsia="arial" w:hAnsi="arial" w:cs="arial"/>
          <w:i/>
          <w:color w:val="000000"/>
          <w:sz w:val="20"/>
          <w:lang w:val="en-US" w:eastAsia="en-US" w:bidi="ar-SA"/>
        </w:rPr>
        <w:t>Bazley</w:t>
      </w:r>
      <w:r>
        <w:rPr>
          <w:rFonts w:ascii="arial" w:eastAsia="arial" w:hAnsi="arial" w:cs="arial"/>
          <w:color w:val="000000"/>
          <w:sz w:val="20"/>
          <w:lang w:val="en-US" w:eastAsia="en-US" w:bidi="ar-SA"/>
        </w:rPr>
        <w:t>, the court quotes Fleming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person who employs others to advance his own economic interest should in fairness be placed under a corresponding liability for losses incurred in the course of the enterprise".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Bazley was a resident of a group home and Curry was an employee of the foundation that operated the group home. Curry committed assaults on Bazley. The foundation was held vicariously liable to the plaintiff for the tort committed by its employee. That fact situation is entirely different from the fact situation set out in the amended notice of civil claim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roles of the parties are the reverse of those in </w:t>
      </w:r>
      <w:r>
        <w:rPr>
          <w:rFonts w:ascii="arial" w:eastAsia="arial" w:hAnsi="arial" w:cs="arial"/>
          <w:i/>
          <w:color w:val="000000"/>
          <w:sz w:val="20"/>
          <w:lang w:val="en-US" w:eastAsia="en-US" w:bidi="ar-SA"/>
        </w:rPr>
        <w:t>Bazley.</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Bazley</w:t>
      </w:r>
      <w:r>
        <w:rPr>
          <w:rFonts w:ascii="arial" w:eastAsia="arial" w:hAnsi="arial" w:cs="arial"/>
          <w:color w:val="000000"/>
          <w:sz w:val="20"/>
          <w:lang w:val="en-US" w:eastAsia="en-US" w:bidi="ar-SA"/>
        </w:rPr>
        <w:t>, the victim was the resident and the assailant was the employee, whereas in the present case, the victim was the employee and the assailant was the resident. Vicarious liability attached to Curry's employer because of the employer/employee relationship. Here, the defendants B.B. and E.K. do not have a relationship with HMTQ that would impose vicarious liability on HMTQ for the torts they committed.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plaintiff argues that HMTQ brings a risky enterprise into the community and that in some way liability should attach to HMTQ for the torts committed by the youths in the group home. However, there is no pleading in the notice of civil claim made directly against HMTQ for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other wrongdoing that would found any claim in direct liability. Again, to repeat myself, if there were, s. 10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would be engaged and a process would then be embarked upon to ascertain whether HMTQ would stand in the place of an employer, and therefore the claim against HMTQ would be statute-barred. That procedure is not one that is carried out in the court; rather, it is carried out by the Workers' Compensation Appeal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plaintiff further argues that the application to strike should at least be adjourned until an examination for discovery has been completed. In my view, an examination for discovery will not help the plaintiff's claim and I cite again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where, at para. 22, the court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 It is incumbent on the claimant to clearly plead the facts upon which it relies in making its claim. A claimant is not entitled to rely on the possibility that new facts may turn up as the case progresses.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my view, that quotation is directly applicable to the case before me. I cannot decide this application on a hypothetical further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There is no reasonable claim set out in paragraph 22 of the notice of civil claim and the consequential paragraph under the legal basis of the amended notice of civil claim. This is not a novel claim. The plaintiff was injured at work in circumstances that are squarely caught by the operation of s. 10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There is no legal foundation for liability of HMTQ for the tort committed by the youths on the authority of </w:t>
      </w:r>
      <w:r>
        <w:rPr>
          <w:rFonts w:ascii="arial" w:eastAsia="arial" w:hAnsi="arial" w:cs="arial"/>
          <w:i/>
          <w:color w:val="000000"/>
          <w:sz w:val="20"/>
          <w:lang w:val="en-US" w:eastAsia="en-US" w:bidi="ar-SA"/>
        </w:rPr>
        <w:t>K.L.B.</w:t>
      </w:r>
      <w:r>
        <w:rPr>
          <w:rFonts w:ascii="arial" w:eastAsia="arial" w:hAnsi="arial" w:cs="arial"/>
          <w:color w:val="000000"/>
          <w:sz w:val="20"/>
          <w:lang w:val="en-US" w:eastAsia="en-US" w:bidi="ar-SA"/>
        </w:rPr>
        <w:t xml:space="preserve"> In the twelve years since </w:t>
      </w:r>
      <w:r>
        <w:rPr>
          <w:rFonts w:ascii="arial" w:eastAsia="arial" w:hAnsi="arial" w:cs="arial"/>
          <w:i/>
          <w:color w:val="000000"/>
          <w:sz w:val="20"/>
          <w:lang w:val="en-US" w:eastAsia="en-US" w:bidi="ar-SA"/>
        </w:rPr>
        <w:t>K.L.B</w:t>
      </w:r>
      <w:r>
        <w:rPr>
          <w:rFonts w:ascii="arial" w:eastAsia="arial" w:hAnsi="arial" w:cs="arial"/>
          <w:color w:val="000000"/>
          <w:sz w:val="20"/>
          <w:lang w:val="en-US" w:eastAsia="en-US" w:bidi="ar-SA"/>
        </w:rPr>
        <w:t xml:space="preserve">. was decided, there has been no case that in any way would refute the authority of </w:t>
      </w:r>
      <w:r>
        <w:rPr>
          <w:rFonts w:ascii="arial" w:eastAsia="arial" w:hAnsi="arial" w:cs="arial"/>
          <w:i/>
          <w:color w:val="000000"/>
          <w:sz w:val="20"/>
          <w:lang w:val="en-US" w:eastAsia="en-US" w:bidi="ar-SA"/>
        </w:rPr>
        <w:t>K.L.B.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So in all of the circumstances, the application is granted. I should say that, as harsh as the result might seem, the plaintiff is entitled to a claim under Workers' Compensation, assuming that she made one in time, and for compensation under the Criminal Injuries Compensation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Despite the unfortunate injuries sustained by the plaintiff, there is no reasonable claim set out in paragraph 22 of the amended notice of civil claim and the claim is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will now hear submissions with respect to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[SUBMISSIONS 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COURT: So costs do follow the event. The plaintiff's circumstances are no different from any other litigant's and there are no compelling reasons for me to depart from the usual rule that costs follow the event. Therefore, the plaintiff will pay the costs of this application to HMTQ. Just to clarify for the record, there will be no order for costs in favour of Stelmaschuk.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SKORAH: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COURT: All right, thank you very much everyone.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DALMYN: Your Honour, there are two trailing points to clean up. One, the order is to strike the claim. The application was also to dismiss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COURT: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DALMYN: May I draft it in that fashion? Is that your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COURT: Well, the action is not dismissed, it is only the claim against HMTQ. The two youths are still in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DALMYN: Yes, I should have been more clear, the action against HMTQ is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COURT: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DALMYN: -- is dismissed,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COURT: The action against HMTQ is dismissed, and I meant to deal with the application for the examination for discovery. It is moot and it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S. HARPER</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1" style="position:absolute;z-index:2517739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Blue Mountain Log Sales Ltd. v. Lloyd's Underwriters, [2018] I.L.R. para. I-6010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Walker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October 20,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S177391</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[2018] I.L.R. para. I-6010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[2017] B.C.J. No. 2090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2017 BCSC 1872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Blue Mountain Log Sales Ltd., The Clark Group - Shake Division Inc., and Scott Clark v. Lloyd's Underwriters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2"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7" w:name="Keywords_5"/>
      <w:bookmarkEnd w:id="67"/>
      <w:r>
        <w:rPr>
          <w:rFonts w:ascii="arial" w:eastAsia="arial" w:hAnsi="arial" w:cs="arial"/>
          <w:b/>
          <w:color w:val="000000"/>
          <w:sz w:val="20"/>
          <w:lang w:val="en-US" w:eastAsia="en-US" w:bidi="ar-SA"/>
        </w:rPr>
        <w:t>Commercial general liability insurance — Duty to defend — Advertising liability — Petitioner companies were being sued in Washington for unfair competition — Plaintiffs in underlying action alleged that petitioners misappropriated their trade secrets and made product, representing it as their own to public through advertising — Petitioners were insured under respondent's commercial comprehensive general liability policies — Policies included coverage for "advertising liability" — Petitioners sought declaration that insurer was obliged to defend them — Court found language of policies was clear and unambiguous — Insurer was required to pay petitioners all sums they had to pay as damages because of unfair competition arising out of their advertising activities — Pleadings in underlying action clearly referred to petitioners' misappropriation of trade secrets and their advertising as claim for damages — Language in policy did not state that it limits coverage to causes of action — Where claimant in underlying action alleges it has suffered injury because of insured's advertising activities, causal link required to trigger coverage exists — Allegations respecting advertising activities were central, not coincidental, to claim — Court declared that insurer was obliged to defend petitioners in underlying action — Petition granted.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8" w:name="Case Summary_5"/>
            <w:bookmarkEnd w:id="68"/>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petitioners were two companies incorporated in British Columbia and one of their principals. The petitioners and another entity were being sued in Washington for unfair competition (the "underlying action"). The plaintiffs in the underlying action alleged that the petitioners misappropriated their trade secrets, which involved a secret and proprietary product used to treat roofing wood products. They claimed that the petitioners made their own product, which they represented as their own to the public through advertising and to government regulators, and unfairly earned significant profits from it. The petitioners were insured under two commercial comprehensive general liability policies issued by the respondent insurer. The policies included coverage for "advertising liability." The petitioners sought a declaration that the insurer was obliged to indemnify them for all costs and expenses in the underlying action.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9" w:name="Holdings of Court_4"/>
            <w:bookmarkEnd w:id="69"/>
            <w:r>
              <w:rPr>
                <w:rFonts w:ascii="arial" w:eastAsia="arial" w:hAnsi="arial" w:cs="arial"/>
                <w:color w:val="000000"/>
                <w:sz w:val="20"/>
                <w:lang w:val="en-US" w:eastAsia="en-US" w:bidi="ar-SA"/>
              </w:rPr>
              <w:t>HELD: The petition was granted.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found that the language of the policies was clear and unambiguous. Pursuant to the policies, the insurer was required to pay the petitioners all sums they were required to pay as damages because of,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unfair competition arising out of the petitioners' advertising activities. The pleadings in the underlying action clearly referred to the petitioners' misappropriation of the plaintiffs' trade secrets and to the petitioners' advertising as part of the plaintiffs' claim for damages. The expert witnesses on foreign law agreed that the claim was for unfair competition. The Court concluded that the claim was for unfair competition that involved, in part, the petitioners' use and disclosure of the plaintiffs' trade secrets through their promotion, advertising, and sales of the misappropriated product as their own. The Court rejected the insurer's argument that since advertising itself is not a requisite element of a cause of action for unfair competition as pleaded in the complaint under Washington law, there was no coverage. The language in the insurance policy did not state that it limits coverage to causes of action. The case of </w:t>
            </w:r>
            <w:r>
              <w:rPr>
                <w:rFonts w:ascii="arial" w:eastAsia="arial" w:hAnsi="arial" w:cs="arial"/>
                <w:i/>
                <w:color w:val="000000"/>
                <w:sz w:val="20"/>
                <w:lang w:val="en-US" w:eastAsia="en-US" w:bidi="ar-SA"/>
              </w:rPr>
              <w:t>Grayson v. Wellington Insurance Co.</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[1998] I.L.R. para. I-3516</w:t>
              </w:r>
            </w:hyperlink>
            <w:r>
              <w:rPr>
                <w:rFonts w:ascii="arial" w:eastAsia="arial" w:hAnsi="arial" w:cs="arial"/>
                <w:color w:val="000000"/>
                <w:sz w:val="20"/>
                <w:lang w:val="en-US" w:eastAsia="en-US" w:bidi="ar-SA"/>
              </w:rPr>
              <w:t xml:space="preserve"> (BCCA), remained binding authority, holding that where a claimant in the underlying action alleges it has suffered an injury because of the insured's advertising activities, the causal link required to trigger coverage exists. The allegations in the complaint were sufficiently pleaded to determine the substance and true nature of the plaintiffs' claim. The Court found that the allegations respecting the advertising activities were central, not coincidental, to the claim. The Court declared that the insurer was obligated to defend the petitioners in the underlying action.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0" w:name="Counsel_13"/>
      <w:bookmarkEnd w:id="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3"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R.J. Berrow and J. Michaud for the petitioners; E.A. Dolden and P. Dawson for the respondent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1" w:name="Judgment_13"/>
      <w:bookmarkEnd w:id="71"/>
      <w:r>
        <w:pict>
          <v:line id="_x0000_s1084" style="position:absolute;z-index:2517749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2" w:name="P.W. WALKER J."/>
            <w:bookmarkEnd w:id="72"/>
            <w:r>
              <w:rPr>
                <w:rFonts w:ascii="arial" w:eastAsia="arial" w:hAnsi="arial" w:cs="arial"/>
                <w:b/>
                <w:color w:val="000000"/>
                <w:sz w:val="30"/>
                <w:lang w:val="en-US" w:eastAsia="en-US" w:bidi="ar-SA"/>
              </w:rPr>
              <w:t>P.W. WALKER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petitioners are insureds under two commercial comprehensive general liability ("CGL") policies issued in their favour by the respondent, Lloyd's Underwriters ("Lloyd's"). Each policy contains insuring agreements that provide coverage, in defined circumstances, for an insured's "advertising liability". The petitioners seek a declaration that Lloyd's is obliged to defend them in litigation brought in the Superior Court of Washington State and a declaration that Lloyd's is obliged to indemnify them for all costs and expenses incurred in defending that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petitioners, and another entity, which is not party to the petition (American Treating Company, LLC), are being sued in the Washington Superior Court ("Washington Action") for unfair competition. The petitioners include two companies incorporated in British Columbia plus one of their principals, Scott Clarke. They are referred to in the Washington Action as "the Clarke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in the Washington Action are related companies incorporated in British Columbia who carry on business in Washington State. Three of the four plaintiffs are referred to by various iterations of "Global Building Products". I will refer to all of the plaintiffs collectively as "GBS".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Washington Action, GBS alleges that the defendants engaged in unfair competition. Insofar as the petitioners are concerned, GBS alleges that they misappropriated its trade secrets, which involved its secret and proprietary product used to treat roofing wood products. GBS claims that the petitioners used GBS's formula and manufacturing secrets to make their own product, which they then offered for sale to the public, representing it as their own. In addition, GBS alleges that the petitioners misrepresented to the public (through advertising) and to government regulators that the product they offered for sale was not only their own, but was identical to the product sold by GBS. As a result, GBS assert that through their tortious conduct, the petitioners used GBS's trade secrets to unfairly earn substantial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An insurer's duty to defend its insured arises from its obligation to provide indemnity for covered claims. The duty to defend is not an independent duty but is related to the scope of coverage afforded under a CGL policy issued in favour of an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authorities in Canada are clear: the widest possible latitude is to be given to the scope of coverage afforded in a CGL policy when determining an insurer's duty to defend. It is the pleadings and not the insurer's view of the nature of the claim or its merits that define the duty to defend. This is often referred to as the "pleadings rule": </w:t>
      </w:r>
      <w:r>
        <w:rPr>
          <w:rFonts w:ascii="arial" w:eastAsia="arial" w:hAnsi="arial" w:cs="arial"/>
          <w:i/>
          <w:color w:val="000000"/>
          <w:sz w:val="20"/>
          <w:lang w:val="en-US" w:eastAsia="en-US" w:bidi="ar-SA"/>
        </w:rPr>
        <w:t>Reid-Crowther &amp; Partners Ltd. v. Simcoe &amp; Erie General Insurance Co.</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[1993] 1 S.C.R. 252</w:t>
        </w:r>
      </w:hyperlink>
      <w:r>
        <w:rPr>
          <w:rFonts w:ascii="arial" w:eastAsia="arial" w:hAnsi="arial" w:cs="arial"/>
          <w:color w:val="000000"/>
          <w:sz w:val="20"/>
          <w:lang w:val="en-US" w:eastAsia="en-US" w:bidi="ar-SA"/>
        </w:rPr>
        <w:t xml:space="preserve"> at 269; </w:t>
      </w:r>
      <w:r>
        <w:rPr>
          <w:rFonts w:ascii="arial" w:eastAsia="arial" w:hAnsi="arial" w:cs="arial"/>
          <w:i/>
          <w:color w:val="000000"/>
          <w:sz w:val="20"/>
          <w:lang w:val="en-US" w:eastAsia="en-US" w:bidi="ar-SA"/>
        </w:rPr>
        <w:t>Progressive Homes Ltd. v. Lombard General Insurance Co. of Canada</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2010 SCC 33</w:t>
        </w:r>
      </w:hyperlink>
      <w:r>
        <w:rPr>
          <w:rFonts w:ascii="arial" w:eastAsia="arial" w:hAnsi="arial" w:cs="arial"/>
          <w:color w:val="000000"/>
          <w:sz w:val="20"/>
          <w:lang w:val="en-US" w:eastAsia="en-US" w:bidi="ar-SA"/>
        </w:rPr>
        <w:t xml:space="preserve"> at paras. 21-24; </w:t>
      </w:r>
      <w:r>
        <w:rPr>
          <w:rFonts w:ascii="arial" w:eastAsia="arial" w:hAnsi="arial" w:cs="arial"/>
          <w:i/>
          <w:color w:val="000000"/>
          <w:sz w:val="20"/>
          <w:lang w:val="en-US" w:eastAsia="en-US" w:bidi="ar-SA"/>
        </w:rPr>
        <w:t>Monenco Ltd. v. Commonwealth Insurance Co.</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2001 SCC 49</w:t>
        </w:r>
      </w:hyperlink>
      <w:r>
        <w:rPr>
          <w:rFonts w:ascii="arial" w:eastAsia="arial" w:hAnsi="arial" w:cs="arial"/>
          <w:color w:val="000000"/>
          <w:sz w:val="20"/>
          <w:lang w:val="en-US" w:eastAsia="en-US" w:bidi="ar-SA"/>
        </w:rPr>
        <w:t xml:space="preserve"> at para. 28; </w:t>
      </w:r>
      <w:r>
        <w:rPr>
          <w:rFonts w:ascii="arial" w:eastAsia="arial" w:hAnsi="arial" w:cs="arial"/>
          <w:i/>
          <w:color w:val="000000"/>
          <w:sz w:val="20"/>
          <w:lang w:val="en-US" w:eastAsia="en-US" w:bidi="ar-SA"/>
        </w:rPr>
        <w:t>Non-Marine Underwriters, Lloyd's' of London v. Scalera</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2000 SCC 24</w:t>
        </w:r>
      </w:hyperlink>
      <w:r>
        <w:rPr>
          <w:rFonts w:ascii="arial" w:eastAsia="arial" w:hAnsi="arial" w:cs="arial"/>
          <w:color w:val="000000"/>
          <w:sz w:val="20"/>
          <w:lang w:val="en-US" w:eastAsia="en-US" w:bidi="ar-SA"/>
        </w:rPr>
        <w:t xml:space="preserve"> at paras. 70, 78-84.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duty to defend is broader than an insurer's indemnity obligation. An insurer must defend its insured where there is the "mere possibility" of coverage if the facts, as pleaded, are proven true: </w:t>
      </w:r>
      <w:r>
        <w:rPr>
          <w:rFonts w:ascii="arial" w:eastAsia="arial" w:hAnsi="arial" w:cs="arial"/>
          <w:i/>
          <w:color w:val="000000"/>
          <w:sz w:val="20"/>
          <w:lang w:val="en-US" w:eastAsia="en-US" w:bidi="ar-SA"/>
        </w:rPr>
        <w:t>Nichols v. American Home Assurance Co.</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[1990] 1 S.C.R. 801</w:t>
        </w:r>
      </w:hyperlink>
      <w:r>
        <w:rPr>
          <w:rFonts w:ascii="arial" w:eastAsia="arial" w:hAnsi="arial" w:cs="arial"/>
          <w:color w:val="000000"/>
          <w:sz w:val="20"/>
          <w:lang w:val="en-US" w:eastAsia="en-US" w:bidi="ar-SA"/>
        </w:rPr>
        <w:t xml:space="preserve"> at 810-812; </w:t>
      </w:r>
      <w:r>
        <w:rPr>
          <w:rFonts w:ascii="arial" w:eastAsia="arial" w:hAnsi="arial" w:cs="arial"/>
          <w:i/>
          <w:color w:val="000000"/>
          <w:sz w:val="20"/>
          <w:lang w:val="en-US" w:eastAsia="en-US" w:bidi="ar-SA"/>
        </w:rPr>
        <w:t>Monenco</w:t>
      </w:r>
      <w:r>
        <w:rPr>
          <w:rFonts w:ascii="arial" w:eastAsia="arial" w:hAnsi="arial" w:cs="arial"/>
          <w:color w:val="000000"/>
          <w:sz w:val="20"/>
          <w:lang w:val="en-US" w:eastAsia="en-US" w:bidi="ar-SA"/>
        </w:rPr>
        <w:t xml:space="preserve"> at paras. 28-32;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paras. 75-76, 78; </w:t>
      </w:r>
      <w:r>
        <w:rPr>
          <w:rFonts w:ascii="arial" w:eastAsia="arial" w:hAnsi="arial" w:cs="arial"/>
          <w:i/>
          <w:color w:val="000000"/>
          <w:sz w:val="20"/>
          <w:lang w:val="en-US" w:eastAsia="en-US" w:bidi="ar-SA"/>
        </w:rPr>
        <w:t>Bacon (Guardian ad litem of) v. McBride</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(1984), 6 D.L.R. (4th) 96</w:t>
        </w:r>
      </w:hyperlink>
      <w:r>
        <w:rPr>
          <w:rFonts w:ascii="arial" w:eastAsia="arial" w:hAnsi="arial" w:cs="arial"/>
          <w:color w:val="000000"/>
          <w:sz w:val="20"/>
          <w:lang w:val="en-US" w:eastAsia="en-US" w:bidi="ar-SA"/>
        </w:rPr>
        <w:t xml:space="preserve"> (B.C.S.C.) at 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That is the situation presented to Lloyd's in this case. I agree with the petitioners that Lloyd's is obliged to defend them in the Washington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Factual 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CGL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Lloyd's issued two CGL policies in favour of "The Clarke Group", which is defined in schedules attached to each policy. Lloyd's agrees that the petitioners are insureds under both policies. The first policy, no. 10TL4924, was issued effective February 4, 2011, with an expiry date of February 4, 2012. It was extended to February 21, 2012, and replaced with the second policy, no. 1149V022, issued effective February 21, 2012, and in force for one year, expiring on February 21, 2013. No temporal element has been raised by Lloyd's in respect of the duty to defend the petitioners in the Washington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aggregate policy limits for each policy is $5 million. The sublimit for advertising liability in each is $2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Both policies contain an insuring agreement providing coverage for "advertising liability". The format and structure for each one is different, but Lloyd's agrees that the net effect is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grant of coverage for advertising liability in the first policy is set out in Endorsement No. 10. In it, Lloyd's agreed to provide coverage to the "Insured" (which Lloyd's agrees includes the petitioners) for all sums it becomes legally obligated to pay as damages because of "Advertising Liability" caused by an "Occurrence". The words in quotations are defined terms in the endorsement,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Insuring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Insurer hereby agrees to pay on behalf of the Insured all sums which the Insured becomes legally obligated to pay as damages because of Advertising Liability caused by an Occurrence</w:t>
      </w:r>
      <w:r>
        <w:rPr>
          <w:rFonts w:ascii="arial" w:eastAsia="arial" w:hAnsi="arial" w:cs="arial"/>
          <w:color w:val="000000"/>
          <w:sz w:val="20"/>
          <w:lang w:val="en-US" w:eastAsia="en-US" w:bidi="ar-SA"/>
        </w:rPr>
        <w:t xml:space="preserve"> to which this insurance applies.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DEFINITIONS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Advertising Liability</w:t>
      </w:r>
      <w:r>
        <w:rPr>
          <w:rFonts w:ascii="arial" w:eastAsia="arial" w:hAnsi="arial" w:cs="arial"/>
          <w:color w:val="000000"/>
          <w:sz w:val="20"/>
          <w:lang w:val="en-US" w:eastAsia="en-US" w:bidi="ar-SA"/>
        </w:rPr>
        <w:t xml:space="preserve"> as used in this endorsement </w:t>
      </w:r>
      <w:r>
        <w:rPr>
          <w:rFonts w:ascii="arial" w:eastAsia="arial" w:hAnsi="arial" w:cs="arial"/>
          <w:color w:val="000000"/>
          <w:sz w:val="20"/>
          <w:u w:val="single"/>
          <w:lang w:val="en-US" w:eastAsia="en-US" w:bidi="ar-SA"/>
        </w:rPr>
        <w:t>means:</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Libel, slander or defamation;</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infringement of copyright or of title or of slogan;</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Piracy or </w:t>
      </w:r>
      <w:r>
        <w:rPr>
          <w:rFonts w:ascii="arial" w:eastAsia="arial" w:hAnsi="arial" w:cs="arial"/>
          <w:color w:val="000000"/>
          <w:sz w:val="20"/>
          <w:u w:val="single"/>
          <w:lang w:val="en-US" w:eastAsia="en-US" w:bidi="ar-SA"/>
        </w:rPr>
        <w:t>unfair competition</w:t>
      </w:r>
      <w:r>
        <w:rPr>
          <w:rFonts w:ascii="arial" w:eastAsia="arial" w:hAnsi="arial" w:cs="arial"/>
          <w:color w:val="000000"/>
          <w:sz w:val="20"/>
          <w:lang w:val="en-US" w:eastAsia="en-US" w:bidi="ar-SA"/>
        </w:rPr>
        <w:t xml:space="preserve"> or idea misappropriation under an implied contract;</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invasion of right of privacy;</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Any of the foregoing alleged by any other name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committed or </w:t>
      </w:r>
      <w:r>
        <w:rPr>
          <w:rFonts w:ascii="arial" w:eastAsia="arial" w:hAnsi="arial" w:cs="arial"/>
          <w:color w:val="000000"/>
          <w:sz w:val="20"/>
          <w:u w:val="single"/>
          <w:lang w:val="en-US" w:eastAsia="en-US" w:bidi="ar-SA"/>
        </w:rPr>
        <w:t>alleged to have been committed</w:t>
      </w:r>
      <w:r>
        <w:rPr>
          <w:rFonts w:ascii="arial" w:eastAsia="arial" w:hAnsi="arial" w:cs="arial"/>
          <w:color w:val="000000"/>
          <w:sz w:val="20"/>
          <w:lang w:val="en-US" w:eastAsia="en-US" w:bidi="ar-SA"/>
        </w:rPr>
        <w:t xml:space="preserve"> during the Policy Period </w:t>
      </w:r>
      <w:r>
        <w:rPr>
          <w:rFonts w:ascii="arial" w:eastAsia="arial" w:hAnsi="arial" w:cs="arial"/>
          <w:color w:val="000000"/>
          <w:sz w:val="20"/>
          <w:u w:val="single"/>
          <w:lang w:val="en-US" w:eastAsia="en-US" w:bidi="ar-SA"/>
        </w:rPr>
        <w:t>in any advertisement</w:t>
      </w:r>
      <w:r>
        <w:rPr>
          <w:rFonts w:ascii="arial" w:eastAsia="arial" w:hAnsi="arial" w:cs="arial"/>
          <w:color w:val="000000"/>
          <w:sz w:val="20"/>
          <w:lang w:val="en-US" w:eastAsia="en-US" w:bidi="ar-SA"/>
        </w:rPr>
        <w:t xml:space="preserve">, publicity article, broadcast or telecast </w:t>
      </w:r>
      <w:r>
        <w:rPr>
          <w:rFonts w:ascii="arial" w:eastAsia="arial" w:hAnsi="arial" w:cs="arial"/>
          <w:color w:val="000000"/>
          <w:sz w:val="20"/>
          <w:u w:val="single"/>
          <w:lang w:val="en-US" w:eastAsia="en-US" w:bidi="ar-SA"/>
        </w:rPr>
        <w:t>by or on behalf of the Insured</w:t>
      </w:r>
      <w:r>
        <w:rPr>
          <w:rFonts w:ascii="arial" w:eastAsia="arial" w:hAnsi="arial" w:cs="arial"/>
          <w:color w:val="000000"/>
          <w:sz w:val="20"/>
          <w:lang w:val="en-US" w:eastAsia="en-US" w:bidi="ar-SA"/>
        </w:rPr>
        <w:t xml:space="preserve"> and </w:t>
      </w:r>
      <w:r>
        <w:rPr>
          <w:rFonts w:ascii="arial" w:eastAsia="arial" w:hAnsi="arial" w:cs="arial"/>
          <w:color w:val="000000"/>
          <w:sz w:val="20"/>
          <w:u w:val="single"/>
          <w:lang w:val="en-US" w:eastAsia="en-US" w:bidi="ar-SA"/>
        </w:rPr>
        <w:t>arising out of the named Insured's advertising activities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Occurrence</w:t>
      </w:r>
      <w:r>
        <w:rPr>
          <w:rFonts w:ascii="arial" w:eastAsia="arial" w:hAnsi="arial" w:cs="arial"/>
          <w:color w:val="000000"/>
          <w:sz w:val="20"/>
          <w:lang w:val="en-US" w:eastAsia="en-US" w:bidi="ar-SA"/>
        </w:rPr>
        <w:t xml:space="preserve"> as used in this endorsement </w:t>
      </w:r>
      <w:r>
        <w:rPr>
          <w:rFonts w:ascii="arial" w:eastAsia="arial" w:hAnsi="arial" w:cs="arial"/>
          <w:color w:val="000000"/>
          <w:sz w:val="20"/>
          <w:u w:val="single"/>
          <w:lang w:val="en-US" w:eastAsia="en-US" w:bidi="ar-SA"/>
        </w:rPr>
        <w:t>means any advertisement</w:t>
      </w:r>
      <w:r>
        <w:rPr>
          <w:rFonts w:ascii="arial" w:eastAsia="arial" w:hAnsi="arial" w:cs="arial"/>
          <w:color w:val="000000"/>
          <w:sz w:val="20"/>
          <w:lang w:val="en-US" w:eastAsia="en-US" w:bidi="ar-SA"/>
        </w:rPr>
        <w:t xml:space="preserve">, publicity article, </w:t>
      </w:r>
      <w:r>
        <w:rPr>
          <w:rFonts w:ascii="arial" w:eastAsia="arial" w:hAnsi="arial" w:cs="arial"/>
          <w:color w:val="000000"/>
          <w:sz w:val="20"/>
          <w:u w:val="single"/>
          <w:lang w:val="en-US" w:eastAsia="en-US" w:bidi="ar-SA"/>
        </w:rPr>
        <w:t>broadcast</w:t>
      </w:r>
      <w:r>
        <w:rPr>
          <w:rFonts w:ascii="arial" w:eastAsia="arial" w:hAnsi="arial" w:cs="arial"/>
          <w:color w:val="000000"/>
          <w:sz w:val="20"/>
          <w:lang w:val="en-US" w:eastAsia="en-US" w:bidi="ar-SA"/>
        </w:rPr>
        <w:t xml:space="preserve"> or telecast or any combination thereof involving the same injurious material or act, </w:t>
      </w:r>
      <w:r>
        <w:rPr>
          <w:rFonts w:ascii="arial" w:eastAsia="arial" w:hAnsi="arial" w:cs="arial"/>
          <w:color w:val="000000"/>
          <w:sz w:val="20"/>
          <w:u w:val="single"/>
          <w:lang w:val="en-US" w:eastAsia="en-US" w:bidi="ar-SA"/>
        </w:rPr>
        <w:t>regardless of the frequency of repetition thereof or the number of kind of media used</w:t>
      </w:r>
      <w:r>
        <w:rPr>
          <w:rFonts w:ascii="arial" w:eastAsia="arial" w:hAnsi="arial" w:cs="arial"/>
          <w:color w:val="000000"/>
          <w:sz w:val="20"/>
          <w:lang w:val="en-US" w:eastAsia="en-US" w:bidi="ar-SA"/>
        </w:rPr>
        <w:t>, whether claim is made by one or more persons.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With the exception of "damages" (which has added the prefix "compensatory"), the endorsement in the second policy is to a similar effect: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ADVERTISING LIABILITY ENDORSEMENT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Notwithstanding any other terms, conditions, or exclusions elsewhere in this policy, this policy is extended to include insurance coverage and clauses as follows: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INSURING AGREEMENT: The Insurer will pay on behalf of the Insured all sums which the Insured shall become legally obligated to pay as compensatory damages because of advertising injury, to which this coverage applies.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ADDITIONAL DEFINITION: When used in reference to this coverage (including endorsements forming part of this coverage): "advertising injury" means injury, other than bodily injury, </w:t>
      </w:r>
      <w:r>
        <w:rPr>
          <w:rFonts w:ascii="arial" w:eastAsia="arial" w:hAnsi="arial" w:cs="arial"/>
          <w:color w:val="000000"/>
          <w:sz w:val="20"/>
          <w:u w:val="single"/>
          <w:lang w:val="en-US" w:eastAsia="en-US" w:bidi="ar-SA"/>
        </w:rPr>
        <w:t>arising out of</w:t>
      </w:r>
      <w:r>
        <w:rPr>
          <w:rFonts w:ascii="arial" w:eastAsia="arial" w:hAnsi="arial" w:cs="arial"/>
          <w:color w:val="000000"/>
          <w:sz w:val="20"/>
          <w:lang w:val="en-US" w:eastAsia="en-US" w:bidi="ar-SA"/>
        </w:rPr>
        <w:t xml:space="preserve"> libel, slander, defamation, infringement of copyright, title or slogan, piracy, </w:t>
      </w:r>
      <w:r>
        <w:rPr>
          <w:rFonts w:ascii="arial" w:eastAsia="arial" w:hAnsi="arial" w:cs="arial"/>
          <w:color w:val="000000"/>
          <w:sz w:val="20"/>
          <w:u w:val="single"/>
          <w:lang w:val="en-US" w:eastAsia="en-US" w:bidi="ar-SA"/>
        </w:rPr>
        <w:t>unfair competition</w:t>
      </w:r>
      <w:r>
        <w:rPr>
          <w:rFonts w:ascii="arial" w:eastAsia="arial" w:hAnsi="arial" w:cs="arial"/>
          <w:color w:val="000000"/>
          <w:sz w:val="20"/>
          <w:lang w:val="en-US" w:eastAsia="en-US" w:bidi="ar-SA"/>
        </w:rPr>
        <w:t xml:space="preserve">, idea misappropriation or invasion of rights of privacy committed, or alleged to have been committed, in any advertisement, publicity article, broadcast or telecast, and </w:t>
      </w:r>
      <w:r>
        <w:rPr>
          <w:rFonts w:ascii="arial" w:eastAsia="arial" w:hAnsi="arial" w:cs="arial"/>
          <w:color w:val="000000"/>
          <w:sz w:val="20"/>
          <w:u w:val="single"/>
          <w:lang w:val="en-US" w:eastAsia="en-US" w:bidi="ar-SA"/>
        </w:rPr>
        <w:t>resulting from</w:t>
      </w:r>
      <w:r>
        <w:rPr>
          <w:rFonts w:ascii="arial" w:eastAsia="arial" w:hAnsi="arial" w:cs="arial"/>
          <w:color w:val="000000"/>
          <w:sz w:val="20"/>
          <w:lang w:val="en-US" w:eastAsia="en-US" w:bidi="ar-SA"/>
        </w:rPr>
        <w:t xml:space="preserve"> the Insured's advertising activities.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primary principle of interpretation is that where an insurance policy is unambiguous, the court should give effect to its clear language, reading the policy as a whole: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xml:space="preserve">, para. 22, citing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British Columbia Medical Association v. Aviva Insurance Company of Canada</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2011 BCSC 1399</w:t>
        </w:r>
      </w:hyperlink>
      <w:r>
        <w:rPr>
          <w:rFonts w:ascii="arial" w:eastAsia="arial" w:hAnsi="arial" w:cs="arial"/>
          <w:color w:val="000000"/>
          <w:sz w:val="20"/>
          <w:lang w:val="en-US" w:eastAsia="en-US" w:bidi="ar-SA"/>
        </w:rPr>
        <w:t xml:space="preserve"> at para. 39(a).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It is only where an ambiguity arises that the court looks to determine the reasonable expectations of the parties, and failing that determination, the principle or rule of </w:t>
      </w:r>
      <w:r>
        <w:rPr>
          <w:rFonts w:ascii="arial" w:eastAsia="arial" w:hAnsi="arial" w:cs="arial"/>
          <w:i/>
          <w:color w:val="000000"/>
          <w:sz w:val="20"/>
          <w:lang w:val="en-US" w:eastAsia="en-US" w:bidi="ar-SA"/>
        </w:rPr>
        <w:t>contra proferentum</w:t>
      </w:r>
      <w:r>
        <w:rPr>
          <w:rFonts w:ascii="arial" w:eastAsia="arial" w:hAnsi="arial" w:cs="arial"/>
          <w:color w:val="000000"/>
          <w:sz w:val="20"/>
          <w:lang w:val="en-US" w:eastAsia="en-US" w:bidi="ar-SA"/>
        </w:rPr>
        <w:t xml:space="preserve"> is applied, so that any ambiguity is construed against the insurer: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xml:space="preserve"> at paras. 22-24; </w:t>
      </w:r>
      <w:r>
        <w:rPr>
          <w:rFonts w:ascii="arial" w:eastAsia="arial" w:hAnsi="arial" w:cs="arial"/>
          <w:i/>
          <w:color w:val="000000"/>
          <w:sz w:val="20"/>
          <w:lang w:val="en-US" w:eastAsia="en-US" w:bidi="ar-SA"/>
        </w:rPr>
        <w:t>British Columbia Medical Association</w:t>
      </w:r>
      <w:r>
        <w:rPr>
          <w:rFonts w:ascii="arial" w:eastAsia="arial" w:hAnsi="arial" w:cs="arial"/>
          <w:color w:val="000000"/>
          <w:sz w:val="20"/>
          <w:lang w:val="en-US" w:eastAsia="en-US" w:bidi="ar-SA"/>
        </w:rPr>
        <w:t xml:space="preserve"> at para. 39(b),(c).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this case, I do not need to resort to the second and third aspects of construction because I find the language of both policies, when each is read as whole, to be clear and unambiguous. Subject to certain exclusions which have no bearing on the duty to defend issue in this case, Lloyd's is required to pay on behalf of the petitioners all sums which they are required to pay as damages because of,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unfair competition, alleged to have been committed during the policy period, in any advertisement (which is broadly defined), regardless of frequency, arising out of the petitioners' advertising activities. It is the second policy that adds the further requirement that the unfair competition must also result from the petitioners' advertising activities. Lloyd's does not assert that it affects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GBS's pleaded allegations, if proven true, invoke coverage under both policies.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Washington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factual backdrop to the Washington Action concerns a proprietary product belonging to GBS, which is manufactured for it by a Washington State company formerly known as Chemco, Inc. ("Chemco"). GBS alleges that it acquired Chemco's wood roofing treatment business, including all rights, title, and interest in the product and its formulation and method of manufacture, in December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GBS sells the product under various names, including Chemco 1000, Themex, Thermex-FR, CPX, and FTX. It is a fire retardant product used for treating wood products, including cedar and shake roofing products. For ease of reference, I will refer to it as "Thermex".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Thermex's ingredients and formulation are secret and are meant to be known only to GBS.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document used to commence an action in the Washington Superior Court is referred to as a complaint. It is a form of pleading that sets out the nature of the claim, including the allegations of a defendant's purported </w:t>
      </w:r>
      <w:r>
        <w:rPr>
          <w:rFonts w:ascii="arial" w:eastAsia="arial" w:hAnsi="arial" w:cs="arial"/>
          <w:i/>
          <w:color w:val="000000"/>
          <w:sz w:val="20"/>
          <w:lang w:val="en-US" w:eastAsia="en-US" w:bidi="ar-SA"/>
        </w:rPr>
        <w:t>delicts</w:t>
      </w:r>
      <w:r>
        <w:rPr>
          <w:rFonts w:ascii="arial" w:eastAsia="arial" w:hAnsi="arial" w:cs="arial"/>
          <w:color w:val="000000"/>
          <w:sz w:val="20"/>
          <w:lang w:val="en-US" w:eastAsia="en-US" w:bidi="ar-SA"/>
        </w:rPr>
        <w:t>. The document is also structured to reflect the causes of action that a plaintiff intends to rely upon. GBS's complaint has been amended twice. GBS's current complaint is entitled "Second Amended Consolidated Complaint". It was amended with leave of the Washington Superior Court on June 16, 2017. I will refer to it as the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was advised by Lloyd's in oral submissions that the word "Consolidated" in the Complaint refers to the consolidation of a separate action with the Washington Action, where it was agreed that GBS would take the lead as plaintiff. It is of no consequence to the duty to defend issue raised on this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Complaint, GBS alleges that the petitioners acted in concert with a former owner and officer of Chemco to misappropriate Thermex so that they could market and sell it as their own, under a different name, to certain trades in the industry and to the public. Amongst the facts alleged in the Complaint is GBS's allegation that the petitioners misled government regulators in order to obtain the approval essential to market and sell their product, called "CPX", to the public in competition with GBS. Once regulatory approval was obtained, GBS alleges that the petitioners represented to the public, through their marketing activities, including advertising, that CPX was identical to Thermex.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petitioners' defence costs were initially paid by an American insurer under a separate liability policy when the Washington Action was commenced. Lloyd's also acknowledged its obligation to defend once the claim was tendered to it by the petitioners. Later, the American insurer withdrew its defences, and from there, Lloyd's paid for post-tender defence costs until the Complaint was amended in its current form. It was at that point that Lloyd's advised the petitioners that in view of the revised pleading, it had no further duty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Issues concerning equitable contribution to defence costs between the American insurer and Lloyd's are not raised in this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its current iteration, the Complaint no longer refers to certain specific allegations concerning false, misleading, or deceptive representations made by the petitioners to the public and others, such as government agencies, resellers, and installers. References to certain causes of action, including statutory causes of action, have also been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Nonetheless, the remaining allegations relevant to this proceeding clearly refer to both the petitioners' misappropriation of GBS's trade secrets and to the petitioners' advertising as part of GBS's claim for damages. Those allegations are contained in the following paragraphs of the Complaint:</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all material times, the Clarke Group held itself out to the public as a single business entity. For example, until after this lawsuit was filed, the </w:t>
      </w:r>
      <w:r>
        <w:rPr>
          <w:rFonts w:ascii="arial" w:eastAsia="arial" w:hAnsi="arial" w:cs="arial"/>
          <w:color w:val="000000"/>
          <w:sz w:val="20"/>
          <w:u w:val="single"/>
          <w:lang w:val="en-US" w:eastAsia="en-US" w:bidi="ar-SA"/>
        </w:rPr>
        <w:t>Clarke Group maintained a website at www.clarkegroup.com, through which Clarke Group products</w:t>
      </w:r>
      <w:r>
        <w:rPr>
          <w:rFonts w:ascii="arial" w:eastAsia="arial" w:hAnsi="arial" w:cs="arial"/>
          <w:color w:val="000000"/>
          <w:sz w:val="20"/>
          <w:lang w:val="en-US" w:eastAsia="en-US" w:bidi="ar-SA"/>
        </w:rPr>
        <w:t xml:space="preserve">, including fire retardant wood roofing products, </w:t>
      </w:r>
      <w:r>
        <w:rPr>
          <w:rFonts w:ascii="arial" w:eastAsia="arial" w:hAnsi="arial" w:cs="arial"/>
          <w:color w:val="000000"/>
          <w:sz w:val="20"/>
          <w:u w:val="single"/>
          <w:lang w:val="en-US" w:eastAsia="en-US" w:bidi="ar-SA"/>
        </w:rPr>
        <w:t>were promoted and advertised</w:t>
      </w:r>
      <w:r>
        <w:rPr>
          <w:rFonts w:ascii="arial" w:eastAsia="arial" w:hAnsi="arial" w:cs="arial"/>
          <w:color w:val="000000"/>
          <w:sz w:val="20"/>
          <w:lang w:val="en-US" w:eastAsia="en-US" w:bidi="ar-SA"/>
        </w:rPr>
        <w: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no later than April 2010, </w:t>
      </w:r>
      <w:r>
        <w:rPr>
          <w:rFonts w:ascii="arial" w:eastAsia="arial" w:hAnsi="arial" w:cs="arial"/>
          <w:color w:val="000000"/>
          <w:sz w:val="20"/>
          <w:u w:val="single"/>
          <w:lang w:val="en-US" w:eastAsia="en-US" w:bidi="ar-SA"/>
        </w:rPr>
        <w:t>Amundson [former owner and director of Chemco] and Scott Clarke, and their agents, began to execute a scheme devised and agreed between them</w:t>
      </w:r>
      <w:r>
        <w:rPr>
          <w:rFonts w:ascii="arial" w:eastAsia="arial" w:hAnsi="arial" w:cs="arial"/>
          <w:color w:val="000000"/>
          <w:sz w:val="20"/>
          <w:lang w:val="en-US" w:eastAsia="en-US" w:bidi="ar-SA"/>
        </w:rPr>
        <w:t xml:space="preserve"> whereby (i) Amundson agreed to cause Chemco to supply the Clarke Group with Chemco Chemical to treat wood roofing products; ... and (iii) Amundson agreed to assist the Clarke Group in securing necessary product and manufacturing inspections, listings, approvals and reports for wood roofing products fire retardant treated by the Clarke Group identical to [prior approvals given to Chemco]. Acquiring such identical approvals for the Clarke Group-treated wood roofing products was essential </w:t>
      </w:r>
      <w:r>
        <w:rPr>
          <w:rFonts w:ascii="arial" w:eastAsia="arial" w:hAnsi="arial" w:cs="arial"/>
          <w:color w:val="000000"/>
          <w:sz w:val="20"/>
          <w:u w:val="single"/>
          <w:lang w:val="en-US" w:eastAsia="en-US" w:bidi="ar-SA"/>
        </w:rPr>
        <w:t>so that [one of the defendant's] fire retardant treated wood roofing products could be sold and marketed effectively in competition with [the plaintiff] FSR-treated roofing products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Knowing that [GBS] would not consent to Chemco supplying the Chemco Chemical to the Clarke Group for use in treating wood roofing material, </w:t>
      </w:r>
      <w:r>
        <w:rPr>
          <w:rFonts w:ascii="arial" w:eastAsia="arial" w:hAnsi="arial" w:cs="arial"/>
          <w:color w:val="000000"/>
          <w:sz w:val="20"/>
          <w:u w:val="single"/>
          <w:lang w:val="en-US" w:eastAsia="en-US" w:bidi="ar-SA"/>
        </w:rPr>
        <w:t>Amundson and Scott Clarke concocted a scheme to avoid detection</w:t>
      </w:r>
      <w:r>
        <w:rPr>
          <w:rFonts w:ascii="arial" w:eastAsia="arial" w:hAnsi="arial" w:cs="arial"/>
          <w:color w:val="000000"/>
          <w:sz w:val="20"/>
          <w:lang w:val="en-US" w:eastAsia="en-US" w:bidi="ar-SA"/>
        </w:rPr>
        <w:t>. Among other things, they agreed that the Chemco Chemical supplied to the Clarke Group would be called CPX rather than THERMEX ... The purpose of this name switch was to permit Chemco and the Clarke Group, if challenged by [GBS], to assert that Chemco was not supplying, and the Clarke Group was not using, the Chemco Chemical.</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fact, Chemco was supplying, and the Clarke Group was using, the Chemco Chemical. Chemco, Amundson, the Clarke Group, and their respective agents </w:t>
      </w:r>
      <w:r>
        <w:rPr>
          <w:rFonts w:ascii="arial" w:eastAsia="arial" w:hAnsi="arial" w:cs="arial"/>
          <w:color w:val="000000"/>
          <w:sz w:val="20"/>
          <w:u w:val="single"/>
          <w:lang w:val="en-US" w:eastAsia="en-US" w:bidi="ar-SA"/>
        </w:rPr>
        <w:t>represented to</w:t>
      </w:r>
      <w:r>
        <w:rPr>
          <w:rFonts w:ascii="arial" w:eastAsia="arial" w:hAnsi="arial" w:cs="arial"/>
          <w:color w:val="000000"/>
          <w:sz w:val="20"/>
          <w:lang w:val="en-US" w:eastAsia="en-US" w:bidi="ar-SA"/>
        </w:rPr>
        <w:t xml:space="preserve"> [certain government agencies], </w:t>
      </w:r>
      <w:r>
        <w:rPr>
          <w:rFonts w:ascii="arial" w:eastAsia="arial" w:hAnsi="arial" w:cs="arial"/>
          <w:color w:val="000000"/>
          <w:sz w:val="20"/>
          <w:u w:val="single"/>
          <w:lang w:val="en-US" w:eastAsia="en-US" w:bidi="ar-SA"/>
        </w:rPr>
        <w:t>to purchasers of treated roofing wood products and to others</w:t>
      </w:r>
      <w:r>
        <w:rPr>
          <w:rFonts w:ascii="arial" w:eastAsia="arial" w:hAnsi="arial" w:cs="arial"/>
          <w:color w:val="000000"/>
          <w:sz w:val="20"/>
          <w:lang w:val="en-US" w:eastAsia="en-US" w:bidi="ar-SA"/>
        </w:rPr>
        <w:t xml:space="preserve"> that the chemical and methods of wood roofing treatment being used by [one of the defendants] for fire retardant treatment of roofing shakes and shingles were "identical" to the chemical and methods of treatment that had been used by Chemco, and that was being used by [the plaintiff] FSR.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furtherance of their wrongful scheme and conspiracy: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Amundson and Chemco provided the Clarke Group with confidential and proprietary information concerning Chemco Chemical formulation(s) and method(s) of manufacture.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Subsequently, in an effort to secure product and treatment approvals for the Clarke Group that were identical to the [prior approvals given to Chemco and one of the defendants], the Clarke Group, Amundson, and their respective agents </w:t>
      </w:r>
      <w:r>
        <w:rPr>
          <w:rFonts w:ascii="arial" w:eastAsia="arial" w:hAnsi="arial" w:cs="arial"/>
          <w:color w:val="000000"/>
          <w:sz w:val="20"/>
          <w:u w:val="single"/>
          <w:lang w:val="en-US" w:eastAsia="en-US" w:bidi="ar-SA"/>
        </w:rPr>
        <w:t>represented to</w:t>
      </w:r>
      <w:r>
        <w:rPr>
          <w:rFonts w:ascii="arial" w:eastAsia="arial" w:hAnsi="arial" w:cs="arial"/>
          <w:color w:val="000000"/>
          <w:sz w:val="20"/>
          <w:lang w:val="en-US" w:eastAsia="en-US" w:bidi="ar-SA"/>
        </w:rPr>
        <w:t xml:space="preserve"> [government agencies], </w:t>
      </w:r>
      <w:r>
        <w:rPr>
          <w:rFonts w:ascii="arial" w:eastAsia="arial" w:hAnsi="arial" w:cs="arial"/>
          <w:color w:val="000000"/>
          <w:sz w:val="20"/>
          <w:u w:val="single"/>
          <w:lang w:val="en-US" w:eastAsia="en-US" w:bidi="ar-SA"/>
        </w:rPr>
        <w:t>purchasers and others</w:t>
      </w:r>
      <w:r>
        <w:rPr>
          <w:rFonts w:ascii="arial" w:eastAsia="arial" w:hAnsi="arial" w:cs="arial"/>
          <w:color w:val="000000"/>
          <w:sz w:val="20"/>
          <w:lang w:val="en-US" w:eastAsia="en-US" w:bidi="ar-SA"/>
        </w:rPr>
        <w:t xml:space="preserve"> that the fire retardant ... [sold by one of the defendants] was "identical" in formulation and method of manufacture... </w:t>
      </w:r>
      <w:r>
        <w:rPr>
          <w:rFonts w:ascii="arial" w:eastAsia="arial" w:hAnsi="arial" w:cs="arial"/>
          <w:color w:val="000000"/>
          <w:sz w:val="20"/>
          <w:u w:val="single"/>
          <w:lang w:val="en-US" w:eastAsia="en-US" w:bidi="ar-SA"/>
        </w:rPr>
        <w:t>To</w:t>
      </w:r>
      <w:r>
        <w:rPr>
          <w:rFonts w:ascii="arial" w:eastAsia="arial" w:hAnsi="arial" w:cs="arial"/>
          <w:color w:val="000000"/>
          <w:sz w:val="20"/>
          <w:lang w:val="en-US" w:eastAsia="en-US" w:bidi="ar-SA"/>
        </w:rPr>
        <w:t xml:space="preserve"> the approval agencies and </w:t>
      </w:r>
      <w:r>
        <w:rPr>
          <w:rFonts w:ascii="arial" w:eastAsia="arial" w:hAnsi="arial" w:cs="arial"/>
          <w:color w:val="000000"/>
          <w:sz w:val="20"/>
          <w:u w:val="single"/>
          <w:lang w:val="en-US" w:eastAsia="en-US" w:bidi="ar-SA"/>
        </w:rPr>
        <w:t>the public</w:t>
      </w:r>
      <w:r>
        <w:rPr>
          <w:rFonts w:ascii="arial" w:eastAsia="arial" w:hAnsi="arial" w:cs="arial"/>
          <w:color w:val="000000"/>
          <w:sz w:val="20"/>
          <w:lang w:val="en-US" w:eastAsia="en-US" w:bidi="ar-SA"/>
        </w:rPr>
        <w:t xml:space="preserve">, Amundson, Chemco and the </w:t>
      </w:r>
      <w:r>
        <w:rPr>
          <w:rFonts w:ascii="arial" w:eastAsia="arial" w:hAnsi="arial" w:cs="arial"/>
          <w:color w:val="000000"/>
          <w:sz w:val="20"/>
          <w:u w:val="single"/>
          <w:lang w:val="en-US" w:eastAsia="en-US" w:bidi="ar-SA"/>
        </w:rPr>
        <w:t>Clarke Group represented that CPX and THERMEX were identical in formulation, method of manufacture and application on wood roofing products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information and belief, American Pacific, </w:t>
      </w:r>
      <w:r>
        <w:rPr>
          <w:rFonts w:ascii="arial" w:eastAsia="arial" w:hAnsi="arial" w:cs="arial"/>
          <w:color w:val="000000"/>
          <w:sz w:val="20"/>
          <w:u w:val="single"/>
          <w:lang w:val="en-US" w:eastAsia="en-US" w:bidi="ar-SA"/>
        </w:rPr>
        <w:t>along with other entities controlled by and/or affiliated with Scott Clarke and the Clarke Group, engaged in the marketing</w:t>
      </w:r>
      <w:r>
        <w:rPr>
          <w:rFonts w:ascii="arial" w:eastAsia="arial" w:hAnsi="arial" w:cs="arial"/>
          <w:color w:val="000000"/>
          <w:sz w:val="20"/>
          <w:lang w:val="en-US" w:eastAsia="en-US" w:bidi="ar-SA"/>
        </w:rPr>
        <w:t xml:space="preserve">, distribution, and sale of cedar shakes and shingles treated by [one of the defendants] with the Chemco Chemical for use as roofing material in Washington, California and elsewhere, </w:t>
      </w:r>
      <w:r>
        <w:rPr>
          <w:rFonts w:ascii="arial" w:eastAsia="arial" w:hAnsi="arial" w:cs="arial"/>
          <w:color w:val="000000"/>
          <w:sz w:val="20"/>
          <w:u w:val="single"/>
          <w:lang w:val="en-US" w:eastAsia="en-US" w:bidi="ar-SA"/>
        </w:rPr>
        <w:t>all at the direction and control of Scott Clarke</w:t>
      </w: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[Insertions and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Complaint refers to the "RCW", sections 4.28.185 and 7.24.010, as the foundation for GBS's claim. "RCW" is short for the </w:t>
      </w:r>
      <w:r>
        <w:rPr>
          <w:rFonts w:ascii="arial" w:eastAsia="arial" w:hAnsi="arial" w:cs="arial"/>
          <w:i/>
          <w:color w:val="000000"/>
          <w:sz w:val="20"/>
          <w:lang w:val="en-US" w:eastAsia="en-US" w:bidi="ar-SA"/>
        </w:rPr>
        <w:t>Revised Code of Washington</w:t>
      </w:r>
      <w:r>
        <w:rPr>
          <w:rFonts w:ascii="arial" w:eastAsia="arial" w:hAnsi="arial" w:cs="arial"/>
          <w:color w:val="000000"/>
          <w:sz w:val="20"/>
          <w:lang w:val="en-US" w:eastAsia="en-US" w:bidi="ar-SA"/>
        </w:rPr>
        <w:t>, which in turn contains chapter 19, entitled "</w:t>
      </w:r>
      <w:r>
        <w:rPr>
          <w:rFonts w:ascii="arial" w:eastAsia="arial" w:hAnsi="arial" w:cs="arial"/>
          <w:i/>
          <w:color w:val="000000"/>
          <w:sz w:val="20"/>
          <w:lang w:val="en-US" w:eastAsia="en-US" w:bidi="ar-SA"/>
        </w:rPr>
        <w:t>Uniform Trade Secrets Act</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UTSA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addition to a claim for damages arising from the sale of CPX, one of the claims advanced in the prayer for relief is that the Clarke Group account for "all revenue" it and its agents obtained from the "use" and "disclosure" of GBS's trade secrets.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Owing to their disagreement concerning the precise nature of the claim now advanced by GBS in the Complaint, the petitioners and Lloyd's each sought to prove "foreign law" through expert evidence. I was advised that both experts are highly respected lawyers practicing in Seattle. Their opinions differ in a number of respects; for example, whether Washington law concerning unfair competition claims is now codified in the </w:t>
      </w:r>
      <w:r>
        <w:rPr>
          <w:rFonts w:ascii="arial" w:eastAsia="arial" w:hAnsi="arial" w:cs="arial"/>
          <w:i/>
          <w:color w:val="000000"/>
          <w:sz w:val="20"/>
          <w:lang w:val="en-US" w:eastAsia="en-US" w:bidi="ar-SA"/>
        </w:rPr>
        <w:t>UTSA</w:t>
      </w:r>
      <w:r>
        <w:rPr>
          <w:rFonts w:ascii="arial" w:eastAsia="arial" w:hAnsi="arial" w:cs="arial"/>
          <w:color w:val="000000"/>
          <w:sz w:val="20"/>
          <w:lang w:val="en-US" w:eastAsia="en-US" w:bidi="ar-SA"/>
        </w:rPr>
        <w:t xml:space="preserve"> so as to pre-empt and preclude common law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However, both experts agree that a statutory claim brought for misappropriation of a trade secret per the </w:t>
      </w:r>
      <w:r>
        <w:rPr>
          <w:rFonts w:ascii="arial" w:eastAsia="arial" w:hAnsi="arial" w:cs="arial"/>
          <w:i/>
          <w:color w:val="000000"/>
          <w:sz w:val="20"/>
          <w:lang w:val="en-US" w:eastAsia="en-US" w:bidi="ar-SA"/>
        </w:rPr>
        <w:t>UTSA</w:t>
      </w:r>
      <w:r>
        <w:rPr>
          <w:rFonts w:ascii="arial" w:eastAsia="arial" w:hAnsi="arial" w:cs="arial"/>
          <w:color w:val="000000"/>
          <w:sz w:val="20"/>
          <w:lang w:val="en-US" w:eastAsia="en-US" w:bidi="ar-SA"/>
        </w:rPr>
        <w:t xml:space="preserve"> is a claim for unfair competition.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UTSA</w:t>
      </w:r>
      <w:r>
        <w:rPr>
          <w:rFonts w:ascii="arial" w:eastAsia="arial" w:hAnsi="arial" w:cs="arial"/>
          <w:color w:val="000000"/>
          <w:sz w:val="20"/>
          <w:lang w:val="en-US" w:eastAsia="en-US" w:bidi="ar-SA"/>
        </w:rPr>
        <w:t>, at ss. 19.108.010, defines "misappropriation" to include:</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Acquisition of a trade secret of another by a person who knows or has reason to know that the trade secret was acquired by improper means; or</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Disclosure or use</w:t>
      </w:r>
      <w:r>
        <w:rPr>
          <w:rFonts w:ascii="arial" w:eastAsia="arial" w:hAnsi="arial" w:cs="arial"/>
          <w:color w:val="000000"/>
          <w:sz w:val="20"/>
          <w:lang w:val="en-US" w:eastAsia="en-US" w:bidi="ar-SA"/>
        </w:rPr>
        <w:t xml:space="preserve"> of a trade secret of another without express or implied consent...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 trade secret is defined in the </w:t>
      </w:r>
      <w:r>
        <w:rPr>
          <w:rFonts w:ascii="arial" w:eastAsia="arial" w:hAnsi="arial" w:cs="arial"/>
          <w:i/>
          <w:color w:val="000000"/>
          <w:sz w:val="20"/>
          <w:lang w:val="en-US" w:eastAsia="en-US" w:bidi="ar-SA"/>
        </w:rPr>
        <w:t>UTSA</w:t>
      </w:r>
      <w:r>
        <w:rPr>
          <w:rFonts w:ascii="arial" w:eastAsia="arial" w:hAnsi="arial" w:cs="arial"/>
          <w:color w:val="000000"/>
          <w:sz w:val="20"/>
          <w:lang w:val="en-US" w:eastAsia="en-US" w:bidi="ar-SA"/>
        </w:rPr>
        <w:t xml:space="preserve"> to include a formula, pattern, compilation, program, device, method, technique, or process that derives independent economic value, "actual or potential, from not being generally known to" and not being "readily ascertainable by proper means by, other persons who can obtain economic value from its disclosure or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According to Lloyd's' foreign law expert, "Trade secret law is a species of unfair competition law." Further, he states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American Law Institute, which attempts to state a comprehensive set of rules under United States law, organizes its discussion of trade secret law within its restatement of unfair competition law.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e.g., Restatement (Third) of Unfair Competition [citations omitted]. ... In this way, misappropriation of trade secrets constitutes unfair competition in the same way it constitutes a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 his opinion, a claim for unfair competition is brought in Washington State per the </w:t>
      </w:r>
      <w:r>
        <w:rPr>
          <w:rFonts w:ascii="arial" w:eastAsia="arial" w:hAnsi="arial" w:cs="arial"/>
          <w:i/>
          <w:color w:val="000000"/>
          <w:sz w:val="20"/>
          <w:lang w:val="en-US" w:eastAsia="en-US" w:bidi="ar-SA"/>
        </w:rPr>
        <w:t>UTSA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Thus, it is clear from the evidence of the foreign law experts, as well as American case authorities cited in the Canadian text by David Vaver, </w:t>
      </w:r>
      <w:r>
        <w:rPr>
          <w:rFonts w:ascii="arial" w:eastAsia="arial" w:hAnsi="arial" w:cs="arial"/>
          <w:i/>
          <w:color w:val="000000"/>
          <w:sz w:val="20"/>
          <w:lang w:val="en-US" w:eastAsia="en-US" w:bidi="ar-SA"/>
        </w:rPr>
        <w:t>Intellectual Property Law: Copyright, Patents, Trade-Marks</w:t>
      </w:r>
      <w:r>
        <w:rPr>
          <w:rFonts w:ascii="arial" w:eastAsia="arial" w:hAnsi="arial" w:cs="arial"/>
          <w:color w:val="000000"/>
          <w:sz w:val="20"/>
          <w:lang w:val="en-US" w:eastAsia="en-US" w:bidi="ar-SA"/>
        </w:rPr>
        <w:t>, 2nd ed., Irwin Law, at 705, which was brought to my attention by the petitioners, that the Complaint in its current iteration alleges a claim for unfair competition that involves, in part, the petitioners' use and disclosure of GBS's trade secrets through their promotion, advertising, and sales of GBS's misappropriated product as their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Lloyd's agrees that the claim brought by GBS is for unfair competition. But it maintains that it is no longer required to defend the claim as a result of the recent amendments to the Complaint. Based on the opinion of its foreign law expert, Lloyd's argues that the </w:t>
      </w:r>
      <w:r>
        <w:rPr>
          <w:rFonts w:ascii="arial" w:eastAsia="arial" w:hAnsi="arial" w:cs="arial"/>
          <w:i/>
          <w:color w:val="000000"/>
          <w:sz w:val="20"/>
          <w:lang w:val="en-US" w:eastAsia="en-US" w:bidi="ar-SA"/>
        </w:rPr>
        <w:t>UTSA</w:t>
      </w:r>
      <w:r>
        <w:rPr>
          <w:rFonts w:ascii="arial" w:eastAsia="arial" w:hAnsi="arial" w:cs="arial"/>
          <w:color w:val="000000"/>
          <w:sz w:val="20"/>
          <w:lang w:val="en-US" w:eastAsia="en-US" w:bidi="ar-SA"/>
        </w:rPr>
        <w:t xml:space="preserve"> is the only basis for liability and it pre-empts any other cause of action for unfair competition. Lloyd's insists that no coverage can arise on the policies because advertising is not a constituent element of the cause of action established by the </w:t>
      </w:r>
      <w:r>
        <w:rPr>
          <w:rFonts w:ascii="arial" w:eastAsia="arial" w:hAnsi="arial" w:cs="arial"/>
          <w:i/>
          <w:color w:val="000000"/>
          <w:sz w:val="20"/>
          <w:lang w:val="en-US" w:eastAsia="en-US" w:bidi="ar-SA"/>
        </w:rPr>
        <w:t>UTSA</w:t>
      </w:r>
      <w:r>
        <w:rPr>
          <w:rFonts w:ascii="arial" w:eastAsia="arial" w:hAnsi="arial" w:cs="arial"/>
          <w:color w:val="000000"/>
          <w:sz w:val="20"/>
          <w:lang w:val="en-US" w:eastAsia="en-US" w:bidi="ar-SA"/>
        </w:rPr>
        <w:t>. Lloyd's says that since advertising is not a requisite element to prove the cause of action, the facts as pleaded, if proven true, could not invoke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Despite the conflict between the foreign law experts on various points, including pre-emption, I am able to decide the duty to defend issue since both agree that the Complaint properly pleads a cause of action involving unfair competition.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Lloyd's' Reliance on</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Scalera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Lloyd's relies heavily on its characterization of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to support its position. However, in doing so, Lloyd's mischaracterizes the holding in that case when it argues that, for the purpose of determining whether coverage is possible, and hence whether the duty to defend is engaged, it is the specific elements of the pleaded cause of action that determine the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involved a duty to defend in underlying civil litigation involving allegations of sexual battery committed by a bus driver upon a passenger. The plaintiff's pleading also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The insured argued that if proven true,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including allegations of negligent battery, could be covered, and hence, a duty to defend arose. The issue in the case was whether an exclusion in the policy excluding coverage for intentional acts applied to some or all of the claims. The Court determined that there was no duty to defend since battery always involved an intent to injure and the remainder of the claims were derivative, and not independent, of that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writing for the majority of the Court, Mr. Justice Iacobucci described, at paras. 50-52, a three-step enquiry to assess the "substance" and "true nature" of the claim in order to determine whether the intentional act exclusion removed any possibility of coverage for the underlying claim. First, he wrote, the court is to determine whether the plaintiff's legal allegations are properly pleaded. The enquiry extends beyond the labels used in the pleading. A plaintiff cannot change an intentional tort into a negligent one, he said, by "choice of words". Instead, the court must "examine the substance of the allegations contained in the pleadings." The second stage involves determining whether any claims are entirely derivative in nature. For example, if the same harm is cast in terms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an intentional tort, the intentional act exclusion is not avoided. Third, the court must determine if there are any claims, properly pleaded, that are non-derivative that could trigger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must also be viewed in its factual context, where the pleadings were seen to manipulate, through labels, a cause of action that, as a matter of law, always involved an intentional act that invoked an exclusion in the policy. The Court viewed the underlying pleading as an attempt to obscure the battery claim as an act involving the bus driver's purported negligent apprehension of the passenger's consent. The pleader's attempt failed. As Iacobucci J. said at para. 91, "All that is at stake is whether the exclusion clause applies" (see also the reasons of McLachlin J. at paras. 37-38,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Lloyd's does not argue that any exclusions in the policies in issue in this case apply to the determination of its duty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Neither reasons for judgment of Iacobucci J. nor the concurring reasons of Madam Justice McLachlin (as she then was), frame the analysis in the manner suggested by Lloyd's. Their reasons do not suggest that coverage, and the duty to defend, are purely dependant on the requisite elements of the cause of action as pleaded. Instead, the result depends on a comparative analysis of the policy wording and the substance and true nature of the claim. When citing </w:t>
      </w:r>
      <w:r>
        <w:rPr>
          <w:rFonts w:ascii="arial" w:eastAsia="arial" w:hAnsi="arial" w:cs="arial"/>
          <w:i/>
          <w:color w:val="000000"/>
          <w:sz w:val="20"/>
          <w:lang w:val="en-US" w:eastAsia="en-US" w:bidi="ar-SA"/>
        </w:rPr>
        <w:t>Nichols</w:t>
      </w:r>
      <w:r>
        <w:rPr>
          <w:rFonts w:ascii="arial" w:eastAsia="arial" w:hAnsi="arial" w:cs="arial"/>
          <w:color w:val="000000"/>
          <w:sz w:val="20"/>
          <w:lang w:val="en-US" w:eastAsia="en-US" w:bidi="ar-SA"/>
        </w:rPr>
        <w:t>, Iacobucci J. said: "This conclusion is consistent with the majority of American courts, which have concluded that the 'duty to defend arises when the underlying complaint alleges any facts that might fall within the coverage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Brought home to the case at bar, there is nothing in the reasoning in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to support a broad statement of principle that since advertising itself is not a requisite element of a cause of action for unfair competition as pleaded in the Complaint, there is no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is also clear that an expansive approach to the enquiry is required. This point was reinforced by the Court in its subsequent decision in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where, at para. 19, Mr. Justice Rothstein said: "What is required is the mere possibility that a claim falls within the insurance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Lloyd's did not include language in its policy purporting to limit coverage to causes of action. It could have, and some respects, Lloyd's chose to describe coverage in terms of a cause of action, such as libel, slander, and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Claims for unfair competition, however framed, are covered so long as the requisite connection to advertising liability is present. It is also clear, in light of the language in para. (e) of the Definitions section of the insuring agreement - "Any of the foregoing alleged by any other name" - that Lloyd's intended a broad form of coverage. Coverage for advertising liability arising from unfair competition is not confined in the manner suggested by Lloyd's.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Grayson is Binding on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Whether a direct causal link between an insured's advertising activity and the injury giving rise to the litigation is required to trigger coverage is the subject of conflicting authority in the United States. For this province, however, the matter was determined by the Court of Appeal in </w:t>
      </w:r>
      <w:r>
        <w:rPr>
          <w:rFonts w:ascii="arial" w:eastAsia="arial" w:hAnsi="arial" w:cs="arial"/>
          <w:i/>
          <w:color w:val="000000"/>
          <w:sz w:val="20"/>
          <w:lang w:val="en-US" w:eastAsia="en-US" w:bidi="ar-SA"/>
        </w:rPr>
        <w:t>Grayson v. Wellington Insurance Company</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(1997), 37 B.C.L.R. (3d) 49</w:t>
        </w:r>
      </w:hyperlink>
      <w:r>
        <w:rPr>
          <w:rFonts w:ascii="arial" w:eastAsia="arial" w:hAnsi="arial" w:cs="arial"/>
          <w:color w:val="000000"/>
          <w:sz w:val="20"/>
          <w:lang w:val="en-US" w:eastAsia="en-US" w:bidi="ar-SA"/>
        </w:rPr>
        <w:t>, leave to appeal ref'd [1997] S.C.R. No. 487.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that case, Madam Justice Newbury identified the conflicting lines of American authorities and the policy reasons underlying their decisions. For example, those courts requiring a connection suggest that if no causal connection was necessary, then any impugned product that "happened to be advertised" would be eligible for coverage, an outcome held to be contrary to the reasonable expectations of the parties: para. 16. Those cases holding the opposite appear to have taken a strict construction of the policy language and found that any ambiguity must be determined, </w:t>
      </w:r>
      <w:r>
        <w:rPr>
          <w:rFonts w:ascii="arial" w:eastAsia="arial" w:hAnsi="arial" w:cs="arial"/>
          <w:i/>
          <w:color w:val="000000"/>
          <w:sz w:val="20"/>
          <w:lang w:val="en-US" w:eastAsia="en-US" w:bidi="ar-SA"/>
        </w:rPr>
        <w:t>contra proferentum</w:t>
      </w:r>
      <w:r>
        <w:rPr>
          <w:rFonts w:ascii="arial" w:eastAsia="arial" w:hAnsi="arial" w:cs="arial"/>
          <w:color w:val="000000"/>
          <w:sz w:val="20"/>
          <w:lang w:val="en-US" w:eastAsia="en-US" w:bidi="ar-SA"/>
        </w:rPr>
        <w:t>, in favour of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With one exception, Newbury J.A. was not persuaded those cases represent divergent authority. She reconciled them on the basis that where an impugned product "happens" to have been advertised, this will not, without more, bring the claim for injury within coverage, because the advertising is merely "coincidental to the wrong". But where the claimant in the underlying action alleges it has suffered injury as a result of the insured's advertising activities, the causal link exists: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Before us, counsel assumed that cases such as </w:t>
      </w:r>
      <w:r>
        <w:rPr>
          <w:rFonts w:ascii="arial" w:eastAsia="arial" w:hAnsi="arial" w:cs="arial"/>
          <w:i/>
          <w:color w:val="000000"/>
          <w:sz w:val="20"/>
          <w:lang w:val="en-US" w:eastAsia="en-US" w:bidi="ar-SA"/>
        </w:rPr>
        <w:t>Meyers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Madison</w:t>
      </w:r>
      <w:r>
        <w:rPr>
          <w:rFonts w:ascii="arial" w:eastAsia="arial" w:hAnsi="arial" w:cs="arial"/>
          <w:color w:val="000000"/>
          <w:sz w:val="20"/>
          <w:lang w:val="en-US" w:eastAsia="en-US" w:bidi="ar-SA"/>
        </w:rPr>
        <w:t xml:space="preserve"> on the one hand, and </w:t>
      </w:r>
      <w:r>
        <w:rPr>
          <w:rFonts w:ascii="arial" w:eastAsia="arial" w:hAnsi="arial" w:cs="arial"/>
          <w:i/>
          <w:color w:val="000000"/>
          <w:sz w:val="20"/>
          <w:lang w:val="en-US" w:eastAsia="en-US" w:bidi="ar-SA"/>
        </w:rPr>
        <w:t>Berger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Rymal</w:t>
      </w:r>
      <w:r>
        <w:rPr>
          <w:rFonts w:ascii="arial" w:eastAsia="arial" w:hAnsi="arial" w:cs="arial"/>
          <w:color w:val="000000"/>
          <w:sz w:val="20"/>
          <w:lang w:val="en-US" w:eastAsia="en-US" w:bidi="ar-SA"/>
        </w:rPr>
        <w:t xml:space="preserve">, on the other, represent divergent lines of authority. I am not convinced this is necessarily the case. Except perhaps for </w:t>
      </w:r>
      <w:r>
        <w:rPr>
          <w:rFonts w:ascii="arial" w:eastAsia="arial" w:hAnsi="arial" w:cs="arial"/>
          <w:i/>
          <w:color w:val="000000"/>
          <w:sz w:val="20"/>
          <w:lang w:val="en-US" w:eastAsia="en-US" w:bidi="ar-SA"/>
        </w:rPr>
        <w:t>Madison</w:t>
      </w:r>
      <w:r>
        <w:rPr>
          <w:rFonts w:ascii="arial" w:eastAsia="arial" w:hAnsi="arial" w:cs="arial"/>
          <w:color w:val="000000"/>
          <w:sz w:val="20"/>
          <w:lang w:val="en-US" w:eastAsia="en-US" w:bidi="ar-SA"/>
        </w:rPr>
        <w:t xml:space="preserve">, it may be possible to reconcile them on the following basis: first, the fact that a product manufactured in breach of patent or copyright happens to have been advertised will not by itself bring the injury within the definition - the advertising will be regarded as merely "coincidental" to the wrong. </w:t>
      </w:r>
      <w:r>
        <w:rPr>
          <w:rFonts w:ascii="arial" w:eastAsia="arial" w:hAnsi="arial" w:cs="arial"/>
          <w:color w:val="000000"/>
          <w:sz w:val="20"/>
          <w:u w:val="single"/>
          <w:lang w:val="en-US" w:eastAsia="en-US" w:bidi="ar-SA"/>
        </w:rPr>
        <w:t>Where, however, the plaintiff in the underlying action alleges that it has suffered injury as a result of the infringer's advertising activities, or where one of the remedies sought is the cessation of the Defendant's advertising activities, those activities may be seen as causally linked to the Plaintiff's injury, and the requirements of the definition will be met</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her analysis, Newbury J.A. posed the question, "... on what side of the line do the injuries complained of by the Complainants in this case fall?": para. 25. She determined that the following allegations, which, in my opinion, are scant in their references to advertising in comparison to those in GBS's Complaint, were not coincidental to the injuries alleged, such that Wellington was obliged to defend:</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have offered for sale, sold, used and knowingly induced others to sell and use Pirate Devices in infringement of the rights of the Plaintiffs ...</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have threatened to continue to authorize infringement of the Plaintiff FIRST CHOICE's copyright in its dramatic works unless restrained by the Order of this Honourable Court.</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have engaged in acts contrary to honest industrial commercial usage contrary to section 7(3) of the Canadian </w:t>
      </w:r>
      <w:r>
        <w:rPr>
          <w:rFonts w:ascii="arial" w:eastAsia="arial" w:hAnsi="arial" w:cs="arial"/>
          <w:color w:val="000000"/>
          <w:sz w:val="20"/>
          <w:u w:val="single"/>
          <w:lang w:val="en-US" w:eastAsia="en-US" w:bidi="ar-SA"/>
        </w:rPr>
        <w:t>Trade Marks Act</w:t>
      </w:r>
      <w:r>
        <w:rPr>
          <w:rFonts w:ascii="arial" w:eastAsia="arial" w:hAnsi="arial" w:cs="arial"/>
          <w:color w:val="000000"/>
          <w:sz w:val="20"/>
          <w:lang w:val="en-US" w:eastAsia="en-US" w:bidi="ar-SA"/>
        </w:rPr>
        <w:t xml:space="preserve"> [citation omitted].</w:t>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 FIRST CHOICE's ability to market its programs in Canada is severely hampered by the presence of the Pirate Devices, since it is difficult to sell Programs to subscribers when others may receive the Programs for "free", albeit illegally.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Grayson</w:t>
      </w:r>
      <w:r>
        <w:rPr>
          <w:rFonts w:ascii="arial" w:eastAsia="arial" w:hAnsi="arial" w:cs="arial"/>
          <w:color w:val="000000"/>
          <w:sz w:val="20"/>
          <w:lang w:val="en-US" w:eastAsia="en-US" w:bidi="ar-SA"/>
        </w:rPr>
        <w:t>, Newbury J.A. also said that even if the reportedly divergent American case authorities could not be reconciled in the manner she described, the words "in the course of the Named Insured's advertising activities...if such injury arises out of...unfair competition", contained in an insuring agreement did not require a causal link, "at least," she stated, "in a narrow or technical sense":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Even if the American cases may not be reconciled in the manner I have suggested, I am not convinced that in Canadian law, the phrase "in the course of" does require a causal link, at least in a narrow or technical sense. The phrase is ordinarily used to refer not to causation but to context, especially temporal context. One can slander someone "in the course of" making an after dinner-speech, for example, but the after-dinner speech is not generally regarded as the "cause" of the slander. ... and it has been held that "in the course of" is wider than the word "during": [citations omitted]. I also note the recent decision of the Federal Court of Appeal in </w:t>
      </w:r>
      <w:r>
        <w:rPr>
          <w:rFonts w:ascii="arial" w:eastAsia="arial" w:hAnsi="arial" w:cs="arial"/>
          <w:i/>
          <w:color w:val="000000"/>
          <w:sz w:val="20"/>
          <w:lang w:val="en-US" w:eastAsia="en-US" w:bidi="ar-SA"/>
        </w:rPr>
        <w:t>Blanchard v. Canada</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[1995] 2 C.T.C. 262</w:t>
        </w:r>
      </w:hyperlink>
      <w:r>
        <w:rPr>
          <w:rFonts w:ascii="arial" w:eastAsia="arial" w:hAnsi="arial" w:cs="arial"/>
          <w:color w:val="000000"/>
          <w:sz w:val="20"/>
          <w:lang w:val="en-US" w:eastAsia="en-US" w:bidi="ar-SA"/>
        </w:rPr>
        <w:t xml:space="preserve">, where Linden J.A. reasoned that by using the phrases "in the course of" and "by virtue of" in addition to the phrase "in respect of employment" in s. 6(1)(a) of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Parliament had intended to "emphasize that only the smallest connection to employment is required to trigger the operation of the section." [at 264]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At para. 28, Newbury J.A. also drew upon the decision of the Supreme Court of Canada in </w:t>
      </w:r>
      <w:r>
        <w:rPr>
          <w:rFonts w:ascii="arial" w:eastAsia="arial" w:hAnsi="arial" w:cs="arial"/>
          <w:i/>
          <w:color w:val="000000"/>
          <w:sz w:val="20"/>
          <w:lang w:val="en-US" w:eastAsia="en-US" w:bidi="ar-SA"/>
        </w:rPr>
        <w:t>Amos v. Insurance Corp. of British Columbia</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[1995] 3 S.C.R. 405</w:t>
        </w:r>
      </w:hyperlink>
      <w:r>
        <w:rPr>
          <w:rFonts w:ascii="arial" w:eastAsia="arial" w:hAnsi="arial" w:cs="arial"/>
          <w:color w:val="000000"/>
          <w:sz w:val="20"/>
          <w:lang w:val="en-US" w:eastAsia="en-US" w:bidi="ar-SA"/>
        </w:rPr>
        <w:t>, where the words in the insuring agreement, "arises out of the ownership, use or operation of a vehicle" were not to be ascribed a narrow, technical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Lloyd's suggests that a fresh look to </w:t>
      </w:r>
      <w:r>
        <w:rPr>
          <w:rFonts w:ascii="arial" w:eastAsia="arial" w:hAnsi="arial" w:cs="arial"/>
          <w:i/>
          <w:color w:val="000000"/>
          <w:sz w:val="20"/>
          <w:lang w:val="en-US" w:eastAsia="en-US" w:bidi="ar-SA"/>
        </w:rPr>
        <w:t>Grayson</w:t>
      </w:r>
      <w:r>
        <w:rPr>
          <w:rFonts w:ascii="arial" w:eastAsia="arial" w:hAnsi="arial" w:cs="arial"/>
          <w:color w:val="000000"/>
          <w:sz w:val="20"/>
          <w:lang w:val="en-US" w:eastAsia="en-US" w:bidi="ar-SA"/>
        </w:rPr>
        <w:t xml:space="preserve"> should be taken because, it argues, there has been a "maturation" to the approach taken in advertising liability coverage cases subsequently decided in Canada and the United States. The Canadian cases cited by Lloyd's are those of the Ontario Superior Court and the Ontario Court of Appeal in </w:t>
      </w:r>
      <w:r>
        <w:rPr>
          <w:rFonts w:ascii="arial" w:eastAsia="arial" w:hAnsi="arial" w:cs="arial"/>
          <w:i/>
          <w:color w:val="000000"/>
          <w:sz w:val="20"/>
          <w:lang w:val="en-US" w:eastAsia="en-US" w:bidi="ar-SA"/>
        </w:rPr>
        <w:t>prairieFyre Software Inc. v. St. Paul Fire and Marine Insurance Co</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(2003), 66 O.R. (3d) 331</w:t>
        </w:r>
      </w:hyperlink>
      <w:r>
        <w:rPr>
          <w:rFonts w:ascii="arial" w:eastAsia="arial" w:hAnsi="arial" w:cs="arial"/>
          <w:color w:val="000000"/>
          <w:sz w:val="20"/>
          <w:lang w:val="en-US" w:eastAsia="en-US" w:bidi="ar-SA"/>
        </w:rPr>
        <w:t xml:space="preserve"> (S.C.), aff'd </w:t>
      </w:r>
      <w:hyperlink r:id="rId362" w:history="1">
        <w:r>
          <w:rPr>
            <w:rFonts w:ascii="arial" w:eastAsia="arial" w:hAnsi="arial" w:cs="arial"/>
            <w:i/>
            <w:color w:val="0077CC"/>
            <w:sz w:val="20"/>
            <w:u w:val="single"/>
            <w:shd w:val="clear" w:color="auto" w:fill="FFFFFF"/>
            <w:lang w:val="en-US" w:eastAsia="en-US" w:bidi="ar-SA"/>
          </w:rPr>
          <w:t>(2004), 71 O.R. (3d) 712</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Halifax Insurance Company of Canada v. Innopex Limited et. al</w:t>
      </w:r>
      <w:r>
        <w:rPr>
          <w:rFonts w:ascii="arial" w:eastAsia="arial" w:hAnsi="arial" w:cs="arial"/>
          <w:color w:val="000000"/>
          <w:sz w:val="20"/>
          <w:lang w:val="en-US" w:eastAsia="en-US" w:bidi="ar-SA"/>
        </w:rPr>
        <w:t xml:space="preserve">. </w:t>
      </w:r>
      <w:hyperlink r:id="rId363" w:history="1">
        <w:r>
          <w:rPr>
            <w:rFonts w:ascii="arial" w:eastAsia="arial" w:hAnsi="arial" w:cs="arial"/>
            <w:i/>
            <w:color w:val="0077CC"/>
            <w:sz w:val="20"/>
            <w:u w:val="single"/>
            <w:shd w:val="clear" w:color="auto" w:fill="FFFFFF"/>
            <w:lang w:val="en-US" w:eastAsia="en-US" w:bidi="ar-SA"/>
          </w:rPr>
          <w:t>(2004), 72 O.R. (3d) 522</w:t>
        </w:r>
      </w:hyperlink>
      <w:r>
        <w:rPr>
          <w:rFonts w:ascii="arial" w:eastAsia="arial" w:hAnsi="arial" w:cs="arial"/>
          <w:color w:val="000000"/>
          <w:sz w:val="20"/>
          <w:lang w:val="en-US" w:eastAsia="en-US" w:bidi="ar-SA"/>
        </w:rPr>
        <w:t xml:space="preserve"> (C.A.), leave to appeal ref'd </w:t>
      </w:r>
      <w:hyperlink r:id="rId364" w:history="1">
        <w:r>
          <w:rPr>
            <w:rFonts w:ascii="arial" w:eastAsia="arial" w:hAnsi="arial" w:cs="arial"/>
            <w:i/>
            <w:color w:val="0077CC"/>
            <w:sz w:val="20"/>
            <w:u w:val="single"/>
            <w:shd w:val="clear" w:color="auto" w:fill="FFFFFF"/>
            <w:lang w:val="en-US" w:eastAsia="en-US" w:bidi="ar-SA"/>
          </w:rPr>
          <w:t>[2004] S.C.C.A. No. 586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p</w:t>
      </w:r>
      <w:r>
        <w:rPr>
          <w:rFonts w:ascii="arial" w:eastAsia="arial" w:hAnsi="arial" w:cs="arial"/>
          <w:i/>
          <w:color w:val="000000"/>
          <w:sz w:val="20"/>
          <w:lang w:val="en-US" w:eastAsia="en-US" w:bidi="ar-SA"/>
        </w:rPr>
        <w:t>rairieFyre</w:t>
      </w:r>
      <w:r>
        <w:rPr>
          <w:rFonts w:ascii="arial" w:eastAsia="arial" w:hAnsi="arial" w:cs="arial"/>
          <w:color w:val="000000"/>
          <w:sz w:val="20"/>
          <w:lang w:val="en-US" w:eastAsia="en-US" w:bidi="ar-SA"/>
        </w:rPr>
        <w:t xml:space="preserve">, the application judge relied in part on the reasoning in </w:t>
      </w:r>
      <w:r>
        <w:rPr>
          <w:rFonts w:ascii="arial" w:eastAsia="arial" w:hAnsi="arial" w:cs="arial"/>
          <w:i/>
          <w:color w:val="000000"/>
          <w:sz w:val="20"/>
          <w:lang w:val="en-US" w:eastAsia="en-US" w:bidi="ar-SA"/>
        </w:rPr>
        <w:t>Grayson</w:t>
      </w:r>
      <w:r>
        <w:rPr>
          <w:rFonts w:ascii="arial" w:eastAsia="arial" w:hAnsi="arial" w:cs="arial"/>
          <w:color w:val="000000"/>
          <w:sz w:val="20"/>
          <w:lang w:val="en-US" w:eastAsia="en-US" w:bidi="ar-SA"/>
        </w:rPr>
        <w:t>. Mr. Justice Lalonde found a causal link between the advertising activity and the injury, but ultimately held that there was no duty to defend because an exclusion clause (for advertising liability arising as a result of a breach of contract) applied. The Ontario Court of Appeal affirmed the result, but diverged in its reasoning. It viewed there to be an insufficient connection between the plaintiff's allegations of advertising activity and prairieFyre's alleged copyright infringement to trigger a duty to defend. It also construed the policy wording to require a causal connection based on the following language excerpted in para. 23 of the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Advertising injury means injury caused by any of the following offences </w:t>
      </w:r>
      <w:r>
        <w:rPr>
          <w:rFonts w:ascii="arial" w:eastAsia="arial" w:hAnsi="arial" w:cs="arial"/>
          <w:i/>
          <w:color w:val="000000"/>
          <w:sz w:val="20"/>
          <w:lang w:val="en-US" w:eastAsia="en-US" w:bidi="ar-SA"/>
        </w:rPr>
        <w:t>that result from</w:t>
      </w:r>
      <w:r>
        <w:rPr>
          <w:rFonts w:ascii="arial" w:eastAsia="arial" w:hAnsi="arial" w:cs="arial"/>
          <w:color w:val="000000"/>
          <w:sz w:val="20"/>
          <w:lang w:val="en-US" w:eastAsia="en-US" w:bidi="ar-SA"/>
        </w:rPr>
        <w:t xml:space="preserve"> the advertising of your products or work...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That language does not appear in Lloyd's first policy. Its wording is more closely aligned with the policy wording in </w:t>
      </w:r>
      <w:r>
        <w:rPr>
          <w:rFonts w:ascii="arial" w:eastAsia="arial" w:hAnsi="arial" w:cs="arial"/>
          <w:i/>
          <w:color w:val="000000"/>
          <w:sz w:val="20"/>
          <w:lang w:val="en-US" w:eastAsia="en-US" w:bidi="ar-SA"/>
        </w:rPr>
        <w:t>Grayson</w:t>
      </w:r>
      <w:r>
        <w:rPr>
          <w:rFonts w:ascii="arial" w:eastAsia="arial" w:hAnsi="arial" w:cs="arial"/>
          <w:color w:val="000000"/>
          <w:sz w:val="20"/>
          <w:lang w:val="en-US" w:eastAsia="en-US" w:bidi="ar-SA"/>
        </w:rPr>
        <w:t>. The words "resulting from" do, however, appear in the definition in Lloyd's' second policy. That is not sufficient, in my opinion, to affect the result in this case. Nor did Lloyd's assert that it does.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reaching its decision, the Ontario Court of Appeal did not comment on </w:t>
      </w:r>
      <w:r>
        <w:rPr>
          <w:rFonts w:ascii="arial" w:eastAsia="arial" w:hAnsi="arial" w:cs="arial"/>
          <w:i/>
          <w:color w:val="000000"/>
          <w:sz w:val="20"/>
          <w:lang w:val="en-US" w:eastAsia="en-US" w:bidi="ar-SA"/>
        </w:rPr>
        <w:t>Grayson</w:t>
      </w:r>
      <w:r>
        <w:rPr>
          <w:rFonts w:ascii="arial" w:eastAsia="arial" w:hAnsi="arial" w:cs="arial"/>
          <w:color w:val="000000"/>
          <w:sz w:val="20"/>
          <w:lang w:val="en-US" w:eastAsia="en-US" w:bidi="ar-SA"/>
        </w:rPr>
        <w:t xml:space="preserve">. Nor did it remark upon the application judge's seeming reliance of the overarching approach taken to the issue in </w:t>
      </w:r>
      <w:r>
        <w:rPr>
          <w:rFonts w:ascii="arial" w:eastAsia="arial" w:hAnsi="arial" w:cs="arial"/>
          <w:i/>
          <w:color w:val="000000"/>
          <w:sz w:val="20"/>
          <w:lang w:val="en-US" w:eastAsia="en-US" w:bidi="ar-SA"/>
        </w:rPr>
        <w:t>Grayson</w:t>
      </w:r>
      <w:r>
        <w:rPr>
          <w:rFonts w:ascii="arial" w:eastAsia="arial" w:hAnsi="arial" w:cs="arial"/>
          <w:color w:val="000000"/>
          <w:sz w:val="20"/>
          <w:lang w:val="en-US" w:eastAsia="en-US" w:bidi="ar-SA"/>
        </w:rPr>
        <w:t xml:space="preserve"> as applicable law in Ontario. Instead, the Ontario Court of Appeal made its own determination of the duty to defend issue based upon its construction of the policy wording in that case. In those circumstances, I do not accept that there is a basis to say that the Ontario Court of Appeal's decision in p</w:t>
      </w:r>
      <w:r>
        <w:rPr>
          <w:rFonts w:ascii="arial" w:eastAsia="arial" w:hAnsi="arial" w:cs="arial"/>
          <w:i/>
          <w:color w:val="000000"/>
          <w:sz w:val="20"/>
          <w:lang w:val="en-US" w:eastAsia="en-US" w:bidi="ar-SA"/>
        </w:rPr>
        <w:t>rairieFyre</w:t>
      </w:r>
      <w:r>
        <w:rPr>
          <w:rFonts w:ascii="arial" w:eastAsia="arial" w:hAnsi="arial" w:cs="arial"/>
          <w:color w:val="000000"/>
          <w:sz w:val="20"/>
          <w:lang w:val="en-US" w:eastAsia="en-US" w:bidi="ar-SA"/>
        </w:rPr>
        <w:t xml:space="preserve"> casts doubt on the holding and </w:t>
      </w:r>
      <w:r>
        <w:rPr>
          <w:rFonts w:ascii="arial" w:eastAsia="arial" w:hAnsi="arial" w:cs="arial"/>
          <w:i/>
          <w:color w:val="000000"/>
          <w:sz w:val="20"/>
          <w:lang w:val="en-US" w:eastAsia="en-US" w:bidi="ar-SA"/>
        </w:rPr>
        <w:t>dicta</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Grayson</w:t>
      </w:r>
      <w:r>
        <w:rPr>
          <w:rFonts w:ascii="arial" w:eastAsia="arial" w:hAnsi="arial" w:cs="arial"/>
          <w:color w:val="000000"/>
          <w:sz w:val="20"/>
          <w:lang w:val="en-US" w:eastAsia="en-US" w:bidi="ar-SA"/>
        </w:rPr>
        <w:t xml:space="preserve">. Nor did Lloyd's seek to parse out the words in its policies in any substantive way to distinguish them from </w:t>
      </w:r>
      <w:r>
        <w:rPr>
          <w:rFonts w:ascii="arial" w:eastAsia="arial" w:hAnsi="arial" w:cs="arial"/>
          <w:i/>
          <w:color w:val="000000"/>
          <w:sz w:val="20"/>
          <w:lang w:val="en-US" w:eastAsia="en-US" w:bidi="ar-SA"/>
        </w:rPr>
        <w:t>Grayson</w:t>
      </w:r>
      <w:r>
        <w:rPr>
          <w:rFonts w:ascii="arial" w:eastAsia="arial" w:hAnsi="arial" w:cs="arial"/>
          <w:color w:val="000000"/>
          <w:sz w:val="20"/>
          <w:lang w:val="en-US" w:eastAsia="en-US" w:bidi="ar-SA"/>
        </w:rPr>
        <w:t xml:space="preserve"> and liken either or both of them to p</w:t>
      </w:r>
      <w:r>
        <w:rPr>
          <w:rFonts w:ascii="arial" w:eastAsia="arial" w:hAnsi="arial" w:cs="arial"/>
          <w:i/>
          <w:color w:val="000000"/>
          <w:sz w:val="20"/>
          <w:lang w:val="en-US" w:eastAsia="en-US" w:bidi="ar-SA"/>
        </w:rPr>
        <w:t>rairieFyre</w:t>
      </w:r>
      <w:r>
        <w:rPr>
          <w:rFonts w:ascii="arial" w:eastAsia="arial" w:hAnsi="arial" w:cs="arial"/>
          <w:color w:val="000000"/>
          <w:sz w:val="20"/>
          <w:lang w:val="en-US" w:eastAsia="en-US" w:bidi="ar-SA"/>
        </w:rPr>
        <w:t xml:space="preserve">. Lastly, and in any event, the approach taken in </w:t>
      </w:r>
      <w:r>
        <w:rPr>
          <w:rFonts w:ascii="arial" w:eastAsia="arial" w:hAnsi="arial" w:cs="arial"/>
          <w:i/>
          <w:color w:val="000000"/>
          <w:sz w:val="20"/>
          <w:lang w:val="en-US" w:eastAsia="en-US" w:bidi="ar-SA"/>
        </w:rPr>
        <w:t>Grayson</w:t>
      </w:r>
      <w:r>
        <w:rPr>
          <w:rFonts w:ascii="arial" w:eastAsia="arial" w:hAnsi="arial" w:cs="arial"/>
          <w:color w:val="000000"/>
          <w:sz w:val="20"/>
          <w:lang w:val="en-US" w:eastAsia="en-US" w:bidi="ar-SA"/>
        </w:rPr>
        <w:t xml:space="preserve"> to causation concerning the duty to defend arising from CGL advertising liability policies remains binding authority in this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other Canadian advertising liability coverage case cited by Lloyd's is the decision of the Ontario Court of Appeal in </w:t>
      </w:r>
      <w:r>
        <w:rPr>
          <w:rFonts w:ascii="arial" w:eastAsia="arial" w:hAnsi="arial" w:cs="arial"/>
          <w:i/>
          <w:color w:val="000000"/>
          <w:sz w:val="20"/>
          <w:lang w:val="en-US" w:eastAsia="en-US" w:bidi="ar-SA"/>
        </w:rPr>
        <w:t>Innopex</w:t>
      </w:r>
      <w:r>
        <w:rPr>
          <w:rFonts w:ascii="arial" w:eastAsia="arial" w:hAnsi="arial" w:cs="arial"/>
          <w:color w:val="000000"/>
          <w:sz w:val="20"/>
          <w:lang w:val="en-US" w:eastAsia="en-US" w:bidi="ar-SA"/>
        </w:rPr>
        <w:t xml:space="preserve">. The case concerned the duty to defend Halifax Insurance Company's insured against a claim in underlying litigation that the insured allegedly committed trademark infringement and unfair competition when it sold knock-off Gucci watches. From my reading of the reasons, the main focus of the decision concerned issues surrounding the admissibility of extrinsic evidence. However, in respect of the issues raised on this petition, the reasons do not suggest that courts in Ontario take a different approach from </w:t>
      </w:r>
      <w:r>
        <w:rPr>
          <w:rFonts w:ascii="arial" w:eastAsia="arial" w:hAnsi="arial" w:cs="arial"/>
          <w:i/>
          <w:color w:val="000000"/>
          <w:sz w:val="20"/>
          <w:lang w:val="en-US" w:eastAsia="en-US" w:bidi="ar-SA"/>
        </w:rPr>
        <w:t>Grayson</w:t>
      </w:r>
      <w:r>
        <w:rPr>
          <w:rFonts w:ascii="arial" w:eastAsia="arial" w:hAnsi="arial" w:cs="arial"/>
          <w:color w:val="000000"/>
          <w:sz w:val="20"/>
          <w:lang w:val="en-US" w:eastAsia="en-US" w:bidi="ar-SA"/>
        </w:rPr>
        <w:t xml:space="preserve">. The Court of Appeal's analysis in </w:t>
      </w:r>
      <w:r>
        <w:rPr>
          <w:rFonts w:ascii="arial" w:eastAsia="arial" w:hAnsi="arial" w:cs="arial"/>
          <w:i/>
          <w:color w:val="000000"/>
          <w:sz w:val="20"/>
          <w:lang w:val="en-US" w:eastAsia="en-US" w:bidi="ar-SA"/>
        </w:rPr>
        <w:t>Innopex</w:t>
      </w:r>
      <w:r>
        <w:rPr>
          <w:rFonts w:ascii="arial" w:eastAsia="arial" w:hAnsi="arial" w:cs="arial"/>
          <w:color w:val="000000"/>
          <w:sz w:val="20"/>
          <w:lang w:val="en-US" w:eastAsia="en-US" w:bidi="ar-SA"/>
        </w:rPr>
        <w:t xml:space="preserve"> was not fettered by the pleader's choice of words. It determined, in the absence of any reference to advertising in the pleading in the underlying action, that the insured's impugned conduct involved advertising and that it was central to the wrong alleged: para.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American authorities concerning insurance law are viewed to be of great assistance in Canadian jurisprudence, particularly in the absence of existing authority (see, e.g., </w:t>
      </w:r>
      <w:r>
        <w:rPr>
          <w:rFonts w:ascii="arial" w:eastAsia="arial" w:hAnsi="arial" w:cs="arial"/>
          <w:i/>
          <w:color w:val="000000"/>
          <w:sz w:val="20"/>
          <w:lang w:val="en-US" w:eastAsia="en-US" w:bidi="ar-SA"/>
        </w:rPr>
        <w:t>Innopex</w:t>
      </w:r>
      <w:r>
        <w:rPr>
          <w:rFonts w:ascii="arial" w:eastAsia="arial" w:hAnsi="arial" w:cs="arial"/>
          <w:color w:val="000000"/>
          <w:sz w:val="20"/>
          <w:lang w:val="en-US" w:eastAsia="en-US" w:bidi="ar-SA"/>
        </w:rPr>
        <w:t xml:space="preserve"> at para. 56), but as I have pointed out, </w:t>
      </w:r>
      <w:r>
        <w:rPr>
          <w:rFonts w:ascii="arial" w:eastAsia="arial" w:hAnsi="arial" w:cs="arial"/>
          <w:i/>
          <w:color w:val="000000"/>
          <w:sz w:val="20"/>
          <w:lang w:val="en-US" w:eastAsia="en-US" w:bidi="ar-SA"/>
        </w:rPr>
        <w:t>Grayson</w:t>
      </w:r>
      <w:r>
        <w:rPr>
          <w:rFonts w:ascii="arial" w:eastAsia="arial" w:hAnsi="arial" w:cs="arial"/>
          <w:color w:val="000000"/>
          <w:sz w:val="20"/>
          <w:lang w:val="en-US" w:eastAsia="en-US" w:bidi="ar-SA"/>
        </w:rPr>
        <w:t xml:space="preserve"> remains the leading authority in the Province and is binding.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Central, Not Coincidental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allegations in GBS's Complaint concerning the petitioners' advertising activities, which I have excerpted earlier in these reasons, are central and not coincidental to its claim. The alleged unfair competition is placed directly in the advertising activities of the petitioners, who allegedly used GBS's misappropriated trade secrets by advertising and selling it as their own in order to profit. I disagree with Lloyd's characterization of the allegations in the Complaint as essentially a claim for misappropriation of a trade secret with incidental and vague references to advertising.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its submissions, Lloyd's argues that other than a reference to a website, there are no particulars in the Complaint concerning the impugned advertising activities. However, Lloyd's is aware that particulars are not contained within pleadings as a matter of Washington State legal practice. Hence, there is no articulation of the type and method of advertising engaged in by the petitioner, and Lloyd's' submission is of no consequence.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An insured, such as the petitioners, is not at the mercy of the draftsmanship of the third party pleader. The Court made it clear in </w:t>
      </w:r>
      <w:r>
        <w:rPr>
          <w:rFonts w:ascii="arial" w:eastAsia="arial" w:hAnsi="arial" w:cs="arial"/>
          <w:i/>
          <w:color w:val="000000"/>
          <w:sz w:val="20"/>
          <w:lang w:val="en-US" w:eastAsia="en-US" w:bidi="ar-SA"/>
        </w:rPr>
        <w:t>Monenco</w:t>
      </w:r>
      <w:r>
        <w:rPr>
          <w:rFonts w:ascii="arial" w:eastAsia="arial" w:hAnsi="arial" w:cs="arial"/>
          <w:color w:val="000000"/>
          <w:sz w:val="20"/>
          <w:lang w:val="en-US" w:eastAsia="en-US" w:bidi="ar-SA"/>
        </w:rPr>
        <w:t xml:space="preserve"> that where pleadings are not framed with sufficient precision to determine whether the claims are covered by the policy, the obligation to defend will be triggered where a claim for coverage "can be inferred" from a "reasonable reading of the pleadings". Citing </w:t>
      </w:r>
      <w:r>
        <w:rPr>
          <w:rFonts w:ascii="arial" w:eastAsia="arial" w:hAnsi="arial" w:cs="arial"/>
          <w:i/>
          <w:color w:val="000000"/>
          <w:sz w:val="20"/>
          <w:lang w:val="en-US" w:eastAsia="en-US" w:bidi="ar-SA"/>
        </w:rPr>
        <w:t>Nichols</w:t>
      </w:r>
      <w:r>
        <w:rPr>
          <w:rFonts w:ascii="arial" w:eastAsia="arial" w:hAnsi="arial" w:cs="arial"/>
          <w:color w:val="000000"/>
          <w:sz w:val="20"/>
          <w:lang w:val="en-US" w:eastAsia="en-US" w:bidi="ar-SA"/>
        </w:rPr>
        <w:t xml:space="preserve">, and relying on the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rule, the Court made it equally clear that for the purpose of determining the duty to defend, the scope of coverage must be construed broadly: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Nonetheless, I do not find any aspect of the relevant portions of the Complaint to be unclear or ambiguous. The allegations contained within the Complaint are sufficiently pleaded to determine the substance and true nature of GBS's claim. The rule permitting limited extrinsic evidence to be admitted as an aid to determine the duty to defend is not engaged: </w:t>
      </w:r>
      <w:r>
        <w:rPr>
          <w:rFonts w:ascii="arial" w:eastAsia="arial" w:hAnsi="arial" w:cs="arial"/>
          <w:i/>
          <w:color w:val="000000"/>
          <w:sz w:val="20"/>
          <w:lang w:val="en-US" w:eastAsia="en-US" w:bidi="ar-SA"/>
        </w:rPr>
        <w:t>Monenco</w:t>
      </w:r>
      <w:r>
        <w:rPr>
          <w:rFonts w:ascii="arial" w:eastAsia="arial" w:hAnsi="arial" w:cs="arial"/>
          <w:color w:val="000000"/>
          <w:sz w:val="20"/>
          <w:lang w:val="en-US" w:eastAsia="en-US" w:bidi="ar-SA"/>
        </w:rPr>
        <w:t xml:space="preserve"> at para. 36; </w:t>
      </w:r>
      <w:r>
        <w:rPr>
          <w:rFonts w:ascii="arial" w:eastAsia="arial" w:hAnsi="arial" w:cs="arial"/>
          <w:i/>
          <w:color w:val="000000"/>
          <w:sz w:val="20"/>
          <w:lang w:val="en-US" w:eastAsia="en-US" w:bidi="ar-SA"/>
        </w:rPr>
        <w:t>1540039 Ontario Ltd. v. Famers' Mutual Insurance Co. (Lindsay)</w:t>
      </w:r>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2012 ONCA 210</w:t>
        </w:r>
      </w:hyperlink>
      <w:r>
        <w:rPr>
          <w:rFonts w:ascii="arial" w:eastAsia="arial" w:hAnsi="arial" w:cs="arial"/>
          <w:color w:val="000000"/>
          <w:sz w:val="20"/>
          <w:lang w:val="en-US" w:eastAsia="en-US" w:bidi="ar-SA"/>
        </w:rPr>
        <w:t xml:space="preserve"> at paras. 25-29,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 further aspect of Lloyd's' insuring agreement also makes it clear that Lloyd's must defend the petitioners. Lloyd's' policies require it to pay all sums which the petitioners become legally obligated to pay as damages for advertising liability. In oral submissions, Lloyd's conceded that if GBS proves that the petitioners profited from the advertisement of CPX, which it obtained through misappropriation of GBS's trade secrets, the petitioners would be exposed to GBS for greater damages beyond those arising solely from the misappropriation itself. In that respect, the link between the misappropriation and advertising, and Lloyd's' obligation to pay for damages, is established.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GBS's Purported Intent in Amending the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Lloyd's' submits that GBS's withdrawal of prior allegations concerning other statutory claims involving advertising means that the current Complaint should be construed as not involving the petitioners' advertising and marketing activities. Lloyd's' suggests that an inference should be drawn that GBS intended to withdraw all claims concerning advertising when it amended the Complaint the second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This approach overlooks the "pleadings rule", where the inquiry is focused on a comparative analysis between the claim(s) advanced in the pleading and the insuring agreement (including any applicable exclusions). Further, any such inference would have to be made upon extrinsic evidence, which in my opinion might involve inadmissible evidence from the third party pleader.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mischief caused by the consideration of intent in the manner proposed by Lloyd's is evident. To start with, it would involve an inappropriate departure from the application of the pleadings rule to an otherwise unambiguous Complaint. It could also lead to a wide ranging inquiry. For example, the petitioners or Lloyd's might attempt to adduce specific evidence of intent from the third party pleader. Arguably, it might be necessary to consider the reasons of the Superior Court Judge, who in permitting GBS's prior allegations to be withdrawn and considering whether costs should be awarded, remarked on the overlap between the allegations to be withdrawn (through dismissal) and those in the remaining pleadings: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gone through the complaint and reviewed the - - um, the claims that are now being dismissed and many of them seem to me to overlap to the claims that are not being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Further, Lloyd's' argument that I should infer GBS's intent to withdraw all claims for advertising liability when it amended the Complaint, might make relevant and potentially admissible the opinion of defence counsel concerning the nature and substance of the claim that is in fact being pursued.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conclusion, GBS's claim includes allegations that the petitioners engaged in unfair competition by first stealing GBS's trade secrets and then engaged further in unfair competition to make money, in part through its advertising activities to the public. The duty to defend is triggered under both of Lloyd's' policies. I grant the declaratory relief sought by the petitioners that Lloyd's is obliged to defend them in the Washington Action. Lloyd's must also indemnify the petitioners for any reasonable post-tender defence costs that the petitioners have incurred to date that have not been paid for by Lloyd's.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longstanding rule applied in this province is that an insured who successfully sues its insurer for coverage is entitled to special costs: </w:t>
      </w:r>
      <w:r>
        <w:rPr>
          <w:rFonts w:ascii="arial" w:eastAsia="arial" w:hAnsi="arial" w:cs="arial"/>
          <w:i/>
          <w:color w:val="000000"/>
          <w:sz w:val="20"/>
          <w:lang w:val="en-US" w:eastAsia="en-US" w:bidi="ar-SA"/>
        </w:rPr>
        <w:t>Tanious v. The Empire Life Insurance Company</w:t>
      </w:r>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2017 BCSC 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Williams v. Canales</w:t>
      </w:r>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2016 BCSC 1811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Co-operators General Insurance Company v. Kane</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2017 BCSC 1720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Lloyd's submits that a different approach should be taken in this case. It relies on two decisions from Ontario, both in the same case: </w:t>
      </w:r>
      <w:r>
        <w:rPr>
          <w:rFonts w:ascii="arial" w:eastAsia="arial" w:hAnsi="arial" w:cs="arial"/>
          <w:i/>
          <w:color w:val="000000"/>
          <w:sz w:val="20"/>
          <w:lang w:val="en-US" w:eastAsia="en-US" w:bidi="ar-SA"/>
        </w:rPr>
        <w:t>Coventree Inc. v. Lloyd's Syndicate 1211 (Millenium Syndicate)</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2011 ONSC 6660</w:t>
        </w:r>
      </w:hyperlink>
      <w:r>
        <w:rPr>
          <w:rFonts w:ascii="arial" w:eastAsia="arial" w:hAnsi="arial" w:cs="arial"/>
          <w:color w:val="000000"/>
          <w:sz w:val="20"/>
          <w:lang w:val="en-US" w:eastAsia="en-US" w:bidi="ar-SA"/>
        </w:rPr>
        <w:t xml:space="preserve">, varied on other grounds, </w:t>
      </w:r>
      <w:hyperlink r:id="rId370" w:history="1">
        <w:r>
          <w:rPr>
            <w:rFonts w:ascii="arial" w:eastAsia="arial" w:hAnsi="arial" w:cs="arial"/>
            <w:i/>
            <w:color w:val="0077CC"/>
            <w:sz w:val="20"/>
            <w:u w:val="single"/>
            <w:shd w:val="clear" w:color="auto" w:fill="FFFFFF"/>
            <w:lang w:val="en-US" w:eastAsia="en-US" w:bidi="ar-SA"/>
          </w:rPr>
          <w:t>2012 ONCA 341</w:t>
        </w:r>
      </w:hyperlink>
      <w:r>
        <w:rPr>
          <w:rFonts w:ascii="arial" w:eastAsia="arial" w:hAnsi="arial" w:cs="arial"/>
          <w:color w:val="000000"/>
          <w:sz w:val="20"/>
          <w:lang w:val="en-US" w:eastAsia="en-US" w:bidi="ar-SA"/>
        </w:rPr>
        <w:t xml:space="preserve">, leave to appeal ref'd </w:t>
      </w:r>
      <w:hyperlink r:id="rId371" w:history="1">
        <w:r>
          <w:rPr>
            <w:rFonts w:ascii="arial" w:eastAsia="arial" w:hAnsi="arial" w:cs="arial"/>
            <w:i/>
            <w:color w:val="0077CC"/>
            <w:sz w:val="20"/>
            <w:u w:val="single"/>
            <w:shd w:val="clear" w:color="auto" w:fill="FFFFFF"/>
            <w:lang w:val="en-US" w:eastAsia="en-US" w:bidi="ar-SA"/>
          </w:rPr>
          <w:t>[2012] S.C.C.A. No 276</w:t>
        </w:r>
      </w:hyperlink>
      <w:r>
        <w:rPr>
          <w:rFonts w:ascii="arial" w:eastAsia="arial" w:hAnsi="arial" w:cs="arial"/>
          <w:color w:val="000000"/>
          <w:sz w:val="20"/>
          <w:lang w:val="en-US" w:eastAsia="en-US" w:bidi="ar-SA"/>
        </w:rPr>
        <w:t xml:space="preserve">. Lloyd's submits that where there is a "legitimate question to be tried", an insurer should only be liable for ordinary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costs as per Rule 14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Lloyd's also questioned the basis for the long-standing approach in this province to costs, asking why CGL policies entered into between sophisticated parties should automatically attract an elevated scale of costs when other classes of commercial contracts do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Whether the approach taken in </w:t>
      </w:r>
      <w:r>
        <w:rPr>
          <w:rFonts w:ascii="arial" w:eastAsia="arial" w:hAnsi="arial" w:cs="arial"/>
          <w:i/>
          <w:color w:val="000000"/>
          <w:sz w:val="20"/>
          <w:lang w:val="en-US" w:eastAsia="en-US" w:bidi="ar-SA"/>
        </w:rPr>
        <w:t>Coventree</w:t>
      </w:r>
      <w:r>
        <w:rPr>
          <w:rFonts w:ascii="arial" w:eastAsia="arial" w:hAnsi="arial" w:cs="arial"/>
          <w:color w:val="000000"/>
          <w:sz w:val="20"/>
          <w:lang w:val="en-US" w:eastAsia="en-US" w:bidi="ar-SA"/>
        </w:rPr>
        <w:t xml:space="preserve"> is of universal application to insurance coverage disputes in Ontario is unclear. Recently, in </w:t>
      </w:r>
      <w:r>
        <w:rPr>
          <w:rFonts w:ascii="arial" w:eastAsia="arial" w:hAnsi="arial" w:cs="arial"/>
          <w:i/>
          <w:color w:val="000000"/>
          <w:sz w:val="20"/>
          <w:lang w:val="en-US" w:eastAsia="en-US" w:bidi="ar-SA"/>
        </w:rPr>
        <w:t>Hoang (Litigation Guardian of) v. Personal Insurance Co. of Canada</w:t>
      </w:r>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2017 ONSC 4193</w:t>
        </w:r>
      </w:hyperlink>
      <w:r>
        <w:rPr>
          <w:rFonts w:ascii="arial" w:eastAsia="arial" w:hAnsi="arial" w:cs="arial"/>
          <w:color w:val="000000"/>
          <w:sz w:val="20"/>
          <w:lang w:val="en-US" w:eastAsia="en-US" w:bidi="ar-SA"/>
        </w:rPr>
        <w:t>, Mr. Justice Morgan cited what he described as longstanding authority in Ontario, supporting the approach taken in this jurisdiction. He characterized the approach taken in those cases - that an insurer must pay full indemnity to its insured where the latter is required to bring an action to enforce the former's obligations under the policy and is successful - as "both authoritative and logical": paras.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Lloyd's did not provide any briefing that would permit me to depart from the approach taken in this province to costs. Lloyd's did not address </w:t>
      </w:r>
      <w:r>
        <w:rPr>
          <w:rFonts w:ascii="arial" w:eastAsia="arial" w:hAnsi="arial" w:cs="arial"/>
          <w:i/>
          <w:color w:val="000000"/>
          <w:sz w:val="20"/>
          <w:lang w:val="en-US" w:eastAsia="en-US" w:bidi="ar-SA"/>
        </w:rPr>
        <w:t>Re Hansard Spruce Mills Ltd.</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[1954] 4 D.L.R. 590</w:t>
        </w:r>
      </w:hyperlink>
      <w:r>
        <w:rPr>
          <w:rFonts w:ascii="arial" w:eastAsia="arial" w:hAnsi="arial" w:cs="arial"/>
          <w:color w:val="000000"/>
          <w:sz w:val="20"/>
          <w:lang w:val="en-US" w:eastAsia="en-US" w:bidi="ar-SA"/>
        </w:rPr>
        <w:t xml:space="preserve"> (B.C.S.C.). It did not provide any briefing of the law other than to refer to </w:t>
      </w:r>
      <w:r>
        <w:rPr>
          <w:rFonts w:ascii="arial" w:eastAsia="arial" w:hAnsi="arial" w:cs="arial"/>
          <w:i/>
          <w:color w:val="000000"/>
          <w:sz w:val="20"/>
          <w:lang w:val="en-US" w:eastAsia="en-US" w:bidi="ar-SA"/>
        </w:rPr>
        <w:t>Coventree</w:t>
      </w:r>
      <w:r>
        <w:rPr>
          <w:rFonts w:ascii="arial" w:eastAsia="arial" w:hAnsi="arial" w:cs="arial"/>
          <w:color w:val="000000"/>
          <w:sz w:val="20"/>
          <w:lang w:val="en-US" w:eastAsia="en-US" w:bidi="ar-SA"/>
        </w:rPr>
        <w:t xml:space="preserve">. Lloyd's did not seek to identify the origins of the rule adopted in this province or to justify a departure from it other than through its reference to </w:t>
      </w:r>
      <w:r>
        <w:rPr>
          <w:rFonts w:ascii="arial" w:eastAsia="arial" w:hAnsi="arial" w:cs="arial"/>
          <w:i/>
          <w:color w:val="000000"/>
          <w:sz w:val="20"/>
          <w:lang w:val="en-US" w:eastAsia="en-US" w:bidi="ar-SA"/>
        </w:rPr>
        <w:t>Coventree</w:t>
      </w:r>
      <w:r>
        <w:rPr>
          <w:rFonts w:ascii="arial" w:eastAsia="arial" w:hAnsi="arial" w:cs="arial"/>
          <w:color w:val="000000"/>
          <w:sz w:val="20"/>
          <w:lang w:val="en-US" w:eastAsia="en-US" w:bidi="ar-SA"/>
        </w:rPr>
        <w:t xml:space="preserve"> and to rhetorical questions concerning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petitioners are entitled to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P.W. WALKER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5" style="position:absolute;z-index:2518138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80" w:history="1">
        <w:r>
          <w:rPr>
            <w:rFonts w:ascii="arial" w:eastAsia="arial" w:hAnsi="arial" w:cs="arial"/>
            <w:b/>
            <w:bCs/>
            <w:i/>
            <w:color w:val="0077CC"/>
            <w:kern w:val="32"/>
            <w:sz w:val="28"/>
            <w:szCs w:val="32"/>
            <w:u w:val="single"/>
            <w:shd w:val="clear" w:color="auto" w:fill="FFFFFF"/>
            <w:lang w:val="en-US" w:eastAsia="en-US" w:bidi="ar-SA"/>
          </w:rPr>
          <w:t>Boake v. Blair (c.o.b. Braylin Contracting), [2019] B.C.J. No. 947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T.C. Armstrong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5,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28,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S111667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947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830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92 C.L.R. (4th) 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CarswellBC 1486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Thomas Robbie Boake, Carolyn Margaret Witt, Aviva Insurance Company of Canada and National Home Warranty Group Inc., Plaintiffs, and Ian Curtis Blair dba Braylin Contracting, Exp Services Inc., Les Services Exp Inc., The City of Kamloops, ABC Company #1, ABC Company #2 and ABC Company #3, Defendants, and Robert Wagner also known as Rob Wagner, Third Party, and Tracy Wagner, Thomas Robbie Boake, Carolyn Margaret Witt and Exp Services Inc. Les Services Exp Inc.,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(133 paras.)</w:t>
      </w:r>
    </w:p>
    <w:p>
      <w:pPr>
        <w:jc w:val="both"/>
        <w:rPr>
          <w:rFonts w:ascii="arial" w:eastAsia="arial" w:hAnsi="arial" w:cs="arial"/>
          <w:sz w:val="20"/>
          <w:lang w:val="en-US" w:eastAsia="en-US" w:bidi="ar-SA"/>
        </w:rPr>
      </w:pPr>
      <w:bookmarkStart w:id="73" w:name="Counsel_14"/>
      <w:bookmarkEnd w:id="7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6"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S.J. Gares.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Ian Curtis: L.G. Bergerman.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City of Kamloops: D. Buchanan.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J.M. Hogg,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4" w:name="Judgment_14"/>
      <w:bookmarkEnd w:id="74"/>
      <w:r>
        <w:pict>
          <v:line id="_x0000_s1087" style="position:absolute;z-index:2517258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5" w:name="T.C. ARMSTRONG J."/>
            <w:bookmarkEnd w:id="75"/>
            <w:r>
              <w:rPr>
                <w:rFonts w:ascii="arial" w:eastAsia="arial" w:hAnsi="arial" w:cs="arial"/>
                <w:b/>
                <w:color w:val="000000"/>
                <w:sz w:val="30"/>
                <w:lang w:val="en-US" w:eastAsia="en-US" w:bidi="ar-SA"/>
              </w:rPr>
              <w:t>T.C. ARMSTRONG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or around 2009, Robert and Tracy Wagner built a house at 1097 Quail Dr., Kamloops, B.C. (the "House"). Robert Wagner managed the construction and Tracy Wagner was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March 2008 Mr. Wagner made an agreement with Braylin Contracting Ltd. ("BCL") to supply him with a New Home Warranty ("NHW") for the house. Under their agreement with BCL. BCL agreed to obtain the home warranty insurance on Mr. Wagner's behalf as owner-builder. It was a term of the agreement that Mr. Wagner would be fully responsible for the building the House and for any damages, defects and deficiencies that might occur due to the construction. He agreed to indemnify BCL and Mr. Curtis for any loss, damage, costs or expenses it might incur as a result of obtaining the home warranty insurance on his behalf. BCL also agreed to inspect the construction of the home to ensure it met BC Building Code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July 2008, the plaintiff Aviva was the underwriter of warranty programs for new residential construction in B.C. It was represented by its agent National Home Warranty Group Inc. ("NHWG"). The plaintiffs entered into a builder agreement with BCL incorporating the provisions of the customary home warranty insurance program. The builder agreement included an indemnity clause requiring BCL to indemnify the plaintiff Aviva against any cost or expense it incurred under the NHW.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Curtis (identified by the surname Blair in the style of cause as it currently reads) entered into a personal guarantee with the plaintiff to assure Braylin Contracting Ltd.'s responsibilities as builder of the home under the NHW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2012 the Tracy Wagner sold the house to Tim Boake and Carolyn Witt, (the "new owners"). In 2014 the new owners learned that the House was experiencing structural defects that could require repair or remediation. They approached the plaintiffs with a view to making a claim under the NHW that had been issued by the plaintiff Aviva Insurance Company of Canada through its agent NHWG at the time of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August 2015 the plaintiff Aviva commissioned an engineering report that report confirmed to the plaintiff the extent of the deficiencies in the home construction, most notably an underlying geo-technical support issue and structural failure of the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This action was commenced by the plaintiffs, for a declaration of indemnity for costs they incurred, or might incur to remedy or repair structural defects in the house under the NHW, the </w:t>
      </w:r>
      <w:r>
        <w:rPr>
          <w:rFonts w:ascii="arial" w:eastAsia="arial" w:hAnsi="arial" w:cs="arial"/>
          <w:i/>
          <w:color w:val="000000"/>
          <w:sz w:val="20"/>
          <w:lang w:val="en-US" w:eastAsia="en-US" w:bidi="ar-SA"/>
        </w:rPr>
        <w:t>Homeowner Protection Act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Homeowner Protection Act Regulations</w:t>
      </w:r>
      <w:r>
        <w:rPr>
          <w:rFonts w:ascii="arial" w:eastAsia="arial" w:hAnsi="arial" w:cs="arial"/>
          <w:color w:val="000000"/>
          <w:sz w:val="20"/>
          <w:lang w:val="en-US" w:eastAsia="en-US" w:bidi="ar-SA"/>
        </w:rPr>
        <w:t>. The plaintiff also claims recovery for new owner's damages under their subrogated rights to clause in the NHW.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This application concerns the plaintiffs request and to amend their pleadings and to:</w:t>
      </w:r>
      <w:r>
        <w:rPr>
          <w:rFonts w:ascii="arial" w:eastAsia="arial" w:hAnsi="arial" w:cs="arial"/>
          <w:sz w:val="20"/>
          <w:lang w:val="en-US" w:eastAsia="en-US" w:bidi="ar-SA"/>
        </w:rPr>
        <w:cr/>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substitute Braylin Contracting Ltd. for Ian Curtis Blair, dba Braylin Contracting;</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substitute the defendant, Ian Curtis Blair with Ian Blair Curtis;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 Robert Wagner as a defendant;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add Braylin Contracting Ltd. and Ian Blair Curtis as defendants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When Robert and Tracy Wagner built the House, Mr. Wagner assisted in the general contractor's role in building the House and retained various sub-trades including the defendant EXP Services Inc. to perform geotechnical assessments on the property and the suitability of the property to support the proposed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Wagner sold the house to the new owners, Mr. Boake and Ms. Witt, in 2012. The new owners detected structural defects in the House and on July 4, 2014, notified the plaintiff that there were cracks in their foundation amongst other problems, likely from deficiencies in the construction of the House. In August 2014 the plaintiff responded noting the policy number, claim number and reference to "builder: Braylin Contracting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say notice of these defects was sent to Ian Curtis on March 7, 2016 notifying him that he had had failed to fulfil his obligations under the builder agreement with NHW and as imposed by the Home Protection Office and the plaintiff intended to hire contractors to correct the workable defects. This letter references Braylin Contracting Ltd., as the builder. The plaintiff alleged it had incurred expenses for the investigation of the claim and "will incur further expense in repairing the deficiencies and structural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June 30, 2016 this action was commenced. In the notice of civil claim ("NOCC") the plaintiff did not sue Braylin Contracting Ltd. or Robert Wagner. Mr. Wagner was named as a third-party in the third party notice filed June 23, 2017 by Ian Curtis Blair dba Braylin Contracting.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When this litigation started, the plaintiff's solicitor did not identify Braylin Contracting Ltd. as a party to the builder agreement with obligations to indemnify the plaintiff for expenses. The claim was only against Ian Curtis Blair dba Braylin Contracting.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notices of civil claim in this proceeding were not served on all parties until May 2017. On June 8, 2017 Mr. Curtis' counsel informed plaintiffs' counsel of the error in the NOCC to the extent that Mr. Curtis had never done business as a sole proprietor and that his limited company had been involved in the House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Curtis responded to the plaintiffs' NOCC on June 23, 2017 and filed his third party notice against Mr. Wagner also on June 23, 2017. In October 2017, Mr. Wagner was also named a third party in the proceeding at the behest of EXP Services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incurred expenses and paid funds to address some of the new owners' deficiency claims. The plaintiffs claimed a subrogated right to recover their costs from Mr. Curtis, a right to indemnity under the builder agreement and indemnity under Mr. Curtis' personal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proposes adding Robert Wagner as a defendant and adding or substituting Braylin Contracting Ltd. for Braylin Contracting (the sole proprietorship).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When this action was started, the plaintiffs mis-described Mr. Curtis (referring to him as Blair) in the NOCC and did not include the proposed defendants in their claims. Counsel was alerted to these errors by counsel for Mr. Curtis and on further investigation learned that Braylin Contracting Ltd. was the proper defendant, but that it had been dissolved December 22,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solicitor had conducted a B.C. company search and determined that Braylin Contracting was a registered proprietorship of a business carried on by Mr. Curtis and thus named that entity only. Due to inadvertence, counsel did not search the company registry to ascertain if there was a limited company by the name Braylin Contracting Ltd. at the time. It does not appear she was alive to the distinction between the proprietorship and limited company with similar names.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solicitor in her affidavit said "the plaintiffs were not aware that Mr. Wagner was involved in the construction of the house" before receiving a copy of the Curtis third-party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claims against Braylin Contracting Ltd., Mr. Curtis, and Mr. Wagner arise from the NHW and the assignment of new owner's rights to damages under the subrogation clause in the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 has two claims against Braylin Contracting Ltd.; one claim alleges breaches of duty of care in the construction of the House and failure to ensure the property was constructed in a good and workmanlike manner, free of defects. This claim is based on the plaintiff's subrogation rights under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R.S.B.C. 2012, c. 1, s. 36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Subrogation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36 (1) The insurer, on making a payment or assuming liability under a contract, is subrogated to all rights of recovery of the insured against any person, and may bring an action in the name of the insured to enforce those rights.</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net amount recovered after deducting the costs of recovery is not sufficient to provide a complete indemnity for the loss or damage suffered, that amount must be divided between the insurer and the insured in the proportions in which the loss or damage has been borne by them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second claim is based on the terms of the NHW requiring BCL to indemnify the plaintiff Aviva for any costs or expenses incurred by reason of a builder's breach of any obligation to a purchaser of the House. This claim is also addressed in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Permitted warranty terms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9 A warranty provider may include any of the following provisions in home warranty insurance:</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warranty provider makes a payment or assumes liability for any payment or repair under home warranty insurance,</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warranty provider is subrogated to all rights of recovery of an owner against any person or persons who may have caused or contributed to the requirement for the payment or repair under home warranty insurance,</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warranty provider may bring an action at its own expense, in the name of the owner or of the warranty provider, to enforce such rights, and</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must fully support and assist the warranty provider in the pursuit of those rights if the warranty provider pursues such subrogated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warranty provides that all NHW benefits automatically transfer to new owners of insured property and the plaintiff is subrogated to all rights of recovery of new owners against any persons who may have caused or contributed to the deficiency in the House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seeks an order amending the NOCC to substitute BCL for the proprietorship, Braylin Contracting. The plaintiff contends any claims for deficiencies and any loss, damage and expense suffered by the owners in relation to the deficiencies were a result of breaches of Braylin Contracting Ltd.'s duty to the owners and the plaintiff's are entitled to pursue a subrogated claim for those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plaintiff's second claim against BCL is for indemnity under its builder agreement with the plaintiff Aviva and collateral to the NHW. In addition to the NHW and the builder's agreement, Mr. Curtis personally guaranteed the obligations of BCL to the plaintiff Aviva. The plaintiffs contend that both Mr. Wagner and BCL are liable for the expenses or payments it incurred under the NHW including the cost of investigations, negotiations, litigation or settlement of the new owners' claims for coverage under the under the NHW.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plaintiffs also seek to add Mr. Wagner as a defendant based on a claim he failed to use reasonable care and skill in design and construction of the house. They contend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and breach of duty caused or contributed to structural damage that has resulted in the plaintiffs expending money to investigate the alleged deficiencies and make the necessary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first issue to be resolved is whether the plaintiff's application is a proper application for substitution rather than the correction of a misnomer. This is significant because if either application is to substitute a defendant, then any accrued limitation periods must be addressed. If the application is to correct a misnomer, no question concerning the limitation period arises.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Misnomer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plaintiff contends that the names used on the NOCC were misnomers that could be readily corrected by substituting the proper names of Braylin Contracting Ltd. for Ian Curtis Blair dba Braylin Contracting and Ian Blair Curtis for Ian Curtis Blair. The plaintiff relies on principles discussed in </w:t>
      </w:r>
      <w:r>
        <w:rPr>
          <w:rFonts w:ascii="arial" w:eastAsia="arial" w:hAnsi="arial" w:cs="arial"/>
          <w:i/>
          <w:color w:val="000000"/>
          <w:sz w:val="20"/>
          <w:lang w:val="en-US" w:eastAsia="en-US" w:bidi="ar-SA"/>
        </w:rPr>
        <w:t>Jackson v. Bubela</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(1972), 28 D.L.R. (3d) 500</w:t>
        </w:r>
      </w:hyperlink>
      <w:r>
        <w:rPr>
          <w:rFonts w:ascii="arial" w:eastAsia="arial" w:hAnsi="arial" w:cs="arial"/>
          <w:color w:val="000000"/>
          <w:sz w:val="20"/>
          <w:lang w:val="en-US" w:eastAsia="en-US" w:bidi="ar-SA"/>
        </w:rPr>
        <w:t xml:space="preserve"> (B.C.C.A.), in which the Court of Appeal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"misnomer" usually has reference to a wrong naming by mistake, whereas the wrong naming here was deliberate, I think the tests above set out with respect to misnomer generically have full application in this case. I can see no compelling reason why an inadvertent misnaming of a clearly identified person should be any less subject to the test relative to misnomer than an inadvertent one. This is particularly so when the conduct of that person has caused or contributed to the situation. I therefore conclude that the application was one of amendment to correct a misnomer and not for the addition or substitution of a new or different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This case is similar to </w:t>
      </w:r>
      <w:r>
        <w:rPr>
          <w:rFonts w:ascii="arial" w:eastAsia="arial" w:hAnsi="arial" w:cs="arial"/>
          <w:i/>
          <w:color w:val="000000"/>
          <w:sz w:val="20"/>
          <w:lang w:val="en-US" w:eastAsia="en-US" w:bidi="ar-SA"/>
        </w:rPr>
        <w:t>Jackson</w:t>
      </w:r>
      <w:r>
        <w:rPr>
          <w:rFonts w:ascii="arial" w:eastAsia="arial" w:hAnsi="arial" w:cs="arial"/>
          <w:color w:val="000000"/>
          <w:sz w:val="20"/>
          <w:lang w:val="en-US" w:eastAsia="en-US" w:bidi="ar-SA"/>
        </w:rPr>
        <w:t xml:space="preserve"> which dealt with the naming of an unidentified motorist as John Doe "at a time when the identity of that person was not known to the plaintiff". In </w:t>
      </w:r>
      <w:r>
        <w:rPr>
          <w:rFonts w:ascii="arial" w:eastAsia="arial" w:hAnsi="arial" w:cs="arial"/>
          <w:i/>
          <w:color w:val="000000"/>
          <w:sz w:val="20"/>
          <w:lang w:val="en-US" w:eastAsia="en-US" w:bidi="ar-SA"/>
        </w:rPr>
        <w:t>Jackson</w:t>
      </w:r>
      <w:r>
        <w:rPr>
          <w:rFonts w:ascii="arial" w:eastAsia="arial" w:hAnsi="arial" w:cs="arial"/>
          <w:color w:val="000000"/>
          <w:sz w:val="20"/>
          <w:lang w:val="en-US" w:eastAsia="en-US" w:bidi="ar-SA"/>
        </w:rPr>
        <w:t xml:space="preserve">, the court, referring to </w:t>
      </w:r>
      <w:r>
        <w:rPr>
          <w:rFonts w:ascii="arial" w:eastAsia="arial" w:hAnsi="arial" w:cs="arial"/>
          <w:i/>
          <w:color w:val="000000"/>
          <w:sz w:val="20"/>
          <w:lang w:val="en-US" w:eastAsia="en-US" w:bidi="ar-SA"/>
        </w:rPr>
        <w:t>Davies v. Elsby Bros. Ltd.</w:t>
      </w:r>
      <w:r>
        <w:rPr>
          <w:rFonts w:ascii="arial" w:eastAsia="arial" w:hAnsi="arial" w:cs="arial"/>
          <w:color w:val="000000"/>
          <w:sz w:val="20"/>
          <w:lang w:val="en-US" w:eastAsia="en-US" w:bidi="ar-SA"/>
        </w:rPr>
        <w:t xml:space="preserve">, [1960] 3 All E.R. 672 (C.A.) described the test differently; it said if the person receiving the document cannot tell whether it refers to the recipient or not, and has to make inquiries on that point, the case is beyond the realm of misnomer. The court in </w:t>
      </w:r>
      <w:r>
        <w:rPr>
          <w:rFonts w:ascii="arial" w:eastAsia="arial" w:hAnsi="arial" w:cs="arial"/>
          <w:i/>
          <w:color w:val="000000"/>
          <w:sz w:val="20"/>
          <w:lang w:val="en-US" w:eastAsia="en-US" w:bidi="ar-SA"/>
        </w:rPr>
        <w:t>Davies</w:t>
      </w:r>
      <w:r>
        <w:rPr>
          <w:rFonts w:ascii="arial" w:eastAsia="arial" w:hAnsi="arial" w:cs="arial"/>
          <w:color w:val="000000"/>
          <w:sz w:val="20"/>
          <w:lang w:val="en-US" w:eastAsia="en-US" w:bidi="ar-SA"/>
        </w:rPr>
        <w:t xml:space="preserve"> at 676 said "one of the factors which operate on the mind of the recipient of a document, and which operates in this case, is whether there is or is not another entity to whom the description on the writ might refer".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 different perspective on the application was articulated in </w:t>
      </w:r>
      <w:r>
        <w:rPr>
          <w:rFonts w:ascii="arial" w:eastAsia="arial" w:hAnsi="arial" w:cs="arial"/>
          <w:i/>
          <w:color w:val="000000"/>
          <w:sz w:val="20"/>
          <w:lang w:val="en-US" w:eastAsia="en-US" w:bidi="ar-SA"/>
        </w:rPr>
        <w:t>Sperling v. "Queen of Nanaimo" (The)</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2014 BCSC 326</w:t>
        </w:r>
      </w:hyperlink>
      <w:r>
        <w:rPr>
          <w:rFonts w:ascii="arial" w:eastAsia="arial" w:hAnsi="arial" w:cs="arial"/>
          <w:color w:val="000000"/>
          <w:sz w:val="20"/>
          <w:lang w:val="en-US" w:eastAsia="en-US" w:bidi="ar-SA"/>
        </w:rPr>
        <w:t xml:space="preserve"> at para. 23, the court cited </w:t>
      </w:r>
      <w:r>
        <w:rPr>
          <w:rFonts w:ascii="arial" w:eastAsia="arial" w:hAnsi="arial" w:cs="arial"/>
          <w:i/>
          <w:color w:val="000000"/>
          <w:sz w:val="20"/>
          <w:lang w:val="en-US" w:eastAsia="en-US" w:bidi="ar-SA"/>
        </w:rPr>
        <w:t>Broom v. Royal</w:t>
      </w:r>
      <w:r>
        <w:rPr>
          <w:rFonts w:ascii="arial" w:eastAsia="arial" w:hAnsi="arial" w:cs="arial"/>
          <w:color w:val="000000"/>
          <w:sz w:val="20"/>
          <w:lang w:val="en-US" w:eastAsia="en-US" w:bidi="ar-SA"/>
        </w:rPr>
        <w:t xml:space="preserve"> Centre, </w:t>
      </w:r>
      <w:hyperlink r:id="rId384" w:history="1">
        <w:r>
          <w:rPr>
            <w:rFonts w:ascii="arial" w:eastAsia="arial" w:hAnsi="arial" w:cs="arial"/>
            <w:i/>
            <w:color w:val="0077CC"/>
            <w:sz w:val="20"/>
            <w:u w:val="single"/>
            <w:shd w:val="clear" w:color="auto" w:fill="FFFFFF"/>
            <w:lang w:val="en-US" w:eastAsia="en-US" w:bidi="ar-SA"/>
          </w:rPr>
          <w:t>2005 BCSC 1630</w:t>
        </w:r>
      </w:hyperlink>
      <w:r>
        <w:rPr>
          <w:rFonts w:ascii="arial" w:eastAsia="arial" w:hAnsi="arial" w:cs="arial"/>
          <w:color w:val="000000"/>
          <w:sz w:val="20"/>
          <w:lang w:val="en-US" w:eastAsia="en-US" w:bidi="ar-SA"/>
        </w:rPr>
        <w:t>, describing the difference between misnomer, and how the court should exercise discretion: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In </w:t>
      </w:r>
      <w:r>
        <w:rPr>
          <w:rFonts w:ascii="arial" w:eastAsia="arial" w:hAnsi="arial" w:cs="arial"/>
          <w:i/>
          <w:color w:val="000000"/>
          <w:sz w:val="20"/>
          <w:lang w:val="en-US" w:eastAsia="en-US" w:bidi="ar-SA"/>
        </w:rPr>
        <w:t>Oldridge</w:t>
      </w:r>
      <w:r>
        <w:rPr>
          <w:rFonts w:ascii="arial" w:eastAsia="arial" w:hAnsi="arial" w:cs="arial"/>
          <w:color w:val="000000"/>
          <w:sz w:val="20"/>
          <w:lang w:val="en-US" w:eastAsia="en-US" w:bidi="ar-SA"/>
        </w:rPr>
        <w:t xml:space="preserve"> the important distinction between misnomer and an application to substitute a correct defendant is discussed at p.340. It is noted that the distinction is often vital because a limitation period may have accrued in favour of a defendant sought to be added, which would not apply in the case of misnomer, where a defendant has been mis-described. An amendment to the style of cause to correct a misnomer of one of the parties will be allowed after the expiration of the limitation period. The correction of the misnomer does not prejudice the other party because he was an identifiable party in the pleadings at the time that the action was commenced. The amendment simply corrects the misnomer by setting out his actual name.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It seems to me, on the basis of </w:t>
      </w:r>
      <w:r>
        <w:rPr>
          <w:rFonts w:ascii="arial" w:eastAsia="arial" w:hAnsi="arial" w:cs="arial"/>
          <w:i/>
          <w:color w:val="000000"/>
          <w:sz w:val="20"/>
          <w:lang w:val="en-US" w:eastAsia="en-US" w:bidi="ar-SA"/>
        </w:rPr>
        <w:t>Jackson</w:t>
      </w:r>
      <w:r>
        <w:rPr>
          <w:rFonts w:ascii="arial" w:eastAsia="arial" w:hAnsi="arial" w:cs="arial"/>
          <w:color w:val="000000"/>
          <w:sz w:val="20"/>
          <w:lang w:val="en-US" w:eastAsia="en-US" w:bidi="ar-SA"/>
        </w:rPr>
        <w:t xml:space="preserve">, that in the case of an advertent misnaming of a party as John Doe, an amendment substituting the correct name should be almost automatic, provided, of course, that John Doe is sufficiently described in the pleading as an identifiable person or corporation, although not by name; for example, the driver of a motor vehicle involved in a particular accident, or a corporation responsible for the cleaning and maintaining of particular premises at the time that a person was injured allegedly as a result of the condition of those premises; provided also that the other party is not substantially prejudiced or injured, a situation which generally speaking is difficult to envisage. This Court has always considered misnomer to be an irregularity only, not a nullity, and has always allowed amendments which could be made without injustice to the other side. See for example </w:t>
      </w:r>
      <w:r>
        <w:rPr>
          <w:rFonts w:ascii="arial" w:eastAsia="arial" w:hAnsi="arial" w:cs="arial"/>
          <w:i/>
          <w:color w:val="000000"/>
          <w:sz w:val="20"/>
          <w:lang w:val="en-US" w:eastAsia="en-US" w:bidi="ar-SA"/>
        </w:rPr>
        <w:t>B.C. Furniture Company v. Tugwell</w:t>
      </w:r>
      <w:r>
        <w:rPr>
          <w:rFonts w:ascii="arial" w:eastAsia="arial" w:hAnsi="arial" w:cs="arial"/>
          <w:color w:val="000000"/>
          <w:sz w:val="20"/>
          <w:lang w:val="en-US" w:eastAsia="en-US" w:bidi="ar-SA"/>
        </w:rPr>
        <w:t xml:space="preserve"> (1900), 7 B.C. Law Reports 361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Although the plaintiff in this case was deliberate in naming Mr. Curtis "dba Braylin Contracting" it is significant that BCL had been struck off the Company registry and could not be sued at the time. When Mr. Curtis received the NOCC which described him as "dba Braylin Contracting" he quickly denied ever doing business under the named proprietorship that had been formed in 2004 which named him as proprietor.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When Mr. Curtis filed his response to the civil claim denying that he had ever carried on business as Braylin Contracting a sole proprietorship, he identified Braylin Contracting Ltd. as his company incorporated in B.C. but dissolved in 2009. He said that neither himself nor BCL built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Plaintiff's counsel contends they inadvertently failed to conduct a historical company search for BCL before they inadvertently named Ian Blair Curtis as "Ian Curtis Blair" dba Braylin Contracting. She did not explain why she drafted the NOCC referring to "Braylin" without searching BCL, performing a historical company search or reviewing the builder's agreement and the correspondence. Any of these steps would have disclosed the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concedes that the lawyer cannot explain how they became aware of the sole proprietorship which was deliberately named as a defendant (based on a registry search) in the proceedings but ignored BCL described in the NHW. This inadvertence must have happened because counsel did not read or understand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Although the lawyer said the failure to name BCL as a defendant was "inadvertent", it appears to me the choice to a name the proprietorship and not the limited company may have been deliberate in the face of the search results describing Mr. Curtis's role with the sole proprietorship that induced them to conclude the contract was with the proprietorship and not the limited company. This error could have been avoided by paying attention to the documents setting out the contractual relationship and correspondence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conclude that at all relevant times plaintiff's counsel should have been aware that the proper defendant regarding claims under the NHW was a limited company because the indemnity agreement clearly described the parties as Aviva, NHWG and BCL. All of the correspondence between the plaintiff, the new owners and Ian Curtis reflect that the builder's agreement was between BCL and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Although, consistent with the principle in </w:t>
      </w:r>
      <w:r>
        <w:rPr>
          <w:rFonts w:ascii="arial" w:eastAsia="arial" w:hAnsi="arial" w:cs="arial"/>
          <w:i/>
          <w:color w:val="000000"/>
          <w:sz w:val="20"/>
          <w:lang w:val="en-US" w:eastAsia="en-US" w:bidi="ar-SA"/>
        </w:rPr>
        <w:t>Davies</w:t>
      </w:r>
      <w:r>
        <w:rPr>
          <w:rFonts w:ascii="arial" w:eastAsia="arial" w:hAnsi="arial" w:cs="arial"/>
          <w:color w:val="000000"/>
          <w:sz w:val="20"/>
          <w:lang w:val="en-US" w:eastAsia="en-US" w:bidi="ar-SA"/>
        </w:rPr>
        <w:t xml:space="preserve">, there was another entity to whom the description on the NOCC might refer and I accept that Mr. Curtis knew at the time, that BCL was the intended defendant. The test is whether a reasonable person would look at the pleadings and say "of course that is me, but they got my name wrong": see </w:t>
      </w:r>
      <w:r>
        <w:rPr>
          <w:rFonts w:ascii="arial" w:eastAsia="arial" w:hAnsi="arial" w:cs="arial"/>
          <w:i/>
          <w:color w:val="000000"/>
          <w:sz w:val="20"/>
          <w:lang w:val="en-US" w:eastAsia="en-US" w:bidi="ar-SA"/>
        </w:rPr>
        <w:t>Strata Plan LMS 1564 v. Odyssey Tower Properties Ltd.</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2010 BCSC 1134</w:t>
        </w:r>
      </w:hyperlink>
      <w:r>
        <w:rPr>
          <w:rFonts w:ascii="arial" w:eastAsia="arial" w:hAnsi="arial" w:cs="arial"/>
          <w:color w:val="000000"/>
          <w:sz w:val="20"/>
          <w:lang w:val="en-US" w:eastAsia="en-US" w:bidi="ar-SA"/>
        </w:rPr>
        <w:t xml:space="preserve"> at paras. 37-38; </w:t>
      </w:r>
      <w:r>
        <w:rPr>
          <w:rFonts w:ascii="arial" w:eastAsia="arial" w:hAnsi="arial" w:cs="arial"/>
          <w:i/>
          <w:color w:val="000000"/>
          <w:sz w:val="20"/>
          <w:lang w:val="en-US" w:eastAsia="en-US" w:bidi="ar-SA"/>
        </w:rPr>
        <w:t>MOBE Ltd. v. Loudon</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2017 BCSC 2668</w:t>
        </w:r>
      </w:hyperlink>
      <w:r>
        <w:rPr>
          <w:rFonts w:ascii="arial" w:eastAsia="arial" w:hAnsi="arial" w:cs="arial"/>
          <w:color w:val="000000"/>
          <w:sz w:val="20"/>
          <w:lang w:val="en-US" w:eastAsia="en-US" w:bidi="ar-SA"/>
        </w:rPr>
        <w:t xml:space="preserve"> at paras. 23-24 per Choi J.; </w:t>
      </w:r>
      <w:r>
        <w:rPr>
          <w:rFonts w:ascii="arial" w:eastAsia="arial" w:hAnsi="arial" w:cs="arial"/>
          <w:i/>
          <w:color w:val="000000"/>
          <w:sz w:val="20"/>
          <w:lang w:val="en-US" w:eastAsia="en-US" w:bidi="ar-SA"/>
        </w:rPr>
        <w:t>Sperling v. "Queen of Nanaimo" (The)</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2014 BCSC 326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this case, the party receiving the NOCC immediately said he never did business as Braylin Contracting as a proprietorship; he carried on business in the corporate name, BCL. This response suggests it was obvious to Mr. Curtis that the pleadings were naming himself and/or BCL.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facts in this case are similar to a John Doe pleading in a car accident claim when the driver of one vehicle is unknown to the plaintiff. Here, BCL did not exist, having been struck from the Company registry. Although a company search might have revealed the prior existence of the limited company, I am satisfied that Mr. Curtis knew that the proprietorship named in the NOCC was in fact meant to be BCL and that he had allowed BCL to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Thus, I am satisfied this application is more appropriately considered as a misnomer change and not a case of substituting a party; the proper and correct approach is to correct the misnomer and I grant the order to name BCL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next issue is the application to change the name of the NOCC to reflect the actual name Ian Blair Curtis because the original description was simply a misnomer or misdescription.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 notice of application, the plaintiff asks for an order to substitute the defendant Ian Curtis Blair with Ian Blair Curtis. Again, in my view, this is not a case of substitution because the plaintiffs are not seeking to substitute a different person as a party; they simply want to correct the name of the person that was misstated. Mr. Curtis concedes that the correction of his name to Ian Blair Curtis instead of Ian Curtis Blair is a proper misnomer application and does not oppose the granting of the order amending the style of cause from "the defendant, Ian Curtis Blair to the defendant, Ian Blair Curtis". I will make that 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Adding/Substituting a Party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Adding Braylin Contracting Ltd.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have addressed the application to correct the misnomers of BCL and Mr. Curtis in the original NOCC. If it were necessary, I would also have ordered BCL to be added as a defendant in the proceedings for the following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applied to add Braylin Contracting Ltd. as defendant if it was not substituted for Braylin Contracting, the sole proprietorship. Mr. Curtis opposed the granting of this order for substitution under Rule 6-2(7) in part because he argues the limitation period has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Similarly, the plaintiffs wanted to add Mr. Curtis as a defendant as guarantor of BCL's obligations under the builder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Rule concerning this relief is Rule 6-2(7):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Adding, removing or substituting parties by order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 subject to subrules (9) and (10),</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cease to be party if that person is not, or has ceased to be, a proper or necessary party,</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or substituted as a party if</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ought to have been joined as a party, or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person's participation in the proceeding is necessary to ensure that all matters in the proceeding may be effectually adjudicated on, and</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if there may exist, between the person and any party to the proceeding, a question or issue relating to or connected with</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relief claimed in the proceeding, or</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test governing addition and substitution of parties under Rule 6-2(7)(b)(i) and (ii) is whether a person ought to have been joined as a party or whose participation in the proceedings is necessary to ensure that all matters in the proceeding are effectually adjudicated. Use of the term "ought" in Rule 6-2(7)(b)(i) encompasses all those cases in which joining the person is a necessity and may even be broader, as noted by Madam Justice Smith in </w:t>
      </w:r>
      <w:r>
        <w:rPr>
          <w:rFonts w:ascii="arial" w:eastAsia="arial" w:hAnsi="arial" w:cs="arial"/>
          <w:i/>
          <w:color w:val="000000"/>
          <w:sz w:val="20"/>
          <w:lang w:val="en-US" w:eastAsia="en-US" w:bidi="ar-SA"/>
        </w:rPr>
        <w:t>Lawrence Construction Ltd. v. Fong</w:t>
      </w:r>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(2001), 18 C.P.C. (5th) 377</w:t>
        </w:r>
      </w:hyperlink>
      <w:r>
        <w:rPr>
          <w:rFonts w:ascii="arial" w:eastAsia="arial" w:hAnsi="arial" w:cs="arial"/>
          <w:color w:val="000000"/>
          <w:sz w:val="20"/>
          <w:lang w:val="en-US" w:eastAsia="en-US" w:bidi="ar-SA"/>
        </w:rPr>
        <w:t xml:space="preserve"> (B.C.S.C.), to include situations in which joining the person may be more than mere convenience but less than a necessity": see </w:t>
      </w:r>
      <w:r>
        <w:rPr>
          <w:rFonts w:ascii="arial" w:eastAsia="arial" w:hAnsi="arial" w:cs="arial"/>
          <w:i/>
          <w:color w:val="000000"/>
          <w:sz w:val="20"/>
          <w:lang w:val="en-US" w:eastAsia="en-US" w:bidi="ar-SA"/>
        </w:rPr>
        <w:t>Kitimat (District) v. Alcan Inc.</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2006 BCCA 562</w:t>
        </w:r>
      </w:hyperlink>
      <w:r>
        <w:rPr>
          <w:rFonts w:ascii="arial" w:eastAsia="arial" w:hAnsi="arial" w:cs="arial"/>
          <w:color w:val="000000"/>
          <w:sz w:val="20"/>
          <w:lang w:val="en-US" w:eastAsia="en-US" w:bidi="ar-SA"/>
        </w:rPr>
        <w:t xml:space="preserve"> at para. 29 [</w:t>
      </w:r>
      <w:r>
        <w:rPr>
          <w:rFonts w:ascii="arial" w:eastAsia="arial" w:hAnsi="arial" w:cs="arial"/>
          <w:i/>
          <w:color w:val="000000"/>
          <w:sz w:val="20"/>
          <w:lang w:val="en-US" w:eastAsia="en-US" w:bidi="ar-SA"/>
        </w:rPr>
        <w:t>Kitimat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 party's participation will be "necessary" within the meaning of Rule 6-2(7)(b)(ii) where it has a direct interest in the precise outcome of the particular action between the certain parties: </w:t>
      </w:r>
      <w:r>
        <w:rPr>
          <w:rFonts w:ascii="arial" w:eastAsia="arial" w:hAnsi="arial" w:cs="arial"/>
          <w:i/>
          <w:color w:val="000000"/>
          <w:sz w:val="20"/>
          <w:lang w:val="en-US" w:eastAsia="en-US" w:bidi="ar-SA"/>
        </w:rPr>
        <w:t>Kitimat</w:t>
      </w:r>
      <w:r>
        <w:rPr>
          <w:rFonts w:ascii="arial" w:eastAsia="arial" w:hAnsi="arial" w:cs="arial"/>
          <w:color w:val="000000"/>
          <w:sz w:val="20"/>
          <w:lang w:val="en-US" w:eastAsia="en-US" w:bidi="ar-SA"/>
        </w:rPr>
        <w:t xml:space="preserve"> at para. 31, citing </w:t>
      </w:r>
      <w:r>
        <w:rPr>
          <w:rFonts w:ascii="arial" w:eastAsia="arial" w:hAnsi="arial" w:cs="arial"/>
          <w:i/>
          <w:color w:val="000000"/>
          <w:sz w:val="20"/>
          <w:lang w:val="en-US" w:eastAsia="en-US" w:bidi="ar-SA"/>
        </w:rPr>
        <w:t>Canadian Labour Congress v. Bhindi</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(1985), 61 B.C.L.R. 85</w:t>
        </w:r>
      </w:hyperlink>
      <w:r>
        <w:rPr>
          <w:rFonts w:ascii="arial" w:eastAsia="arial" w:hAnsi="arial" w:cs="arial"/>
          <w:color w:val="000000"/>
          <w:sz w:val="20"/>
          <w:lang w:val="en-US" w:eastAsia="en-US" w:bidi="ar-SA"/>
        </w:rPr>
        <w:t xml:space="preserve"> at 94. If neither of those conditions are satisfied then there is no discretion to make an order under that subsection: see </w:t>
      </w:r>
      <w:r>
        <w:rPr>
          <w:rFonts w:ascii="arial" w:eastAsia="arial" w:hAnsi="arial" w:cs="arial"/>
          <w:i/>
          <w:color w:val="000000"/>
          <w:sz w:val="20"/>
          <w:lang w:val="en-US" w:eastAsia="en-US" w:bidi="ar-SA"/>
        </w:rPr>
        <w:t>Alexis v. Duncan</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2015 BCCA 135</w:t>
        </w:r>
      </w:hyperlink>
      <w:r>
        <w:rPr>
          <w:rFonts w:ascii="arial" w:eastAsia="arial" w:hAnsi="arial" w:cs="arial"/>
          <w:color w:val="000000"/>
          <w:sz w:val="20"/>
          <w:lang w:val="en-US" w:eastAsia="en-US" w:bidi="ar-SA"/>
        </w:rPr>
        <w:t xml:space="preserve"> at para. 15 [</w:t>
      </w:r>
      <w:r>
        <w:rPr>
          <w:rFonts w:ascii="arial" w:eastAsia="arial" w:hAnsi="arial" w:cs="arial"/>
          <w:i/>
          <w:color w:val="000000"/>
          <w:sz w:val="20"/>
          <w:lang w:val="en-US" w:eastAsia="en-US" w:bidi="ar-SA"/>
        </w:rPr>
        <w:t>Alexis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Under Rule 6-2(7)(c) an order adding a party may be made if there is an issue related or connected with the relief claimed or subject matter in the original proceeding and, in the court's opinion, it would be just and convenient to do so. An order made under Rule 6-2(7)(c) is within the discretion of the court because it would be just and convenient in the case: see </w:t>
      </w:r>
      <w:r>
        <w:rPr>
          <w:rFonts w:ascii="arial" w:eastAsia="arial" w:hAnsi="arial" w:cs="arial"/>
          <w:i/>
          <w:color w:val="000000"/>
          <w:sz w:val="20"/>
          <w:lang w:val="en-US" w:eastAsia="en-US" w:bidi="ar-SA"/>
        </w:rPr>
        <w:t>Alexis</w:t>
      </w:r>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An applicant to add a party must show there is a question or issue between it and the proposed defendant that relates to the relief, remedy or subject of the action. The low threshold is measured on the basis of a possibility that the cause of action is not a frivolous proceeding. There is no weighing of the evidence at this stage; the only question is whether the pleadings or evidence demonstrates an issue between the parties: </w:t>
      </w:r>
      <w:r>
        <w:rPr>
          <w:rFonts w:ascii="arial" w:eastAsia="arial" w:hAnsi="arial" w:cs="arial"/>
          <w:i/>
          <w:color w:val="000000"/>
          <w:sz w:val="20"/>
          <w:lang w:val="en-US" w:eastAsia="en-US" w:bidi="ar-SA"/>
        </w:rPr>
        <w:t>The Owners, Strata Plan No. VIS3578 v. John A. Neilson Architects Inc.</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2010 BCCA 329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at para.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Consideration of the "just and convenient" basis for adding a party must be exercised judicially in accord with the evidence and the authorities. The court should consider the extent of any delay, the reasons and explanation for delay, prejudice arising from the delay and the degree of connection between the existing action and the new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regard to an application to add a defendant, expiry of limitation periods are relevant but not determinative. There is a three-step process in the analysis of limitation defences engaged in applications to add parties articulated by the Court of Appeal in </w:t>
      </w:r>
      <w:r>
        <w:rPr>
          <w:rFonts w:ascii="arial" w:eastAsia="arial" w:hAnsi="arial" w:cs="arial"/>
          <w:i/>
          <w:color w:val="000000"/>
          <w:sz w:val="20"/>
          <w:lang w:val="en-US" w:eastAsia="en-US" w:bidi="ar-SA"/>
        </w:rPr>
        <w:t>Anonson v. North Vancouver (City)</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2017 BCCA 205</w:t>
        </w:r>
      </w:hyperlink>
      <w:r>
        <w:rPr>
          <w:rFonts w:ascii="arial" w:eastAsia="arial" w:hAnsi="arial" w:cs="arial"/>
          <w:color w:val="000000"/>
          <w:sz w:val="20"/>
          <w:lang w:val="en-US" w:eastAsia="en-US" w:bidi="ar-SA"/>
        </w:rPr>
        <w:t xml:space="preserve"> at paras. 13-14 [</w:t>
      </w:r>
      <w:r>
        <w:rPr>
          <w:rFonts w:ascii="arial" w:eastAsia="arial" w:hAnsi="arial" w:cs="arial"/>
          <w:i/>
          <w:color w:val="000000"/>
          <w:sz w:val="20"/>
          <w:lang w:val="en-US" w:eastAsia="en-US" w:bidi="ar-SA"/>
        </w:rPr>
        <w:t>Anonson</w:t>
      </w:r>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It is settled law that the addition of a party to an action pursuant to R. 6-2(7) of the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xml:space="preserve"> on the basis that it is "just and convenient" to do so generally will engage s. 4(1)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and eliminate a party's accrued limitation defence: </w:t>
      </w:r>
      <w:r>
        <w:rPr>
          <w:rFonts w:ascii="arial" w:eastAsia="arial" w:hAnsi="arial" w:cs="arial"/>
          <w:i/>
          <w:color w:val="000000"/>
          <w:sz w:val="20"/>
          <w:lang w:val="en-US" w:eastAsia="en-US" w:bidi="ar-SA"/>
        </w:rPr>
        <w:t>Lui v. West Granville Manor Ltd</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(1987), 11 B.C.L.R. (2d) 273</w:t>
        </w:r>
      </w:hyperlink>
      <w:r>
        <w:rPr>
          <w:rFonts w:ascii="arial" w:eastAsia="arial" w:hAnsi="arial" w:cs="arial"/>
          <w:color w:val="000000"/>
          <w:sz w:val="20"/>
          <w:lang w:val="en-US" w:eastAsia="en-US" w:bidi="ar-SA"/>
        </w:rPr>
        <w:t xml:space="preserve"> (B.C. C.A.) at 295; </w:t>
      </w:r>
      <w:r>
        <w:rPr>
          <w:rFonts w:ascii="arial" w:eastAsia="arial" w:hAnsi="arial" w:cs="arial"/>
          <w:i/>
          <w:color w:val="000000"/>
          <w:sz w:val="20"/>
          <w:lang w:val="en-US" w:eastAsia="en-US" w:bidi="ar-SA"/>
        </w:rPr>
        <w:t>Letvad v. Finley</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 xml:space="preserve"> (B.C. C.A.) at para. 17; and </w:t>
      </w:r>
      <w:r>
        <w:rPr>
          <w:rFonts w:ascii="arial" w:eastAsia="arial" w:hAnsi="arial" w:cs="arial"/>
          <w:i/>
          <w:color w:val="000000"/>
          <w:sz w:val="20"/>
          <w:lang w:val="en-US" w:eastAsia="en-US" w:bidi="ar-SA"/>
        </w:rPr>
        <w:t>Kerpan v. Higginbotham</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2003 BCSC 1220</w:t>
        </w:r>
      </w:hyperlink>
      <w:r>
        <w:rPr>
          <w:rFonts w:ascii="arial" w:eastAsia="arial" w:hAnsi="arial" w:cs="arial"/>
          <w:color w:val="000000"/>
          <w:sz w:val="20"/>
          <w:lang w:val="en-US" w:eastAsia="en-US" w:bidi="ar-SA"/>
        </w:rPr>
        <w:t xml:space="preserve"> (B.C. S.C.) at paras. 58 -- 64.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The approach to determining whether a party having an accrued limitation defence should be added to an action was summarized in </w:t>
      </w:r>
      <w:r>
        <w:rPr>
          <w:rFonts w:ascii="arial" w:eastAsia="arial" w:hAnsi="arial" w:cs="arial"/>
          <w:i/>
          <w:color w:val="000000"/>
          <w:sz w:val="20"/>
          <w:lang w:val="en-US" w:eastAsia="en-US" w:bidi="ar-SA"/>
        </w:rPr>
        <w:t>Strata Plan No. VIS3578 v. Canan Investment Group Ltd.</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2010 BCCA 329</w:t>
        </w:r>
      </w:hyperlink>
      <w:r>
        <w:rPr>
          <w:rFonts w:ascii="arial" w:eastAsia="arial" w:hAnsi="arial" w:cs="arial"/>
          <w:color w:val="000000"/>
          <w:sz w:val="20"/>
          <w:lang w:val="en-US" w:eastAsia="en-US" w:bidi="ar-SA"/>
        </w:rPr>
        <w:t xml:space="preserve"> (B.C. C.A.)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The existence of a limitation defence is a relevant, but not determinative, factor in deciding whether to permit joinder, since the effect of s. 4(1)(d)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is to extinguish such a defence if the proposed defendant is added. In </w:t>
      </w:r>
      <w:r>
        <w:rPr>
          <w:rFonts w:ascii="arial" w:eastAsia="arial" w:hAnsi="arial" w:cs="arial"/>
          <w:i/>
          <w:color w:val="000000"/>
          <w:sz w:val="20"/>
          <w:lang w:val="en-US" w:eastAsia="en-US" w:bidi="ar-SA"/>
        </w:rPr>
        <w:t>Brito (Guardian ad litem of) v. Wooley</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(1997), 15 C.P.C. (4th) 255</w:t>
        </w:r>
      </w:hyperlink>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[1997] B.C.J. No. 2487</w:t>
        </w:r>
      </w:hyperlink>
      <w:r>
        <w:rPr>
          <w:rFonts w:ascii="arial" w:eastAsia="arial" w:hAnsi="arial" w:cs="arial"/>
          <w:color w:val="000000"/>
          <w:sz w:val="20"/>
          <w:lang w:val="en-US" w:eastAsia="en-US" w:bidi="ar-SA"/>
        </w:rPr>
        <w:t xml:space="preserve">, Joyce J. set out a three step approach to considering a possible limitation defence, which was adopted by this court in </w:t>
      </w:r>
      <w:r>
        <w:rPr>
          <w:rFonts w:ascii="arial" w:eastAsia="arial" w:hAnsi="arial" w:cs="arial"/>
          <w:i/>
          <w:color w:val="000000"/>
          <w:sz w:val="20"/>
          <w:lang w:val="en-US" w:eastAsia="en-US" w:bidi="ar-SA"/>
        </w:rPr>
        <w:t>Strata Plan LMS 1725 v. Star Masonry Ltd.</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2007 BCCA 611</w:t>
        </w:r>
      </w:hyperlink>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73 B.C.L.R. (4th) 154</w:t>
        </w:r>
      </w:hyperlink>
      <w:r>
        <w:rPr>
          <w:rFonts w:ascii="arial" w:eastAsia="arial" w:hAnsi="arial" w:cs="arial"/>
          <w:color w:val="000000"/>
          <w:sz w:val="20"/>
          <w:lang w:val="en-US" w:eastAsia="en-US" w:bidi="ar-SA"/>
        </w:rPr>
        <w:t xml:space="preserve"> at para. 12. I summarize it as follows:</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is clear there is no accrued limitation defence, the only question is whether it will be more convenient to have one or two actions since the plaintiff will be able to commence a new action against the proposed defendant if it is unsuccessful in the joinder application.</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it is clear there is an accrued limitation defence, the question is whether it will nevertheless be just and convenient to add the party, notwithstanding it will lose that defence. The answer to that question will emerge from consideration of the factors set out in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parties disagree as to whether there is an accrued limitation defence, and a court cannot determine this issue on the joinder application, the court should proceed by assuming that there is a limitation defence, and consider whether it is just and convenient to add the party, even though the result will be the elimination of that defence. If that question is answered affirmatively, an order for joinder should be made, and it becomes unnecessary to deal with the limitation issue since it will be extinguished by s. 4(1)(d)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There is also a fourth option, an alternative to the third step, set out by Lambert J.A. in </w:t>
      </w:r>
      <w:r>
        <w:rPr>
          <w:rFonts w:ascii="arial" w:eastAsia="arial" w:hAnsi="arial" w:cs="arial"/>
          <w:i/>
          <w:color w:val="000000"/>
          <w:sz w:val="20"/>
          <w:lang w:val="en-US" w:eastAsia="en-US" w:bidi="ar-SA"/>
        </w:rPr>
        <w:t>Lui v. West Granville Manor Ltd.</w:t>
      </w:r>
      <w:r>
        <w:rPr>
          <w:rFonts w:ascii="arial" w:eastAsia="arial" w:hAnsi="arial" w:cs="arial"/>
          <w:color w:val="000000"/>
          <w:sz w:val="20"/>
          <w:lang w:val="en-US" w:eastAsia="en-US" w:bidi="ar-SA"/>
        </w:rPr>
        <w:t xml:space="preserve">, [1987] W.W.R. 49, </w:t>
      </w:r>
      <w:hyperlink r:id="rId393" w:history="1">
        <w:r>
          <w:rPr>
            <w:rFonts w:ascii="arial" w:eastAsia="arial" w:hAnsi="arial" w:cs="arial"/>
            <w:i/>
            <w:color w:val="0077CC"/>
            <w:sz w:val="20"/>
            <w:u w:val="single"/>
            <w:shd w:val="clear" w:color="auto" w:fill="FFFFFF"/>
            <w:lang w:val="en-US" w:eastAsia="en-US" w:bidi="ar-SA"/>
          </w:rPr>
          <w:t>11 B.C.L.R. (2d) 273</w:t>
        </w:r>
      </w:hyperlink>
      <w:r>
        <w:rPr>
          <w:rFonts w:ascii="arial" w:eastAsia="arial" w:hAnsi="arial" w:cs="arial"/>
          <w:color w:val="000000"/>
          <w:sz w:val="20"/>
          <w:lang w:val="en-US" w:eastAsia="en-US" w:bidi="ar-SA"/>
        </w:rPr>
        <w:t xml:space="preserve"> at 303 (C.A.) [</w:t>
      </w:r>
      <w:r>
        <w:rPr>
          <w:rFonts w:ascii="arial" w:eastAsia="arial" w:hAnsi="arial" w:cs="arial"/>
          <w:i/>
          <w:color w:val="000000"/>
          <w:sz w:val="20"/>
          <w:lang w:val="en-US" w:eastAsia="en-US" w:bidi="ar-SA"/>
        </w:rPr>
        <w:t>Lui No. 2</w:t>
      </w:r>
      <w:r>
        <w:rPr>
          <w:rFonts w:ascii="arial" w:eastAsia="arial" w:hAnsi="arial" w:cs="arial"/>
          <w:color w:val="000000"/>
          <w:sz w:val="20"/>
          <w:lang w:val="en-US" w:eastAsia="en-US" w:bidi="ar-SA"/>
        </w:rPr>
        <w:t xml:space="preserve">]. He suggested that when the limitation issue could not be determined on the joinder application, and the applicant had not established that considerations of justice and convenience justified extinction of the limitation defence under s. 4(1)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judicial discretion could be exercised to permit joinder on terms that the limitation defence would be preserved and determined at trial. That approach was considered and adopted in </w:t>
      </w:r>
      <w:r>
        <w:rPr>
          <w:rFonts w:ascii="arial" w:eastAsia="arial" w:hAnsi="arial" w:cs="arial"/>
          <w:i/>
          <w:color w:val="000000"/>
          <w:sz w:val="20"/>
          <w:lang w:val="en-US" w:eastAsia="en-US" w:bidi="ar-SA"/>
        </w:rPr>
        <w:t>Strata Plan No. VR 2000 v. Shaw</w:t>
      </w:r>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[1998] B.C.J. 1086</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Shaw</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Stone Venepal (Celgar) Pulp Inc. v. IMO Industries (Canada) Inc.</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2008 BCCA 317</w:t>
        </w:r>
      </w:hyperlink>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83 B.C.L.R. (4th) 138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this case, there are direct issues and questions between the plaintiff and BCL that relate to the subject matter of the proceeding. The test involves a low threshold and can be established on the basis of the NOCC or affidavit evidence from the parties. In this regard, I am satisfied that there is a direct claim available to the plaintiff against BCL under indemnity clause in the NHW and the plaintiff's subrogated claim. Thus, I find the first requirement set out in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xml:space="preserve"> is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second question is whether the addition of BCL as a defendant would be just and convenient in deciding the issues between all of the parties in the proceeding. This analysis takes into account the extent of any delay, the reasons for any delay, explanations put forward to account for delay and the degree of prejudice caused by the delay: see </w:t>
      </w:r>
      <w:r>
        <w:rPr>
          <w:rFonts w:ascii="arial" w:eastAsia="arial" w:hAnsi="arial" w:cs="arial"/>
          <w:i/>
          <w:color w:val="000000"/>
          <w:sz w:val="20"/>
          <w:lang w:val="en-US" w:eastAsia="en-US" w:bidi="ar-SA"/>
        </w:rPr>
        <w:t>Letvad v. Fenwick</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It is clear from the pleadings and the evidence that the plaintiff has a contractual claim against BCL under the NHW and has the subrogated right to bring any claims that might have been made by the owners or the new owners. It is neither plain or obvious that claims against BCL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the question of delay, the plaintiffs argued that they had always intended to include BCL as a defendant but named Mr. Curtis as a defendant doing business as Braylin Contracting inadvertently. She did not explain why she named Mr. Curtis dba as Braylin Contracting alone without referring to him in his personal capacity as guarantor under his personal guarantee. Counsel said they named the operating business, Braylin Contracting based on her search performed the day before the NOCC was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Braylin Contracting Ltd. was dissolved in December 2014 and was not revitalized by the plaintiff until August 9,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plaintiff's claim against Braylin Contracting Ltd. under the NHW and its indemnity claim is on a different footing. The NHW required Braylin Contracting Ltd. to maintain certain conditions during the term of the agreement; a failure to maintain the company was a default by Mr. Curtis and Braylin Contracting Ltd. under paras. 8(g) or (h) because the company was dissolved in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Braylin Contracting Ltd. also promised to indemnify and save the plaintiff harmless from any expense it incurred under the agreement to remedy defects in the House. In the case of structural defects, the indemnification is payable if the BCL was in breach of any obligation to a purchaser of the House and the plaintiff had made demand for payment. On April 6, 2018 the plaintiff demanded reimbursement of expenses it had paid in the amount of $23,840.31.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delay in bringing this application is compounded in my view by BCL's breach of several covenants in the insurance contract. It is a default under the agreement if BCL ceases to carry on business and if it materially changes its financial condition. Both of these requirements would have been important to the plaintiff because of the ongoing burden of the NHW that could bind the plaintiff for up to 20 years and might result in a call on BCL's indemnity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It should be noted that the parties were permitted to give notice to one another at the address set out in the insuring agreement which in the case of Braylin Contracting Ltd. was 230-1210 Summit Dr., Kamloops, BC. That was the address to which the plaintiff sent notice to Braylin Contracting Ltd. in March 2016; according to Mr. Curtis, this notice was never received. Mr. Curtis included a corporate registry search showing an address for Braylin Contracting Ltd. at 243 Seymour St., Kamloops, BC. When the notice was sent to Braylin Contracting Ltd., it was already dissolved and likely, did not receive the notice because of the company was dissolved and no longer carrying on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am satisfied Mr. Curtis and Braylin Contracting Ltd. bear some responsibility for the delays and confusion related to the plaintiff's failure to name Braylin Contracting Ltd. in the original and NOCC. Contrary to its obligations under the contract, the company was dissolved and did not maintain an address where it was intended to receive notices.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As noted, there was also an apparent failure on the plaintiff's lawyer to read and understand the insurance contract but this failure was not the only reason the plaintiff did not act in a more timely way. It is significant that Ian Curtis and Braylin Contracting Ltd. (although the latter is not a third-party) filed a June 23, 2017 third party notice seeking contribution and indemnity from Robert Wagner on the basis of his agreement to indemnify and save harmless Braylin Contracting Ltd. from any claims relating to the construction and his responsibility under the NHW.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It is clear from Mr. Curtis' third party notice that, at all times he believed Braylin Contracting Ltd. was the party responsible under the NHW with a right to claim contribution and indemnity against Mr. Wagner for any claims made against him or Braylin Contracting Ltd. for work performed on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Although the NOCC was issued in June 2016 it was not served until 2017 and the error in describing Braylin Contracting in contrast to BCL was not pointed out until counsel was informed on June 8, 2017 of the discrepancy. BCL had been struck from the company registry since 2009 and the plaintiffs took steps to restore the company; restoration happened on August 9,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 demand to BCL and Mr. Curtis to pay amounts owing under the NHW was made August 6,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Under Rule 6-2(7)(2) a person may be added or substituted as a party if the person "ought to have been joined as a party" or that "person's participation in the proceeding is necessary to ensure that all matters in the proceeding may be effectually adjudicated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the circumstances, I am satisfied the plaintiff intended to join BCL, as the party that obtained the NHW on Mr. Wagner's behalf. The principal thrust of the plaintiff's claims are against BCL under the NHW and under the personal guarantee given by Mr. Curtis in February 2009. The evidence and the pleadings underscore the importance of BCL to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Further, Braylin Contracting, the proprietorship, has commenced third-party proceedings against Robert Wagner that focus on the relationship and role BCL had in assisting in the construction of the House. I anticipate that BCL will also advance a third-party claim against Mr. Wagner. Overall, I am satisfied there are questions and issues relating to the relationship between BCL and Mr. Wagner and the subject matter of this proceeding, being the NHW and the owners claims against BCL, NHW and Mr. Wagner.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this case, Mr. Curtis' application response focused on the expiry of the limitation period in any claim against BCL and the prejudice BCL will suffer if added as a defendant. He contends that BCL was not given timely notice that would have enabled it to contend it was not given notice of any deficiencies and failing the communication of such notice actual prejudice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It also contends the "cause of action crystallized on July 4, 2014 when the homeowners notified them of deficiencies with the home and the application to add BCL as a defendant was not begun until July 16, 2018. BCL contends that there is a presumption of prejudice due to the expiry of the limitation period and the "substantial dilatoriness... smacks of voluntary delay... I think the factor can weigh large in the scale of justice": see </w:t>
      </w:r>
      <w:r>
        <w:rPr>
          <w:rFonts w:ascii="arial" w:eastAsia="arial" w:hAnsi="arial" w:cs="arial"/>
          <w:i/>
          <w:color w:val="000000"/>
          <w:sz w:val="20"/>
          <w:lang w:val="en-US" w:eastAsia="en-US" w:bidi="ar-SA"/>
        </w:rPr>
        <w:t>Bank of Montréal v. Ricketts</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[1990] B.C.J. No. 487</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addresses transitional cases: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Basic limitation period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6 (1) Subject to this Act, a court proceeding in respect of a claim must not be commenced more than 2 years after the day on which the claim is discovered.</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2 year limitation period established under subsection (1) of this section does not apply to a court proceeding referred to in section 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General discovery rules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8 Except for those special situations referred to in sections 9 to 11, a claim is discovered by a person on the first day on which the person knew or reasonably ought to have known all of the following:</w:t>
      </w:r>
    </w:p>
    <w:p>
      <w:pPr>
        <w:numPr>
          <w:numId w:val="25"/>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injury, loss or damage had occurred;</w:t>
      </w:r>
    </w:p>
    <w:p>
      <w:pPr>
        <w:numPr>
          <w:numId w:val="2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injury, loss or damage was caused by or contributed to by an act or omission;</w:t>
      </w:r>
    </w:p>
    <w:p>
      <w:pPr>
        <w:numPr>
          <w:numId w:val="2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act or omission was that of the person against whom the claim is or may be made;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having regard to the nature of the injury, loss or damage, a court proceeding would be an appropriate means to seek to remedy the injury, loss or damage.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Transition</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"effective date" means the day on which this section comes into force;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"former Act" means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as that Act read immediately before the effective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"former limitation period" means, with respect to a pre-existing claim, a limitation period that applied to the pre-existing claim before the effective date;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"pre-existing claim" means a claim</w:t>
      </w:r>
    </w:p>
    <w:p>
      <w:pPr>
        <w:numPr>
          <w:numId w:val="30"/>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is based on an act or omission that took place before the effective date, and</w:t>
      </w:r>
    </w:p>
    <w:p>
      <w:pPr>
        <w:numPr>
          <w:numId w:val="31"/>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which no court proceeding has been commenced before the effective date.</w:t>
      </w:r>
    </w:p>
    <w:p>
      <w:pPr>
        <w:numPr>
          <w:numId w:val="3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proceeding must not be commenced with respect to a pre-existing claim if</w:t>
      </w:r>
    </w:p>
    <w:p>
      <w:pPr>
        <w:numPr>
          <w:numId w:val="3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former limitation period applied to that claim before the effective date, and</w:t>
      </w:r>
    </w:p>
    <w:p>
      <w:pPr>
        <w:numPr>
          <w:numId w:val="3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former limitation period expired before the effective date.</w:t>
      </w:r>
    </w:p>
    <w:p>
      <w:pPr>
        <w:numPr>
          <w:numId w:val="35"/>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(2), if a pre-existing claim was discovered before the effective date, the former Act applies to the pre-existing claim as if the right to bring an action occurred at the time of the discovery of the pre-existing claim.</w:t>
      </w:r>
    </w:p>
    <w:p>
      <w:pPr>
        <w:numPr>
          <w:numId w:val="36"/>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(2), if a pre-existing claim was not discovered before the effective date,</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 pre-existing claim referred to in section 3 of this Act, that section applies to the pre-existing claim,</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paragraph (a) of this subsection, in the case of a pre-existing claim referred to in section 8 (1) (a) or (b) of the former Act, Part 2 of this Act and section 8 of the former Act apply to the pre-existing claim, or</w:t>
      </w:r>
    </w:p>
    <w:p>
      <w:pPr>
        <w:numPr>
          <w:numId w:val="39"/>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any other pre-existing claim,</w:t>
      </w:r>
    </w:p>
    <w:p>
      <w:pPr>
        <w:numPr>
          <w:numId w:val="40"/>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subparagraph (ii) of this paragraph, this Act applies to the pre-existing claim, and</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 3 of this Act applies to the pre-existing claim as if the act or omission on which the pre-existing claim is based occurred on the later of</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effective date, and</w:t>
      </w:r>
    </w:p>
    <w:p>
      <w:pPr>
        <w:numPr>
          <w:numId w:val="4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day the act or omission takes place under section 21 (2) of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There is an issue concerning the commencement of the running of the limitation in this case. BCL contends the limitation began to run from July 4, 2014, the date the owners notified the plaintiff of its concerns regarding structural damage to their house. The plaintiff responded to the owners concerns of, among other things, cracks in the foundation on the right side of the basement exterior. They said that the first crack was a red flag for possible structural failure. On August 12, 2015 the plaintiffs received an engineering report confirming that the foundation had undergone a structural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Section 8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stipulates that discovery of a claim occurs on the first day on which a person knew or reasonably ought to have known that loss or damage had occurred and was caused or contributed to by the acts or omissions of the person against whom the claim is or may be made, and that a court proceedings would be appropriate means to seek a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It is apparent from the plaintiff's letter in 2014 and the engineering report from 2015, that there was sufficient information in the possession of the owners in 2014 that damage had occurred to their House and that court proceeding would be appropriate to seek remedy for any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owners wrote to Braylin Contracting as early as July 4, 2014 and that letter was also sent to the plaintiff. Presumably, although not set out in the affidavits, the owners were writing to the party they believed constructed the house and provided the original owner with a copy of the NHW issued to BCL. Thus, as early as August 2014 the owners had sufficient information triggering the discovery requirements in s. 8 for them to begin legal proceedings against the builder (Mr. Wagner and his sub trades). There is no way to determine whether the owners were aware of BCL in August 2014. Their letter referred to "Braylin Contracting" but the plaintiff responded to noting the policy number, claim number and reference to "builder: Braylin Contracting Ltd." Thus, I can infer the new owners were writing to the party named in the NHW and were informed that BCL was the actual builder described on the NHW.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It is important to note that the plaintiff's potential claims against BCL are in the contract arising from the warranty, indemnity under Mr. Curtis' personal guarantee against BCL in tort. The tort claims arise from the subrogated claim the owners were entitled to make. Any tort claims alone may be subject to a shorter limitation period of two years from discovery by the new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am satisfied that the limitation of the owner's claims may have run from sometime in July 2014 and would likely have expired by the end of July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Adding parties after a limitation period has expired (plus one year allowed for service under the Rules), leads to a presumption of prejudice to the intended defendant: </w:t>
      </w:r>
      <w:r>
        <w:rPr>
          <w:rFonts w:ascii="arial" w:eastAsia="arial" w:hAnsi="arial" w:cs="arial"/>
          <w:i/>
          <w:color w:val="000000"/>
          <w:sz w:val="20"/>
          <w:lang w:val="en-US" w:eastAsia="en-US" w:bidi="ar-SA"/>
        </w:rPr>
        <w:t>McIntosh v. Nilsson Bros. Inc.</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2005 BCCA 297</w:t>
        </w:r>
      </w:hyperlink>
      <w:r>
        <w:rPr>
          <w:rFonts w:ascii="arial" w:eastAsia="arial" w:hAnsi="arial" w:cs="arial"/>
          <w:color w:val="000000"/>
          <w:sz w:val="20"/>
          <w:lang w:val="en-US" w:eastAsia="en-US" w:bidi="ar-SA"/>
        </w:rPr>
        <w:t xml:space="preserve"> at paras. 7-8 [</w:t>
      </w:r>
      <w:r>
        <w:rPr>
          <w:rFonts w:ascii="arial" w:eastAsia="arial" w:hAnsi="arial" w:cs="arial"/>
          <w:i/>
          <w:color w:val="000000"/>
          <w:sz w:val="20"/>
          <w:lang w:val="en-US" w:eastAsia="en-US" w:bidi="ar-SA"/>
        </w:rPr>
        <w:t>McIntosh</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For the purposes of considering the impact of a limitation on an application to substitute a party, the time to be considered is one year after the expiry of the limitation date. Thus, by July 2017 the plaintiff's claim under the subrogated tort claim of the owners would have expired resulting in presumed prejudice to Braylin Contracting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Braylin Contracting Ltd. was dissolved in December 2014 and was not revitalized until August 9,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Section 346 of the British Columbia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 xml:space="preserve"> [B.C. </w:t>
      </w:r>
      <w:r>
        <w:rPr>
          <w:rFonts w:ascii="arial" w:eastAsia="arial" w:hAnsi="arial" w:cs="arial"/>
          <w:i/>
          <w:color w:val="000000"/>
          <w:sz w:val="20"/>
          <w:lang w:val="en-US" w:eastAsia="en-US" w:bidi="ar-SA"/>
        </w:rPr>
        <w:t>BCA</w:t>
      </w:r>
      <w:r>
        <w:rPr>
          <w:rFonts w:ascii="arial" w:eastAsia="arial" w:hAnsi="arial" w:cs="arial"/>
          <w:color w:val="000000"/>
          <w:sz w:val="20"/>
          <w:lang w:val="en-US" w:eastAsia="en-US" w:bidi="ar-SA"/>
        </w:rPr>
        <w: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Dissolved companies deemed to continue for litigation purposes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346 (1) Despite the dissolution of a company under this Act,</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legal proceeding commenced by or against the company before its dissolution may be continued as if the company had not been dissolved, and</w:t>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legal proceeding may be brought against the company within 2 years after its dissolution as if the company had not been dissolved.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Therefore in this case, the plaintiff would not have been able to commence action against Braylin Contracting Ltd. because more than two years elapsed after dissolution and knowledge of the identity issue had not come to the plaintiff's attention. After that time, the plaintiff was required to restore the company before bringing its application to add Braylin Contracting Ltd. under the restoration and reinstatement provisions contained in Division 11 of the B.C. </w:t>
      </w:r>
      <w:r>
        <w:rPr>
          <w:rFonts w:ascii="arial" w:eastAsia="arial" w:hAnsi="arial" w:cs="arial"/>
          <w:i/>
          <w:color w:val="000000"/>
          <w:sz w:val="20"/>
          <w:lang w:val="en-US" w:eastAsia="en-US" w:bidi="ar-SA"/>
        </w:rPr>
        <w:t>BCA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my view, limitation periods that expire after a company is dissolved continue to run during any period of dissolution. Thus, a restored company is protected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notwithstanding that restoration occurs after the limitation has expired. See </w:t>
      </w:r>
      <w:r>
        <w:rPr>
          <w:rFonts w:ascii="arial" w:eastAsia="arial" w:hAnsi="arial" w:cs="arial"/>
          <w:i/>
          <w:color w:val="000000"/>
          <w:sz w:val="20"/>
          <w:lang w:val="en-US" w:eastAsia="en-US" w:bidi="ar-SA"/>
        </w:rPr>
        <w:t>602533 Ontario Inc. v. Shell Canada Ltd</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(1998), 37 O.R. (3d) 504</w:t>
        </w:r>
      </w:hyperlink>
      <w:r>
        <w:rPr>
          <w:rFonts w:ascii="arial" w:eastAsia="arial" w:hAnsi="arial" w:cs="arial"/>
          <w:color w:val="000000"/>
          <w:sz w:val="20"/>
          <w:lang w:val="en-US" w:eastAsia="en-US" w:bidi="ar-SA"/>
        </w:rPr>
        <w:t xml:space="preserve"> (considering different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However, the limitation issue is less significant in the current circumstances because the claim against BCL is made under the NHW and its indemnity clause. The plaintiff's claims for indemnity may be subject to different limitation periods. The NHW required BCL to maintain certain conditions during the term of the agreement; a failure to maintain the company was likely a default by Mr. Curtis and BCL under the paras 8(g) or (h) because the company was dissolved in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NHW also required BCL to indemnify it on demand after the plaintiff had expended to correct deficiencies in the construction. Those monies would not become due until after the remedial work was done and a demand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conclude the limitation actions for recovery of amounts due under the indemnity expired two years after any payments were made by the plaintiff or became payable. Presumably the debt became due sometime after March 7, 2016 when the plaintiff put Mr. Curtis and BCL on notice that it would have no alternative but to hire a contractor to correct defects and more likely around April 2018 when it demanded indemnification. In this case the limitation period likely remains open until sometime in 2020; it has not expired for the contract claims. There may be a rolling limitation triggered by each payment made by the plaintiff and recovery demanded from BCL.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recognize that the limitation period under the new owner's tort claim may have expired but this distinction has not been argued. I accept there may be some prejudice to BCL that must be considered if it is to be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This conundrum was contemplated and an approach adopted in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xml:space="preserve"> at para.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parties disagree as to whether there is an accrued limitation defence, </w:t>
      </w:r>
      <w:r>
        <w:rPr>
          <w:rFonts w:ascii="arial" w:eastAsia="arial" w:hAnsi="arial" w:cs="arial"/>
          <w:color w:val="000000"/>
          <w:sz w:val="20"/>
          <w:u w:val="single"/>
          <w:lang w:val="en-US" w:eastAsia="en-US" w:bidi="ar-SA"/>
        </w:rPr>
        <w:t>and a court cannot determine this issue on the joinder application, the court should proceed by assuming that there is a limitation defence, and consider whether it is just and convenient to add the party</w:t>
      </w:r>
      <w:r>
        <w:rPr>
          <w:rFonts w:ascii="arial" w:eastAsia="arial" w:hAnsi="arial" w:cs="arial"/>
          <w:color w:val="000000"/>
          <w:sz w:val="20"/>
          <w:lang w:val="en-US" w:eastAsia="en-US" w:bidi="ar-SA"/>
        </w:rPr>
        <w:t xml:space="preserve">, even though the result will be the elimination of that defence. If that question is answered affirmatively, an order for joinder should be made, and it becomes unnecessary to deal with the limitation issue since it will be extinguished by s. 4(1)(d)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McIntosh</w:t>
      </w:r>
      <w:r>
        <w:rPr>
          <w:rFonts w:ascii="arial" w:eastAsia="arial" w:hAnsi="arial" w:cs="arial"/>
          <w:color w:val="000000"/>
          <w:sz w:val="20"/>
          <w:lang w:val="en-US" w:eastAsia="en-US" w:bidi="ar-SA"/>
        </w:rPr>
        <w:t>, the Court said there must be close scrutiny of, and balancing of the interests of an existing party and persons sought to be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I would like to add one further point. The question of what is "just and convenient to determine as between the person and that party" within the concluding words of Rule 15(5)(a)(iii) requires a close focus on balancing the interests of the existing parties and the person sought to be added. It is important not to be diverted from the conduct of the parties to the conduct of their lawyers, except to the extent that the conduct of the lawyers may be at the heart of real prejudice to the other side. In this case, the plaintiffs were neither the cause of the failure to add Bavaria in the first instance nor the cause of any of the delays. They should not be prejudiced because of conduct on the part of their lawyer unless that conduct was the cause of irremediable prejudice to the other side. As I have said, that is not so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These comments are apposite to this case. Here it is clear that the failure to add BCL from the outset was due at least in part to BCL's failure to remain in good standing with the company registry and to keep the plaintiffs apprised of its address for delivery of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When the NOCC was issued June 30, 2016, the limitation faced by the owners and the plaintiffs under the tort claim (and the plaintiff's subrogated interest in the plaintiff's claim) may have expired in March 2016 (or at the latest March 2017). This application was brought July 16, 2018, which is well after either limitation date and plus one year. Thus prejudice to Braylin Contracting Ltd. can be presumed: see </w:t>
      </w:r>
      <w:r>
        <w:rPr>
          <w:rFonts w:ascii="arial" w:eastAsia="arial" w:hAnsi="arial" w:cs="arial"/>
          <w:i/>
          <w:color w:val="000000"/>
          <w:sz w:val="20"/>
          <w:lang w:val="en-US" w:eastAsia="en-US" w:bidi="ar-SA"/>
        </w:rPr>
        <w:t>McIntosh</w:t>
      </w:r>
      <w:r>
        <w:rPr>
          <w:rFonts w:ascii="arial" w:eastAsia="arial" w:hAnsi="arial" w:cs="arial"/>
          <w:color w:val="000000"/>
          <w:sz w:val="20"/>
          <w:lang w:val="en-US" w:eastAsia="en-US" w:bidi="ar-SA"/>
        </w:rPr>
        <w:t xml:space="preserve"> at paras.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am satisfied Mr. Curtis and Braylin Contracting Ltd. bear some responsibility for the delays in confusion related to the plaintiff's failure to name Braylin Contracting Ltd. in the original NOCC. Contrary to its obligations under the contract, the company was dissolved and did not maintain an address where it was intended to receive notices.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Overall, there was a failure on the plaintiff's lawyer to read and understand the insurance contract, but this failure was not the only reason the plaintiff did not act in a more timely way. It is significant that Ian Curtis and Braylin Contracting Ltd. (although the latter is not a third-party) filed a June 23, 2017 third party notice seeking contribution and indemnity from Robert Wagner on the basis of his agreement to indemnify and save harmless Braylin Contracting Ltd. from any claims relating to the construction and his responsibility under the NHW.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It is clear from Mr. Curtis' third party notice that, at all times he believed Braylin Contracting Ltd. was the party responsible under the NHW with a right to claim contribution and indemnity against Mr. Wagner for any claims made against him or Braylin Contracting Ltd. for work performed on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If there is a dispute or uncertainty about the running of the limitation period, the court is required to assume the limitation period had expired. Assuming that March 7, 2014, (notice from the new owners) marked the beginning of a limitation period and if the plaintiff was entitled to one additional year to serve the NOCC, when Braylin Contracting Ltd. was restored on August 2017, there was presumed prejudice resulting from the delay. Early in the litigation, Mr. Curtis' response identified Braylin Contracting Ltd. as the party involved in the NHW. Any failure to notify Braylin Contracting Ltd. concerning the potential claims was caused by Braylin Contracting Ltd. in its failure to maintain the address in the NHW and in becoming a dissolved corporation in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However, I conclude that the limitation period for indemnity under the NHW has not expired and the addition of Braylin Contracting Ltd. relates to issues closely connected with the claims and subject matter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 find Braylin Contracting Ltd. is a party whose participation in the proceedings is necessary to ensure that all matters in the proceedings can be effectually adjudicated on at this time. Pleadings are assumed true and must disclose a cause of action, with amendments liberally allowed: </w:t>
      </w:r>
      <w:r>
        <w:rPr>
          <w:rFonts w:ascii="arial" w:eastAsia="arial" w:hAnsi="arial" w:cs="arial"/>
          <w:i/>
          <w:color w:val="000000"/>
          <w:sz w:val="20"/>
          <w:lang w:val="en-US" w:eastAsia="en-US" w:bidi="ar-SA"/>
        </w:rPr>
        <w:t>Meade v. Armstrong (City)</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2011 BCSC 1591</w:t>
        </w:r>
      </w:hyperlink>
      <w:r>
        <w:rPr>
          <w:rFonts w:ascii="arial" w:eastAsia="arial" w:hAnsi="arial" w:cs="arial"/>
          <w:color w:val="000000"/>
          <w:sz w:val="20"/>
          <w:lang w:val="en-US" w:eastAsia="en-US" w:bidi="ar-SA"/>
        </w:rPr>
        <w:t xml:space="preserve"> at para. 16. The issues raised in Mr. Curtis' third party pleadings against Robert Wagner and his reply highlight the allegations that Braylin Contracting Ltd. was responsible for defects or damages or deficiencies associated with the House and breached its contract with Robert Wagner and was liable in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balancing the interests of the existing parties and the fact the plaintiff is not out of time to commence an action against BCL. I have found that Mr. Curtis was always aware that the claim being made was against BCL and that it suffered no prejudice owing to the possibility of losing a partial limitations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find that the delay in seeking this order has been explained and to the extent it was counsel's error the delay does not detract from the justice and convenience of the remedy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Overall, I have concluded it will be just and convenient to add BCL notwithstanding the impact on limitations defence: see e.g., </w:t>
      </w:r>
      <w:r>
        <w:rPr>
          <w:rFonts w:ascii="arial" w:eastAsia="arial" w:hAnsi="arial" w:cs="arial"/>
          <w:i/>
          <w:color w:val="000000"/>
          <w:sz w:val="20"/>
          <w:lang w:val="en-US" w:eastAsia="en-US" w:bidi="ar-SA"/>
        </w:rPr>
        <w:t>Isman v. New Westminster (City)</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2012 BCSC 774</w:t>
        </w:r>
      </w:hyperlink>
      <w:r>
        <w:rPr>
          <w:rFonts w:ascii="arial" w:eastAsia="arial" w:hAnsi="arial" w:cs="arial"/>
          <w:color w:val="000000"/>
          <w:sz w:val="20"/>
          <w:lang w:val="en-US" w:eastAsia="en-US" w:bidi="ar-SA"/>
        </w:rPr>
        <w:t xml:space="preserve"> at para. 15. This is a discretionary decision that must be exercised judicially in accordance with the evidence and the guidelines in other authorities. Although one limitation may have expired, the major focus of the plaintiff's claim under the NHW and breaches of their agreement are most likely within the limitation period.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Adding Robert Wagner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 seeks an order adding Mr. Wagner as a defendant. In June 2017 EXP Services Inc. and Mr. Curtis filed third party notices against Robert Wagner claiming contribution and indemnity pursuant to a contractual agreement between Braylin Contracting Ltd. and Robert Wagner.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plaintiff said it did not know of the involvement of Mr. Wagner in the construction of the House until receiving a copy of the third party notice filed June 23, 2017 from counsel for Mr. Curtis. Thus, it contends the limitation period should run from the discovery of this information and prejudice to Mr. Wagner cannot be presumed.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Wagner argues that there is no evidence in the material to support allegations that he did anything or perform any duties in the construction of the House. In order to show he is a necessary party to the litigation, there must be sufficient facts in the pleadings demonstrating he had a role in the construction; evidence is not necessary. He contends his role stopped at helping out by hiring different contractors to perform work and obtaining the NHW through Braylin Contracting Ltd. He contends the plaintiff's delay in contacting BCL or Mr. Curtis and informing themselves earlier is an unexplained delay and should not be excused by adding him as a defendant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Mr. Wagner referred the court to </w:t>
      </w:r>
      <w:r>
        <w:rPr>
          <w:rFonts w:ascii="arial" w:eastAsia="arial" w:hAnsi="arial" w:cs="arial"/>
          <w:i/>
          <w:color w:val="000000"/>
          <w:sz w:val="20"/>
          <w:lang w:val="en-US" w:eastAsia="en-US" w:bidi="ar-SA"/>
        </w:rPr>
        <w:t>Byrd v. Cariboo (Regional District)</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2016 BCCA 69</w:t>
        </w:r>
      </w:hyperlink>
      <w:r>
        <w:rPr>
          <w:rFonts w:ascii="arial" w:eastAsia="arial" w:hAnsi="arial" w:cs="arial"/>
          <w:color w:val="000000"/>
          <w:sz w:val="20"/>
          <w:lang w:val="en-US" w:eastAsia="en-US" w:bidi="ar-SA"/>
        </w:rPr>
        <w:t xml:space="preserve">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With reference to this Court's judgments in </w:t>
      </w:r>
      <w:r>
        <w:rPr>
          <w:rFonts w:ascii="arial" w:eastAsia="arial" w:hAnsi="arial" w:cs="arial"/>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(1996), </w:t>
      </w:r>
      <w:hyperlink r:id="rId405" w:history="1">
        <w:r>
          <w:rPr>
            <w:rFonts w:ascii="arial" w:eastAsia="arial" w:hAnsi="arial" w:cs="arial"/>
            <w:i/>
            <w:color w:val="0077CC"/>
            <w:sz w:val="20"/>
            <w:u w:val="single"/>
            <w:shd w:val="clear" w:color="auto" w:fill="FFFFFF"/>
            <w:lang w:val="en-US" w:eastAsia="en-US" w:bidi="ar-SA"/>
          </w:rPr>
          <w:t>1996 CanLII 3033</w:t>
        </w:r>
      </w:hyperlink>
      <w:r>
        <w:rPr>
          <w:rFonts w:ascii="arial" w:eastAsia="arial" w:hAnsi="arial" w:cs="arial"/>
          <w:color w:val="000000"/>
          <w:sz w:val="20"/>
          <w:lang w:val="en-US" w:eastAsia="en-US" w:bidi="ar-SA"/>
        </w:rPr>
        <w:t xml:space="preserve"> (BC CA), </w:t>
      </w:r>
      <w:hyperlink r:id="rId405" w:history="1">
        <w:r>
          <w:rPr>
            <w:rFonts w:ascii="arial" w:eastAsia="arial" w:hAnsi="arial" w:cs="arial"/>
            <w:i/>
            <w:color w:val="0077CC"/>
            <w:sz w:val="20"/>
            <w:u w:val="single"/>
            <w:shd w:val="clear" w:color="auto" w:fill="FFFFFF"/>
            <w:lang w:val="en-US" w:eastAsia="en-US" w:bidi="ar-SA"/>
          </w:rPr>
          <w:t>19 B.C.L.R. (3d) 282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Letvad v. Fenwick</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 xml:space="preserve"> (CanLII), </w:t>
      </w:r>
      <w:hyperlink r:id="rId394" w:history="1">
        <w:r>
          <w:rPr>
            <w:rFonts w:ascii="arial" w:eastAsia="arial" w:hAnsi="arial" w:cs="arial"/>
            <w:i/>
            <w:color w:val="0077CC"/>
            <w:sz w:val="20"/>
            <w:u w:val="single"/>
            <w:shd w:val="clear" w:color="auto" w:fill="FFFFFF"/>
            <w:lang w:val="en-US" w:eastAsia="en-US" w:bidi="ar-SA"/>
          </w:rPr>
          <w:t>82 B.C.L.R. (3d) 296</w:t>
        </w:r>
      </w:hyperlink>
      <w:r>
        <w:rPr>
          <w:rFonts w:ascii="arial" w:eastAsia="arial" w:hAnsi="arial" w:cs="arial"/>
          <w:color w:val="000000"/>
          <w:sz w:val="20"/>
          <w:lang w:val="en-US" w:eastAsia="en-US" w:bidi="ar-SA"/>
        </w:rPr>
        <w:t>, the chambers judge summarized the principles that apply to an application to add a party after the expiration of the limitation period as follows (para. 25):</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same principles apply regardless of whether the plaintiff seeks to add a new party or add a new cause of action against an existing party.</w:t>
      </w:r>
    </w:p>
    <w:p>
      <w:pPr>
        <w:numPr>
          <w:numId w:val="4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plaintiff has not exercised due diligence in bringing on its application, it is not an automatic bar to the relief sought. All of the relevant circumstances must be considered.</w:t>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exercise its discretion judicially, in accordance with the evidence adduced and the guidelines established in the authorities.</w:t>
      </w:r>
    </w:p>
    <w:p>
      <w:pPr>
        <w:numPr>
          <w:numId w:val="4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guidelines to be applied require a consideration of certain factors: (a) "the extent of the delay"; (b) "the reasons for the delay"; (c) "any explanation put forward to account for the delay"; (d) "the degree of prejudice caused by delay"; and (e) "the extent of the connection, if any, between the existing claims and the proposed new cause of action."</w:t>
      </w:r>
    </w:p>
    <w:p>
      <w:pPr>
        <w:numPr>
          <w:numId w:val="5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just and convenient is an overriding question.</w:t>
      </w:r>
    </w:p>
    <w:p>
      <w:pPr>
        <w:numPr>
          <w:numId w:val="5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presumption of prejudice to the proposed defendant if the limitation period has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Wagner contends that he was involved to the extent only of hiring geotechnical expert advice, the contractor for construction and the sub-trades. He relied on Braylin Contracting Ltd. to obtain a NHW and to inspect the construction of his House to ensure it meant B.C. building code standards. He said he played no part in satisfying requirements for soil bearing capacity or compaction of engineered fill. Mr. Wagner contends the plaintiff was a dilatory in not investigating the circumstances of the construction; the plaintiff should have discovered his involvement in building the House in October 2014. He argued that the limitation period expired in August 2016 and now, more than three years from that date the plaintiff seeks to add him as a defendant. He argues that prejudice to him is presumed.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Wagner did not detail any prejudice he has suffered as a result of the delay in bringing this application. He said he may be forced to declare bankruptcy if he is required to defend the action. Overall he argues there must be some evidence to connect him to building the House and, failing any evidence being adduced, it would not be just or convenient that he be added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Also, Mr. Wagner argues that the plaintiff has not explained the inordinate delay in making this application or in failing to name him as a defendant in the initial NOCC.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Further, he argues that prejudice is to be presumed because adding him as a defendant to the proceeding would deprive him of limitations defence. He also contends that, under s. 6-2(7)(b) he is not a person that "ought to have been joined as a party" or a person whose "participation in the proceeding is necessary to ensure that all matters in the proceedings may be effectually adjudicated on". Thus he argues it would be inappropriate to add him because there is no reason that he ought to have been joined.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Wagner was never owner of the property and, although he hired sub- trades, did not do any of the physical work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Further, he argues that the underlying issues are geotechnical soil problems and BCL together with the defendant EXP Services Inc. are the only parties necessary to effectively adjudicate the case. He relies on comments from the Court of Appeal in </w:t>
      </w:r>
      <w:r>
        <w:rPr>
          <w:rFonts w:ascii="arial" w:eastAsia="arial" w:hAnsi="arial" w:cs="arial"/>
          <w:i/>
          <w:color w:val="000000"/>
          <w:sz w:val="20"/>
          <w:lang w:val="en-US" w:eastAsia="en-US" w:bidi="ar-SA"/>
        </w:rPr>
        <w:t>Kitimat</w:t>
      </w:r>
      <w:r>
        <w:rPr>
          <w:rFonts w:ascii="arial" w:eastAsia="arial" w:hAnsi="arial" w:cs="arial"/>
          <w:color w:val="000000"/>
          <w:sz w:val="20"/>
          <w:lang w:val="en-US" w:eastAsia="en-US" w:bidi="ar-SA"/>
        </w:rPr>
        <w:t xml:space="preserve">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If a delay falls within a three year period in which the plaintiff was entitled to bring and serve an action, no explanation of the delay is necessary. The court also accepts that "inadvertence on the part of a lawyer" is an acceptable explanation as an honest error in judgment: see </w:t>
      </w:r>
      <w:r>
        <w:rPr>
          <w:rFonts w:ascii="arial" w:eastAsia="arial" w:hAnsi="arial" w:cs="arial"/>
          <w:i/>
          <w:color w:val="000000"/>
          <w:sz w:val="20"/>
          <w:lang w:val="en-US" w:eastAsia="en-US" w:bidi="ar-SA"/>
        </w:rPr>
        <w:t>Ferguson v. Dippenaar</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2017 BCSC 1290</w:t>
        </w:r>
      </w:hyperlink>
      <w:r>
        <w:rPr>
          <w:rFonts w:ascii="arial" w:eastAsia="arial" w:hAnsi="arial" w:cs="arial"/>
          <w:color w:val="000000"/>
          <w:sz w:val="20"/>
          <w:lang w:val="en-US" w:eastAsia="en-US" w:bidi="ar-SA"/>
        </w:rPr>
        <w:t xml:space="preserve">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this case, the plaintiff argues it did not have any knowledge of Mr. Wagner's involvement in the construction process until this information was revealed in the third party notice filed by Mr. Blair on June 23,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Mr. Curtis claims contribution and indemnity from Mr. Wagner stemming from a contractual agreement between BCL and himself and in the alternative pursuant to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where he claims contribution to the extent of liability apportioned to Mr. Wagner. Mr. Curtis contends it was an express or implied term of the agreement that Mr. Wagner would be fully responsible for the building of the property and would be responsible for all damages, defects deficiencies and claims related to the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Importantly, the only question is whether the evidence demonstrates an issue between the parties and the court will not weigh the evidence: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xml:space="preserve"> at para.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Subrule 15(5)(a)(iii) thus establishes two requirements that an applicant must prove to succeed in joining a new defendant. First, it must show that there is a question or issue between the plaintiff and the proposed defendant that relates to the relief, remedy, or subject matter of the proceeding. The threshold is low. It has been expressed as establishing simply that there is a real issue between them that is not frivolous, or that the plaintiff has a possible cause of action against the proposed party. This requirement may be met solely on the basis of proposed amendments to the statement of claim, or the parties may provide affidavit evidence addressing it. If evidence is provided, the court is not to weigh it and assess whether the plaintiff could prove the allegations. It is limited to examining the evidence only to the extent necessary to determine if the required issue between the parties exists: </w:t>
      </w:r>
      <w:r>
        <w:rPr>
          <w:rFonts w:ascii="arial" w:eastAsia="arial" w:hAnsi="arial" w:cs="arial"/>
          <w:i/>
          <w:color w:val="000000"/>
          <w:sz w:val="20"/>
          <w:lang w:val="en-US" w:eastAsia="en-US" w:bidi="ar-SA"/>
        </w:rPr>
        <w:t>Strata Plan LMS 1816 v. Acastina Investments Ltd.</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2004 BCCA 578</w:t>
        </w:r>
      </w:hyperlink>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33 B.C.L.R. (4th) 69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MacMillan Bloedel Ltd. v. Binstead et al</w:t>
      </w:r>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(1981), 58 B.C.L.R. 173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plaintiff's evidence is that it had no knowledge of Mr. Wagner before June 2017. Assuming that to be the case, it is reasonable to conclude that the limitation period concerning claims against Mr. Wagner would have begun to run at that time and not before. Mr. Wagner says the plaintiff was dilatory in exploring the claims earlier and that due diligence would have revealed his involvement as early as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There is nothing in the evidence or the pleadings suggesting any earlier that Mr. Wagner's role and potential liability in the construction of the House, might have formed the basis or cause of action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evidence and pleadings in this case prior to June 2017 did not reflect any involvement of Mr. Wagner. I accept that before the plaintiff received a copy of Mr. Curtis' third party notice, nothing in the circumstances could reasonably have alerted them to his role. On the face of the pleadings up to that time, this action concerned claims against Braylin Contracting, a proprietorship, and other sub-trades and the City of Kamloops without any apparent reference to allegations in Mr. Blair's third party notice that Mr. Wagner was responsible for filling the House and that he would indemnify BCL for loss damage or expense associated with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proposed amended NOCC includes a wide range of allegations against Mr. Wagner including failure to take care in selecting design professionals, project manager, and a general contractor and sub-trades.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evidence does not support a conclusion that the plaintiff was dilatory in failing to identify Mr. Wagner as a potential cause or contributor to the structural damage to the new owner's house. On the face of the evidence, there was no reason to anticipate that Mr. Wagner had any role in the house construction or that he was in any way involved in the structural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Thus, I conclude the limitation period did not run until after June 2017 and the plaintiff's application in this matter is not outside of the limitation period plus one year. Accordingly, prejudice on this application cannot be presumed.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As noted, Mr. Wagner does not give any evidence concerning actual prejudice he has suffered in the time between March 2014 and the making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also accept that, if Mr. Wagner's identity had been known to the plaintiff, he was a person who ought to be joined as a party to the proceeding from the outset.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His participation in the proceeding will be necessary to ensure that all matters will be effectually adjudicated on. He is already a third-party and issues between he and the defendants will be canvassed in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This is not a case where Mr. Wagner was overlooked as a defendant or was not named as a defendant due to inadvertence. The sole basis not including him in the original NOCC and the delay in this application since the loss came to the attention of the plaintiff, was the absence of information identifying him as a person who may have had a role in the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evidentiary requirement on this application can be satisfied solely on the basis of the proposed NOCC amendment, attached as a Schedule to the plaintiffs' notice of application. I am satisfied that a question or issue between the plaintiff and the proposed defendant relating to the subject matter of the proceeding has been demonstrated on the proposed pleading. While this is a low threshold, it must not be a frivolous claim and on the basis of the pleadings alone I conclude it is possible the plaintiff may succeed in an action against Mr. Wagner: see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xml:space="preserve"> at para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In the circumstances, there is a substantial connection between the proposed claim against Mr. Wagner and the other issues extent in this action. It appears there will be a factual dispute between BCL and Mr. Wagner concerning their respective roles in the construction. The court at para. 29 in </w:t>
      </w:r>
      <w:r>
        <w:rPr>
          <w:rFonts w:ascii="arial" w:eastAsia="arial" w:hAnsi="arial" w:cs="arial"/>
          <w:i/>
          <w:color w:val="000000"/>
          <w:sz w:val="20"/>
          <w:lang w:val="en-US" w:eastAsia="en-US" w:bidi="ar-SA"/>
        </w:rPr>
        <w:t>Kitimat</w:t>
      </w:r>
      <w:r>
        <w:rPr>
          <w:rFonts w:ascii="arial" w:eastAsia="arial" w:hAnsi="arial" w:cs="arial"/>
          <w:color w:val="000000"/>
          <w:sz w:val="20"/>
          <w:lang w:val="en-US" w:eastAsia="en-US" w:bidi="ar-SA"/>
        </w:rPr>
        <w:t xml:space="preserve"> suggests that the use of the word "ought" in Rule 6-2(7)(b)(i) can be more expensive than simple necessity and may include joining a person that "may be more than mere convenience but less than a necessity."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Overall, I find it is just and convenient, to add Mr. Wagner as a defendant to the action. I accept his concerns regarding his financial ability to withstand the costs of participating in the litigation but, those concerns do not rise to a level that should prevent his addition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find that because of the late discovery of Mr. Wagner's role in constructing the house in June 2017 that the limitation period for claims against him would not have expired. Taking into account that there is no presumed prejudice in adding Mr. Wagner and no other actual prejudice in the delay in involving him in the proceeding, it is just and convenient that the plaintiff be entitled to add him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applicant may amend its pleadings in accordance with Rule 6-2(8).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conclusion, the orders are granted as explained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Cost of the application will be to the plaintiffs unless any defendant or proposed defendant makes further submission on this point within 30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T.C. ARMSTRONG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8" style="position:absolute;z-index:251776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15" w:history="1">
        <w:r>
          <w:rPr>
            <w:rFonts w:ascii="arial" w:eastAsia="arial" w:hAnsi="arial" w:cs="arial"/>
            <w:b/>
            <w:bCs/>
            <w:i/>
            <w:color w:val="0077CC"/>
            <w:kern w:val="32"/>
            <w:sz w:val="28"/>
            <w:szCs w:val="32"/>
            <w:u w:val="single"/>
            <w:shd w:val="clear" w:color="auto" w:fill="FFFFFF"/>
            <w:lang w:val="en-US" w:eastAsia="en-US" w:bidi="ar-SA"/>
          </w:rPr>
          <w:t>Chan v. Insurance Corporation of British Columbia, [2000] I.L.R. para. M-1263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Insurance Law Reporter Cases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Holmes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August 14, 2000.</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[2000] I.L.R. para. M-1263</w:t>
      </w:r>
    </w:p>
    <w:p>
      <w:pPr>
        <w:spacing w:before="120" w:line="260" w:lineRule="atLeast"/>
        <w:rPr>
          <w:lang w:val="en-US" w:eastAsia="en-US" w:bidi="ar-SA"/>
        </w:rPr>
      </w:pPr>
      <w:r>
        <w:rPr>
          <w:rFonts w:ascii="arial" w:eastAsia="arial" w:hAnsi="arial" w:cs="arial"/>
          <w:color w:val="000000"/>
          <w:sz w:val="20"/>
          <w:lang w:val="en-US" w:eastAsia="en-US" w:bidi="ar-SA"/>
        </w:rPr>
        <w:t>Chan v. Insurance Corporation of British Columbia</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89" style="position:absolute;z-index:25167564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76" w:name="Keywords_6"/>
      <w:bookmarkEnd w:id="76"/>
      <w:r>
        <w:rPr>
          <w:rFonts w:ascii="arial" w:eastAsia="arial" w:hAnsi="arial" w:cs="arial"/>
          <w:b/>
          <w:color w:val="000000"/>
          <w:sz w:val="20"/>
          <w:lang w:val="en-US" w:eastAsia="en-US" w:bidi="ar-SA"/>
        </w:rPr>
        <w:t>Liability — Causation — First collision caused by unknown driver — Plaintiff ran from her car and was hit in intersection by second driver — Plaintiff's action foreseeable result of first collision — Unknown driver liable for two thirds of damages in second accident.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77" w:name="Case Summary_6"/>
            <w:bookmarkEnd w:id="77"/>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an action for personal injury damages arising from two motor vehicle accidents. In the first, the plaintiff's vehicle was struck by an unidentified vehicle driving the wrong way on a one-way street. The plaintiff's vehicle jumped the curb and collided with a van. The plaintiff ran from her car, crossed the street to a witness, then ran back across the street against a "Don't Walk" sign to follow the unknown driver, who had fled. As she crossed the street, she was hit by the defendant E and suffered serious injuries. Liability for the first accident was admitted by I.C.B.C., the nominal defendant, but liability for the second accident was disputed. I.C.B.C. argued that it had no responsibility on behalf of the unknown motorist for the second accident, and E argued that the plaintiff was the sole cause of her injuries, since she crossed the street illegally and without looking for traffic. </w:t>
            </w:r>
            <w:r>
              <w:rPr>
                <w:lang w:val="en-US" w:eastAsia="en-US" w:bidi="ar-SA"/>
              </w:rPr>
              <w:cr/>
            </w:r>
          </w:p>
          <w:p>
            <w:pPr>
              <w:spacing w:before="120" w:line="260" w:lineRule="atLeast"/>
              <w:ind w:left="240"/>
              <w:jc w:val="both"/>
              <w:rPr>
                <w:lang w:val="en-US" w:eastAsia="en-US" w:bidi="ar-SA"/>
              </w:rPr>
            </w:pPr>
            <w:bookmarkStart w:id="78" w:name="Holdings of Court_5"/>
            <w:bookmarkEnd w:id="78"/>
            <w:r>
              <w:rPr>
                <w:rFonts w:ascii="arial" w:eastAsia="arial" w:hAnsi="arial" w:cs="arial"/>
                <w:color w:val="000000"/>
                <w:sz w:val="20"/>
                <w:lang w:val="en-US" w:eastAsia="en-US" w:bidi="ar-SA"/>
              </w:rPr>
              <w:t>HELD: Liability for the second accident was apportioned between the defendants.</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unknown motorist in the first accident caused a serious collision in an unexpected way. It was foreseeable that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create panic in a victim who would properly try to identify him and that the victim might err in judgment in trying to pursue him. There was a foreseeable risk of harm to the accident victim. All the events had happened in a very short period of time, and the plaintiff's action of negligently crossing the road did not break the chain of causation stemming from the unknown motorist's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contributing cause of the plaintiff's injury in the second accident.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Although the plaintiff had crossed the street negligently, and the defendant E had the right of way, E was negligent and contributed to the plaintiff's injuries. Other vehicles had not proceeded on the green light, observing some activity in the crosswalk, and E should have perceived a danger earlier than he did. Liability was apportioned one third against E. The remaining two thirds of liability was assessed against I.C.B.C. It was also entirely liable for the damages in the first accident. </w:t>
            </w:r>
            <w:r>
              <w:rPr>
                <w:lang w:val="en-US" w:eastAsia="en-US" w:bidi="ar-SA"/>
              </w:rPr>
              <w:cr/>
            </w:r>
          </w:p>
          <w:p>
            <w:pPr>
              <w:rPr>
                <w:lang w:val="en-US" w:eastAsia="en-US" w:bidi="ar-SA"/>
              </w:rPr>
            </w:pPr>
          </w:p>
        </w:tc>
      </w:tr>
    </w:tbl>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7268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2" w:history="1">
        <w:r>
          <w:rPr>
            <w:rFonts w:ascii="arial" w:eastAsia="arial" w:hAnsi="arial" w:cs="arial"/>
            <w:b/>
            <w:bCs/>
            <w:i/>
            <w:color w:val="0077CC"/>
            <w:kern w:val="32"/>
            <w:sz w:val="28"/>
            <w:szCs w:val="32"/>
            <w:u w:val="single"/>
            <w:shd w:val="clear" w:color="auto" w:fill="FFFFFF"/>
            <w:lang w:val="en-US" w:eastAsia="en-US" w:bidi="ar-SA"/>
          </w:rPr>
          <w:t>Chau v. Pereira, [2019] B.C.J. No. 922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Baird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19-22, 25-28,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22,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M167483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922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809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Sui Fei Chau, Plaintiff, and Celso Nunes Pereira,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(47 paras.)</w:t>
      </w:r>
    </w:p>
    <w:p>
      <w:pPr>
        <w:jc w:val="both"/>
        <w:rPr>
          <w:rFonts w:ascii="arial" w:eastAsia="arial" w:hAnsi="arial" w:cs="arial"/>
          <w:sz w:val="20"/>
          <w:lang w:val="en-US" w:eastAsia="en-US" w:bidi="ar-SA"/>
        </w:rPr>
      </w:pPr>
      <w:bookmarkStart w:id="79" w:name="Counsel_15"/>
      <w:bookmarkEnd w:id="7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1"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Robert Marcoux. Brittany Therrien.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Roderick McLennan, Dawid Cieloszczyk.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0" w:name="Judgment_15"/>
      <w:bookmarkEnd w:id="80"/>
      <w:r>
        <w:pict>
          <v:line id="_x0000_s1092" style="position:absolute;z-index:2517278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1" w:name="BAIRD J."/>
            <w:bookmarkEnd w:id="81"/>
            <w:r>
              <w:rPr>
                <w:rFonts w:ascii="arial" w:eastAsia="arial" w:hAnsi="arial" w:cs="arial"/>
                <w:b/>
                <w:color w:val="000000"/>
                <w:sz w:val="30"/>
                <w:lang w:val="en-US" w:eastAsia="en-US" w:bidi="ar-SA"/>
              </w:rPr>
              <w:t>BAIRD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At approximately 9:00 a.m. on Saturday, May 14, 2016, the plaintiff, Siu Fei Chau, was walking southbound in a marked crosswalk on the east side of the intersection of Victoria Drive and Kingsway in Vancouver. About halfway across, he was struck by a left-turning pickup truck driven by the defendant, Celso Pereira. The plaintiff suffered a serious right ankle injury as a result. The issues for me to decide are liability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is a 58-year-old divorced father of two. He is 90% hearing impaired in both ears. He emigrated from Hong Kong to Canada around the time of the territory's reversion to Chinese sovereignty. His ability to speak English is limited. For most of his life in Canada he has worked in wholesale produce warehouses, first for Van-Whole Produce Ltd. and since 2006 with Fresh Direct Produce Ltd. He works alongside other Cantonese speakers who also form his social and recreational peer group. His workplace is the centre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heard from a number of the plaintiff's work colleagues. I accept their evidence that prior to the accident the plaintiff was a diligent, resourceful, above-average employee. At Fresh Direct he is a Quality Control Supervisor. He devised and implemented a method of documenting and managing product freshness and spoilage issues. He deals with managers, suppliers and customers about such things. He is also a general warehouseman working in a 50,000 square foot facility, a physically demanding occupation that involves packing, unpacking, storing and shifting boxes of produce weighing anywhere between 15 and 50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am satisfied that as a result of the plaintiff's accident-related injuries he is much less capable of doing his job. His superintendent testified that his productivity has declined sharply. He cannot work anywhere near as quickly or efficiently as before. He used to handle the orders for two of the company's largest customers - Walmart and Sobeys - but these duties have been reassigned because the plaintiff can no longer keep up. He requires regular assistance from his fellow employees to complete routine tasks, especially when it comes to handling boxes of produce stored above his shoulder level. He has to take "micro-breaks" at regular intervals. He is absent from work with greater frequency. He is limited in the amount of time he can spend in the facility's refrigerated storage rooms, as his right ankle seizes up in low temperatures. This is significant as most of the company's inventory is perishable and must be kept cool.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company has been admirably loyal to the plaintiff. The director of operations testified that the plaintiff is in no danger of being let go, but it is a performance-based operation and with his reduced capacities he will not be in line for the sort of salary increases and bonuses that were his due before the accident. It seems that the staff and management are determined to carry the plaintiff and ensure that he is taken care of, but his prospects for advancement at work are negligible. This is humbling for the plaintiff, who now views himself as something of a charity case. He said repeatedly that he is most grateful to the company and his co-workers for their staunch support in his time of need.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has also been compromised in his enjoyment of leisure activities. He is no longer able to go jogging or play badminton or basketball. He does not go out as frequently with his friends because he has avoided driving since the accident and walking is difficult. He becomes tired more easily and has to rest more than before. He used to like fishing with his work colleagues but has only done so once since the accident. He has got to the stage where he can walk fair distances over even terrain, but he is cautious and tentative about crossing uneven surfaces. His right leg is scarred and disfigured. The plaintiff finds this embarrassing and no longer wears shorts. He has anxiety about crossing the street or being in or around automobiles.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struck me as a likeable and honest person. I have no reason to doubt the sincerity or accuracy of any of his testimony. In my view, he has worked hard to rehabilitate himself. He is no malingerer. There was none of the overstatement or theatricality that I have sometimes seen in cases of this sort. I am confident that the plaintiff has given me the straight goods. The defendant made a half-hearted failure to mitigate argument with which I wholly disagree. The defendant criticised the plaintiff for not taking more physiotherapy and psychological counselling, but these are quibbles. For emphasis, the plaintiff suffered an extremely nasty trimalleolar ankle break which required plates and screws to repair. He was completely incapacitated for several months. People had to come in to refit his basement suite. He relied on friends to bring him food. He was worried to distraction about his economic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interval after the accident, in other words, was a time of much stress and uncertainty for the plaintiff. Nevertheless, he had the gumption and discipline to return to work on a graduated basis at the earliest conceivable time. He was back on the job by October 2016, less than six months after sustaining a major orthopaedic injury. In my view, he has shown considerable courage and determination in his efforts to get his life back on track. He has done his best to reach maximum rehabilitation, but the unalterable fact, sadly, is that he is now significantly and permanently disabled.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accept the plaintiff's evidence about how the accident happened. When he entered the crosswalk the "walk" signal was activated. No one disputed this. When he was about halfway across, the "don't walk" hand signal started flashing on and off and a digital clock was counting down the seconds. The plaintiff began to walk at a brisker pace to get out of the intersection before the traffic lights changed. As previously stated, he was struck by the defendant, who was turning left in his pickup truck to go eastbound on Kingsway. After impact the defendant stopped his vehicle and approached the plaintiff as he lay injured in the roadway. He said "I didn't see you. I only saw you in the rear view mirror lying in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testified that he entered the intersection southbound on a green light and had to wait while a number of northbound vehicles passed by. On cross-examination he agreed that when he started his left-hand turn the pedestrian "don't walk" signal was flashing on and off. This was entirely consistent with the plaintiff's evidence. The defendant said that he caught a glimpse of the plaintiff a split second before impact. His two passengers - his daughter and her friend - conceded that they did not see the plaintiff at all until they stopped and looked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have concluded that Mr. Pereira is entirely liable for causing this accident. I listened carefully to his evidence and that of his two passengers and I am satisfied that they are reconstructing events inaccurately based on where they found the plaintiff lying in the roadway after the impact. I accept that this was marginally outside the crosswalk in the eastbound center lane of Kingsway. However I accept the plaintiff's evidence that he never left the confines of the crosswalk until the defendant drove into him. I can think of no plausible reason in the circumstances why he might have done otherwise. I attribute his post-impact location outside the crosswalk to the force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my view this is a straightforward case of a pedestrian who was crossing a main arterial route in a marked crosswalk being struck by a motorist who, through negligent inattention, failed to see that he was there. The law regulating such matters is clearly set out in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shd w:val="clear" w:color="auto" w:fill="FFFFFF"/>
            <w:lang w:val="en-US" w:eastAsia="en-US" w:bidi="ar-SA"/>
          </w:rPr>
          <w:t>R.S.B.C. 1996, c. 318, s. 132</w:t>
        </w:r>
      </w:hyperlink>
      <w:r>
        <w:rPr>
          <w:rFonts w:ascii="arial" w:eastAsia="arial" w:hAnsi="arial" w:cs="arial"/>
          <w:color w:val="000000"/>
          <w:sz w:val="20"/>
          <w:lang w:val="en-US" w:eastAsia="en-US" w:bidi="ar-SA"/>
        </w:rPr>
        <w:t>. The plaintiff was entitled to enter the intersection on the "walk" signal. Thereafter he had the right of way over all vehicular traffic: s. 132(1). Once the "don't walk" signal started flashing he was legally obliged to get to the other side as quickly as possible, and he continued to enjoy the right of way over all vehicles while doing so: s. 132(3).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 reject the defendant's argument that the plaintiff was contributorily negligent either because he hurried along or might not have been wearing his hearing aids. As I have just mentioned, the plaintiff was statutorily obliged to clear the intersection "as quickly as possible" once the "don't walk" signal started flashing, and hearing-impaired people are not obliged to take special steps to ensure that they are not run down in marked crosswalks. To the contrary, the plaintiff was entitled to proceed in safety through the crosswalk and to rely on the protection of the right of way accorded to him by law: </w:t>
      </w:r>
      <w:r>
        <w:rPr>
          <w:rFonts w:ascii="arial" w:eastAsia="arial" w:hAnsi="arial" w:cs="arial"/>
          <w:i/>
          <w:color w:val="000000"/>
          <w:sz w:val="20"/>
          <w:lang w:val="en-US" w:eastAsia="en-US" w:bidi="ar-SA"/>
        </w:rPr>
        <w:t>Bulatovic v. Siebert</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2013 BCSC 240</w:t>
        </w:r>
      </w:hyperlink>
      <w:r>
        <w:rPr>
          <w:rFonts w:ascii="arial" w:eastAsia="arial" w:hAnsi="arial" w:cs="arial"/>
          <w:color w:val="000000"/>
          <w:sz w:val="20"/>
          <w:lang w:val="en-US" w:eastAsia="en-US" w:bidi="ar-SA"/>
        </w:rPr>
        <w:t xml:space="preserve"> at paras. 80, 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would note on this issue, finally, that one of the defendant's passengers - his daughter - testified that a private investigator interviewed her and the other passenger simultaneously about the accident. I mean by this that it was a collaborative process in which they remained in the same room together and had a three-way discussion, during which the investigator coached the two young women about the best way to express themselves. When he was done he read each statement aloud in the presence of both witnesses. This manner of creating a record of evidence is most unsatisfactory. Unsurprisingly, the witnesses' testimony was beguilingly similar in material particulars. I ascribe only modest weight to what they said. All things considered, I much prefer the evidence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main medical witness was Kevin Wing, an orthopaedic surgeon. He testified that as a result of the accident the plaintiff suffered a severe fracture of his right ankle, with significant related soft tissue injury. Post-traumatic arthritis has set in, resulting in a restricted range of motion and activity-related ankle pain. According to Dr. Wing this is likely to get worse over time. I have no difficulty accepting this. I am satisfied overall that in the years ahead the plaintiff will likely experience a deterioration in his ankle functioning and will ultimately develop what Dr. Wing called "end stage" or seriously debilitating arthritis in this area of his anatomy.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According to Dr. Wing, the plaintiff may at some point require ankle fusion or ankle replacement surgery. Either procedure typically requires patients to be off work for six months and undergo several months of therapy and rehabilitation. Dr. Wing predicted that even after such a surgery the plaintiff will most likely continue to suffer from significant disability associated with his badly damaged ankle. Dr. Wing testified that the injury had likely been caused by the infliction of thousands of pounds of force on the ankle. The ankle joint was shattered into pieces. The surrounding soft tissue and ligaments critical to ankle function were badly damaged. He likened the injury to an "explosion". He confirmed that this is a serious and permanently debilitating injury with obvious implications for the plaintiff's quality of life and ability to earn an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other expert witnesses were Min Kyi, a functional capacity therapy expert who evaluated the plaintiff's diminished physical abilities, which I have already discussed; and Dr. Roy O'Shaughnessy, a psychiatry expert who testified very briefly about the plaintiff's problems with anxiety following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An award of non-pecuniary damages "acts as a substitute for the pleasure and enjoyment which has been lost and endeavours to alleviate, as far as possible, the pain and suffering that the plaintiff has endured and will have to endure in the future"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at para. 106).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plaintiff's compensation for pain and suffering is to be assessed through the non-exhaustive list of factors set out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leave to appeal ref'd </w:t>
      </w:r>
      <w:hyperlink r:id="rId427"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at para. 46:</w:t>
      </w:r>
      <w:r>
        <w:rPr>
          <w:rFonts w:ascii="arial" w:eastAsia="arial" w:hAnsi="arial" w:cs="arial"/>
          <w:sz w:val="20"/>
          <w:lang w:val="en-US" w:eastAsia="en-US" w:bidi="ar-SA"/>
        </w:rPr>
        <w:cr/>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stoicism (a factor which should not result in a lower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plaintiff seeks a non-pecuniary damage award of $175,000. He relies on two cases: </w:t>
      </w:r>
      <w:r>
        <w:rPr>
          <w:rFonts w:ascii="arial" w:eastAsia="arial" w:hAnsi="arial" w:cs="arial"/>
          <w:i/>
          <w:color w:val="000000"/>
          <w:sz w:val="20"/>
          <w:lang w:val="en-US" w:eastAsia="en-US" w:bidi="ar-SA"/>
        </w:rPr>
        <w:t>Lensu v. Victoria</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2019 BCSC 59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J.J. v. Barton</w:t>
      </w:r>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2017 BCSC 1196</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Lensu</w:t>
      </w:r>
      <w:r>
        <w:rPr>
          <w:rFonts w:ascii="arial" w:eastAsia="arial" w:hAnsi="arial" w:cs="arial"/>
          <w:color w:val="000000"/>
          <w:sz w:val="20"/>
          <w:lang w:val="en-US" w:eastAsia="en-US" w:bidi="ar-SA"/>
        </w:rPr>
        <w:t xml:space="preserve">, a 62-year-old plaintiff suffered soft tissue foot and ankle injuries that limited her recreational activities and "forever diminished" her intended post-retirement lifestyle: see para. 211. She received a non-pecuniary damage award of $140,000. In </w:t>
      </w:r>
      <w:r>
        <w:rPr>
          <w:rFonts w:ascii="arial" w:eastAsia="arial" w:hAnsi="arial" w:cs="arial"/>
          <w:i/>
          <w:color w:val="000000"/>
          <w:sz w:val="20"/>
          <w:lang w:val="en-US" w:eastAsia="en-US" w:bidi="ar-SA"/>
        </w:rPr>
        <w:t>J.J.</w:t>
      </w:r>
      <w:r>
        <w:rPr>
          <w:rFonts w:ascii="arial" w:eastAsia="arial" w:hAnsi="arial" w:cs="arial"/>
          <w:color w:val="000000"/>
          <w:sz w:val="20"/>
          <w:lang w:val="en-US" w:eastAsia="en-US" w:bidi="ar-SA"/>
        </w:rPr>
        <w:t>, there was an award of $175,000 in non-pecuniary damages to a 23-year-old plaintiff whose broken wrists led to osteoarthritis that may eventually require fusion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plaintiff submits that his ankle injury is more severe than the injuries in </w:t>
      </w:r>
      <w:r>
        <w:rPr>
          <w:rFonts w:ascii="arial" w:eastAsia="arial" w:hAnsi="arial" w:cs="arial"/>
          <w:i/>
          <w:color w:val="000000"/>
          <w:sz w:val="20"/>
          <w:lang w:val="en-US" w:eastAsia="en-US" w:bidi="ar-SA"/>
        </w:rPr>
        <w:t>Lensu</w:t>
      </w:r>
      <w:r>
        <w:rPr>
          <w:rFonts w:ascii="arial" w:eastAsia="arial" w:hAnsi="arial" w:cs="arial"/>
          <w:color w:val="000000"/>
          <w:sz w:val="20"/>
          <w:lang w:val="en-US" w:eastAsia="en-US" w:bidi="ar-SA"/>
        </w:rPr>
        <w:t xml:space="preserve"> and will have more serious consequences, as it will limit his working life and curtail his social and recreational activities. He argues that his diminished ankle function is also more disruptive than the wrist injuries in </w:t>
      </w:r>
      <w:r>
        <w:rPr>
          <w:rFonts w:ascii="arial" w:eastAsia="arial" w:hAnsi="arial" w:cs="arial"/>
          <w:i/>
          <w:color w:val="000000"/>
          <w:sz w:val="20"/>
          <w:lang w:val="en-US" w:eastAsia="en-US" w:bidi="ar-SA"/>
        </w:rPr>
        <w:t>J.J</w:t>
      </w:r>
      <w:r>
        <w:rPr>
          <w:rFonts w:ascii="arial" w:eastAsia="arial" w:hAnsi="arial" w:cs="arial"/>
          <w:color w:val="000000"/>
          <w:sz w:val="20"/>
          <w:lang w:val="en-US" w:eastAsia="en-US" w:bidi="ar-SA"/>
        </w:rPr>
        <w:t xml:space="preserve">. because it constantly affects his basic mobility. Nevertheless, the plaintiff submits my $175,000 award in </w:t>
      </w:r>
      <w:r>
        <w:rPr>
          <w:rFonts w:ascii="arial" w:eastAsia="arial" w:hAnsi="arial" w:cs="arial"/>
          <w:i/>
          <w:color w:val="000000"/>
          <w:sz w:val="20"/>
          <w:lang w:val="en-US" w:eastAsia="en-US" w:bidi="ar-SA"/>
        </w:rPr>
        <w:t>J.J</w:t>
      </w:r>
      <w:r>
        <w:rPr>
          <w:rFonts w:ascii="arial" w:eastAsia="arial" w:hAnsi="arial" w:cs="arial"/>
          <w:color w:val="000000"/>
          <w:sz w:val="20"/>
          <w:lang w:val="en-US" w:eastAsia="en-US" w:bidi="ar-SA"/>
        </w:rPr>
        <w:t>. is a reasonable benchmark for his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defendant submits the appropriate range for non-pecuniary damages is $80,000-$100,000. He relies on </w:t>
      </w:r>
      <w:r>
        <w:rPr>
          <w:rFonts w:ascii="arial" w:eastAsia="arial" w:hAnsi="arial" w:cs="arial"/>
          <w:i/>
          <w:color w:val="000000"/>
          <w:sz w:val="20"/>
          <w:lang w:val="en-US" w:eastAsia="en-US" w:bidi="ar-SA"/>
        </w:rPr>
        <w:t>O'Connor v. James</w:t>
      </w:r>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2009 BCSC 1119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Bevacqua v. Yaworski</w:t>
      </w:r>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2012 BCSC 880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Ahadi v. Valdez</w:t>
      </w:r>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2013 BCSC 714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Jacobs v. Basil</w:t>
      </w:r>
      <w:r>
        <w:rPr>
          <w:rFonts w:ascii="arial" w:eastAsia="arial" w:hAnsi="arial" w:cs="arial"/>
          <w:color w:val="000000"/>
          <w:sz w:val="20"/>
          <w:lang w:val="en-US" w:eastAsia="en-US" w:bidi="ar-SA"/>
        </w:rPr>
        <w:t xml:space="preserve">, </w:t>
      </w:r>
      <w:hyperlink r:id="rId433" w:history="1">
        <w:r>
          <w:rPr>
            <w:rFonts w:ascii="arial" w:eastAsia="arial" w:hAnsi="arial" w:cs="arial"/>
            <w:i/>
            <w:color w:val="0077CC"/>
            <w:sz w:val="20"/>
            <w:u w:val="single"/>
            <w:shd w:val="clear" w:color="auto" w:fill="FFFFFF"/>
            <w:lang w:val="en-US" w:eastAsia="en-US" w:bidi="ar-SA"/>
          </w:rPr>
          <w:t>2017 BCSC 1339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aff'd </w:t>
      </w:r>
      <w:hyperlink r:id="rId435"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O'Connor</w:t>
      </w:r>
      <w:r>
        <w:rPr>
          <w:rFonts w:ascii="arial" w:eastAsia="arial" w:hAnsi="arial" w:cs="arial"/>
          <w:color w:val="000000"/>
          <w:sz w:val="20"/>
          <w:lang w:val="en-US" w:eastAsia="en-US" w:bidi="ar-SA"/>
        </w:rPr>
        <w:t xml:space="preserve">, a middle-aged pedestrian suffered a compound leg fracture and fractured ribs, and experienced ongoing discomfort and swelling. He received a non-pecuniary damage award of $90,000. In </w:t>
      </w:r>
      <w:r>
        <w:rPr>
          <w:rFonts w:ascii="arial" w:eastAsia="arial" w:hAnsi="arial" w:cs="arial"/>
          <w:i/>
          <w:color w:val="000000"/>
          <w:sz w:val="20"/>
          <w:lang w:val="en-US" w:eastAsia="en-US" w:bidi="ar-SA"/>
        </w:rPr>
        <w:t>Bevacqua</w:t>
      </w:r>
      <w:r>
        <w:rPr>
          <w:rFonts w:ascii="arial" w:eastAsia="arial" w:hAnsi="arial" w:cs="arial"/>
          <w:color w:val="000000"/>
          <w:sz w:val="20"/>
          <w:lang w:val="en-US" w:eastAsia="en-US" w:bidi="ar-SA"/>
        </w:rPr>
        <w:t xml:space="preserve">, an elderly pedestrian suffered fractures to her right wrist and foot, and was left with limited use of her right hand and a fear of walking alone. She received a non-pecuniary damage award of $85,000. The defendant submits </w:t>
      </w:r>
      <w:r>
        <w:rPr>
          <w:rFonts w:ascii="arial" w:eastAsia="arial" w:hAnsi="arial" w:cs="arial"/>
          <w:i/>
          <w:color w:val="000000"/>
          <w:sz w:val="20"/>
          <w:lang w:val="en-US" w:eastAsia="en-US" w:bidi="ar-SA"/>
        </w:rPr>
        <w:t>O'Connor</w:t>
      </w:r>
      <w:r>
        <w:rPr>
          <w:rFonts w:ascii="arial" w:eastAsia="arial" w:hAnsi="arial" w:cs="arial"/>
          <w:color w:val="000000"/>
          <w:sz w:val="20"/>
          <w:lang w:val="en-US" w:eastAsia="en-US" w:bidi="ar-SA"/>
        </w:rPr>
        <w:t xml:space="preserve"> involved more serious physical injuries than those suffered by the plaintiff here, and </w:t>
      </w:r>
      <w:r>
        <w:rPr>
          <w:rFonts w:ascii="arial" w:eastAsia="arial" w:hAnsi="arial" w:cs="arial"/>
          <w:i/>
          <w:color w:val="000000"/>
          <w:sz w:val="20"/>
          <w:lang w:val="en-US" w:eastAsia="en-US" w:bidi="ar-SA"/>
        </w:rPr>
        <w:t>Bevacqua</w:t>
      </w:r>
      <w:r>
        <w:rPr>
          <w:rFonts w:ascii="arial" w:eastAsia="arial" w:hAnsi="arial" w:cs="arial"/>
          <w:color w:val="000000"/>
          <w:sz w:val="20"/>
          <w:lang w:val="en-US" w:eastAsia="en-US" w:bidi="ar-SA"/>
        </w:rPr>
        <w:t xml:space="preserve"> involved more severe 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Ahadi</w:t>
      </w:r>
      <w:r>
        <w:rPr>
          <w:rFonts w:ascii="arial" w:eastAsia="arial" w:hAnsi="arial" w:cs="arial"/>
          <w:color w:val="000000"/>
          <w:sz w:val="20"/>
          <w:lang w:val="en-US" w:eastAsia="en-US" w:bidi="ar-SA"/>
        </w:rPr>
        <w:t xml:space="preserve">, a teenage pedestrian suffered a minor leg fracture, soft tissue injuries, and serious psychological harm. Her leg healed, but she developed major depression with associated pain symptoms. Justice Adair found her prognosis was "guarded" but "not hopeless" and awarded $110,000 in non-pecuniary damages. In </w:t>
      </w:r>
      <w:r>
        <w:rPr>
          <w:rFonts w:ascii="arial" w:eastAsia="arial" w:hAnsi="arial" w:cs="arial"/>
          <w:i/>
          <w:color w:val="000000"/>
          <w:sz w:val="20"/>
          <w:lang w:val="en-US" w:eastAsia="en-US" w:bidi="ar-SA"/>
        </w:rPr>
        <w:t>Jacobs</w:t>
      </w:r>
      <w:r>
        <w:rPr>
          <w:rFonts w:ascii="arial" w:eastAsia="arial" w:hAnsi="arial" w:cs="arial"/>
          <w:color w:val="000000"/>
          <w:sz w:val="20"/>
          <w:lang w:val="en-US" w:eastAsia="en-US" w:bidi="ar-SA"/>
        </w:rPr>
        <w:t xml:space="preserve">, a young adult pedestrian suffered significant orthopaedic injuries, resulting in chronic pain in his right leg, hip and back, and exacerbated anxiety and depression. He received a non-pecuniary damage award of $115,000 for that accident. The defendant submits both </w:t>
      </w:r>
      <w:r>
        <w:rPr>
          <w:rFonts w:ascii="arial" w:eastAsia="arial" w:hAnsi="arial" w:cs="arial"/>
          <w:i/>
          <w:color w:val="000000"/>
          <w:sz w:val="20"/>
          <w:lang w:val="en-US" w:eastAsia="en-US" w:bidi="ar-SA"/>
        </w:rPr>
        <w:t>Ahadi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Jacobs</w:t>
      </w:r>
      <w:r>
        <w:rPr>
          <w:rFonts w:ascii="arial" w:eastAsia="arial" w:hAnsi="arial" w:cs="arial"/>
          <w:color w:val="000000"/>
          <w:sz w:val="20"/>
          <w:lang w:val="en-US" w:eastAsia="en-US" w:bidi="ar-SA"/>
        </w:rPr>
        <w:t xml:space="preserve"> are distinguishable from the plaintiff's case due to the severity and profound impact of the injuries in those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xml:space="preserve">, a young adult pedestrian suffered crush-type leg fractures and ongoing foot and ankle pain, as well as anxiety and depression that substantially resolved before trial. Justice Saunders found that a permanent ankle disability was possible but not probable, and awarded $85,000 in non-pecuniary damages. The defendant submits the psychological issues in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xml:space="preserve"> are similar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Having considered these authorities, the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factors, the evidence, the personal circumstances of the plaintiff, and the submissions of counsel, I assess non-pecuniary damages in the amount of $140,000.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Claims under this head of damages are properly framed as past loss of earning capacity, not past loss of income. While loss of income can be used to measure loss of capacity, damages are to be assessed rather than calculated, with regard to fairness, reasonableness, and all negative and positive contingencies: </w:t>
      </w:r>
      <w:r>
        <w:rPr>
          <w:rFonts w:ascii="arial" w:eastAsia="arial" w:hAnsi="arial" w:cs="arial"/>
          <w:i/>
          <w:color w:val="000000"/>
          <w:sz w:val="20"/>
          <w:lang w:val="en-US" w:eastAsia="en-US" w:bidi="ar-SA"/>
        </w:rPr>
        <w:t>Scott v. Cheng</w:t>
      </w:r>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2019 BCSC 697</w:t>
        </w:r>
      </w:hyperlink>
      <w:r>
        <w:rPr>
          <w:rFonts w:ascii="arial" w:eastAsia="arial" w:hAnsi="arial" w:cs="arial"/>
          <w:color w:val="000000"/>
          <w:sz w:val="20"/>
          <w:lang w:val="en-US" w:eastAsia="en-US" w:bidi="ar-SA"/>
        </w:rPr>
        <w:t xml:space="preserve"> at paras. 81-83.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parties in this case have agreed that the plaintiff suffered a gross loss of $33,370 in salary, first aid allowance, and statutory pay as a result of the accident. The plaintiff seeks compensation over and above this amount to account for salary increases and bonuses to which he claims he would have been entitled but for his injuries. He also seeks compensation for stock options for which he was passed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evidence establishes that before the accident the plaintiff received regular annual salary raises in the amount of roughly 4%, but that he received none during the period between the accident and trial. I accept his argument that he should be compensated for this, and assess an additional $9,000 in past loss of earning capacity to account for it. I also accept that the plaintiff received lower annual bonuses as a result of his reduced productivity in the pre-trial period. I assess the amount of $5,700 in compensation for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decline to order compensation for the plaintiff's hypothetical loss of stock options during the pre-trial period. I am satisfied on all the evidence that such options were made available to only a rarefied cohort of the company's most valuable employees that did not include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result I hereby assess damages under this heading in the cumulative total amount of $48,070. Counsel indicated they would be able to agree on an after-tax figure and I leave it to them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plaintiff seeks damages in the range of $225,000 to $375,000 for future loss of earning capacity. To recover damages under this heading, he is required to prove there is a real and substantial possibility of a future event resulting in a loss of income. If he succeeds, his future loss of earning capacity may be quantified either according to the earnings that he will lose (the "earnings approach"), or by the harm that has been caused to his capacity as a capital asset in the working world (the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As Southin J. noted in </w:t>
      </w:r>
      <w:r>
        <w:rPr>
          <w:rFonts w:ascii="arial" w:eastAsia="arial" w:hAnsi="arial" w:cs="arial"/>
          <w:i/>
          <w:color w:val="000000"/>
          <w:sz w:val="20"/>
          <w:lang w:val="en-US" w:eastAsia="en-US" w:bidi="ar-SA"/>
        </w:rPr>
        <w:t xml:space="preserve">Earnshaw v. Despins </w:t>
      </w:r>
      <w:hyperlink r:id="rId438" w:history="1">
        <w:r>
          <w:rPr>
            <w:rFonts w:ascii="arial" w:eastAsia="arial" w:hAnsi="arial" w:cs="arial"/>
            <w:i/>
            <w:color w:val="0077CC"/>
            <w:sz w:val="20"/>
            <w:u w:val="single"/>
            <w:shd w:val="clear" w:color="auto" w:fill="FFFFFF"/>
            <w:lang w:val="en-US" w:eastAsia="en-US" w:bidi="ar-SA"/>
          </w:rPr>
          <w:t>(1990), 45 B.C.L.R. (2d) 380</w:t>
        </w:r>
      </w:hyperlink>
      <w:r>
        <w:rPr>
          <w:rFonts w:ascii="arial" w:eastAsia="arial" w:hAnsi="arial" w:cs="arial"/>
          <w:color w:val="000000"/>
          <w:sz w:val="20"/>
          <w:lang w:val="en-US" w:eastAsia="en-US" w:bidi="ar-SA"/>
        </w:rPr>
        <w:t xml:space="preserve"> (C.A.), there are two basic questions to be answered. First, has the plaintiff's earning capacity been impaired by his or her injuries? If so, what compensation should be awarded for the resulting financial harm that will accrue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principles to be applied in this assessment are summarized in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xml:space="preserve"> at para.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Those general principles involved in the process of assessment include the following:</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task of a court is to assess damages, rather than to calculate them mathematically -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at para. 43;</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proof is not the balance of probabilities; the plaintiff need only establish a real and substantial possibility of loss, one which is not mere speculation, and hypothetical events are to be weighed according to their relative likelihood -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at para. 27;</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Allowances must be made for the contingencies that the assumptions upon which an award is based may prove to be wrong -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79 (S.C.), aff'd </w:t>
      </w:r>
      <w:hyperlink r:id="rId442"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assessment is to be evaluated in view of its overall fairness and reasonableness --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Dunlop</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 argued that no damages at all should be awarded under this heading, but I am amply satisfied that the plaintiff has established a real and substantial possibility of a future event resulting in a monetary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 intend to evaluate damages using the capital asset approach. This calls for an inquiry into the extent to which the plaintiff's earning capacity has been diminished as a capital asset. This includes considering whether the plaintiff: (1) has been rendered less capable overall of earning income from all types of employment; (2) has been rendered less marketable or attractive as an employee to future employers; (3) has lost the ability to take advantage of job opportunities which might otherwise have been open to him; and (4) is less valuable to himself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para. 8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Although quantification of the loss under the capital asset approach cannot be a matter of precise measurement, this does not mean that the assessment is entirely at large - findings of fact as to the nature and extent of the loss of capacity and its relation to the plaintiff's ability to earn income are necessary: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 56. The assessment must be based on the totality of the evidence and take into account all positive and negative contingencies. The essential task is to compare the likely future of the plaintiff if the accident had not happened against the likely future of the plaintiff after the accident has happened: </w:t>
      </w:r>
      <w:r>
        <w:rPr>
          <w:rFonts w:ascii="arial" w:eastAsia="arial" w:hAnsi="arial" w:cs="arial"/>
          <w:i/>
          <w:color w:val="000000"/>
          <w:sz w:val="20"/>
          <w:lang w:val="en-US" w:eastAsia="en-US" w:bidi="ar-SA"/>
        </w:rPr>
        <w:t>Gregory v. ICBC</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paras. 32-33. It is the difference between these two positions that constitutes the plaintiff's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accept the plaintiff's testimony that his goal before the accident was to work at Fresh Direct for as long as he was physically capable. As I said, his life revolves around his workplace, not just financially but socially. In my view, in the absence of the accident, he would have carried on working in his present position until at least his late 60s. I have concluded on all the evidence that but for the accident the plaintiff's present income, including pay rises and bonuses, would have been in the range of $75,000. In my view, it is reasonable to assume that his remaining earnings would have been in the range of $700,000 if his physical fitness had not been impaired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As previously mentioned, in my view the hypothetical likelihood that the plaintiff might have qualified for the company's stock option program is modest. His employer testified that this benefit is reserved for the company's elite staff, and in my assessment the plaintiff's middling pay increase and bonus history suggests that he was not considered to be within this front rank of key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However, the plaintiff was an above-average and valued employee and a solid contributor to the company's success. He must now rely on the continuing forbearance and goodwill of his employer and colleagues. To this extent, his economic future is a good deal more precarious than before. He has been rendered far less capable of earning income in his present workplace.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left him with permanent physical limitations that prevent him from performing at his former level and will worsen over time. Even if his employer continues to stand by him, his prospects for advancement within the company are negligible. If Fresh Direct closes or downsizes, I fear the plaintiff would face insuperable difficulties finding equivalent work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short, there is no doubt that the accident has caused a material diminution in the plaintiff's earning capacity as a capital asset for which he is entitled to compensation, notwithstanding that he still works at his pre-accident job and enjoys the support of his company. I am persuaded that with the accident-related decline in the plaintiff's productivity, he will qualify for only baseline annual pay rises and bonuses, whereas he was previously located in the mid-range of the company's system of entitlement. I also think it inevitable that he will have to retire from employment earlier than planned due to advancing physical incapacity, perhaps by as much as three years. Bearing in mind all of these factors, as well as the usual positive and negative contingencies, I hereby assess the plaintiff's award under this heading at $240,000.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An award under this head of damages is "based on what is reasonably necessary on the medical evidence to promote the mental and physical health of the plaintiff":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adopted in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at para 41. In determining whether an item or service is medically required or justified I may consider the recommendations of doctors and other health care professionals and may order compensation as long as I am satisfied that there is some evidentiary link between the item and the treatment of the plaintiff's accident-related pain or disability: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paras. 38 and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Relying on the recommendations of Mr. Kyi and Dr. Wing, I find the following future care items to be reasonable and compensable: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509"/>
        <w:gridCol w:w="1987"/>
        <w:gridCol w:w="59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Gym Membership</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$6,804.00</w:t>
            </w:r>
          </w:p>
        </w:tc>
        <w:tc>
          <w:tcPr>
            <w:tcW w:w="583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928"/>
        <w:gridCol w:w="1568"/>
        <w:gridCol w:w="59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Cryo-Icing Device</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$800.00</w:t>
            </w:r>
          </w:p>
        </w:tc>
        <w:tc>
          <w:tcPr>
            <w:tcW w:w="583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032"/>
        <w:gridCol w:w="1464"/>
        <w:gridCol w:w="59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Kinesiology treatments</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$26,000.00</w:t>
            </w:r>
          </w:p>
        </w:tc>
        <w:tc>
          <w:tcPr>
            <w:tcW w:w="583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1882"/>
        <w:gridCol w:w="59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Ankle prosthesis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$32,000.00</w:t>
            </w:r>
          </w:p>
        </w:tc>
        <w:tc>
          <w:tcPr>
            <w:tcW w:w="583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Regarding the contingency that the plaintiff will incur additional costs of care related to the ankle fusion surgery that he may require, Dr. Wing testified it is more probable than not that such a procedure will be required. I hereby order compensation in the amount of $10,000.00 to account for the relative likelihood of this contingency.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total award under this heading is accordingly $75,604.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seeks special damages for physiotherapy and active rehabilitation, counselling, medical notes, and cell phone repair. The parties were able to agree on the amount of $5,000 under this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plaintiff's injuries arising from the May 14, 2016 collision were caused entirely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award damages to the plaintiff in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555"/>
        <w:gridCol w:w="1778"/>
        <w:gridCol w:w="51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140,000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2"/>
        <w:gridCol w:w="1150"/>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earning capacity</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48,070</w:t>
            </w:r>
          </w:p>
        </w:tc>
        <w:tc>
          <w:tcPr>
            <w:tcW w:w="501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loss of earning capacity</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240,000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555"/>
        <w:gridCol w:w="1778"/>
        <w:gridCol w:w="51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75,604</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2091"/>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286"/>
        <w:gridCol w:w="51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$508,674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BAIRD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3" style="position:absolute;z-index:2517770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CitiCapital Commercial Leasing Corp. v. Lillie Lake Ranch Ltd., [2004] B.C.J. No. 412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Harvey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12,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3,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S021386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412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293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129 A.C.W.S. (3d) 79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CitiCapital Commercial Leasing Corporation, formerly known as Associates Leasing (Canada) Ltd., plaintiff, and Lillie Lake Ranch Ltd. and Jim Vaughan, also known as James Vaughan, also known as Jimmy Vaughan, defendants, and Terratech Equipment Inc.,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(35 paras.)</w:t>
      </w:r>
    </w:p>
    <w:p>
      <w:pPr>
        <w:jc w:val="both"/>
        <w:rPr>
          <w:rFonts w:ascii="arial" w:eastAsia="arial" w:hAnsi="arial" w:cs="arial"/>
          <w:sz w:val="20"/>
          <w:lang w:val="en-US" w:eastAsia="en-US" w:bidi="ar-SA"/>
        </w:rPr>
      </w:pPr>
      <w:bookmarkStart w:id="82" w:name="Counsel_16"/>
      <w:bookmarkEnd w:id="8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4"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W.L. Roberts, for the plaintiff. S. Oliver, for the defendants. R. Fisher, for the third party.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3" w:name="Judgment_16"/>
      <w:bookmarkEnd w:id="83"/>
      <w:r>
        <w:pict>
          <v:line id="_x0000_s1095" style="position:absolute;z-index:25172889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4" w:name="HARVEY J."/>
            <w:bookmarkEnd w:id="84"/>
            <w:r>
              <w:rPr>
                <w:rFonts w:ascii="arial" w:eastAsia="arial" w:hAnsi="arial" w:cs="arial"/>
                <w:b/>
                <w:color w:val="000000"/>
                <w:sz w:val="30"/>
                <w:lang w:val="en-US" w:eastAsia="en-US" w:bidi="ar-SA"/>
              </w:rPr>
              <w:t>HARVEY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CitiCapital, sues the defendants, Mr. Vaughan and Lillie Lake Ranch under Rule 18A, for breach of contract. The plaintiff alleges that the defendant Lillie Lake Ranch defaulted on a lease agreement and that Mr. Vaughan personally guaranteed the contract. The plaintiff has seized and sold the property in question and seeks the difference in principle outstanding plus interest per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Vaughan is the president and one of two shareholders of the company Lillie Lake Ranch Ltd. ("Lillie Lake"). In late 1999, Lillie Lake was performing logging operations in the area around Minor Lake, B.C. It required a Delimber - a piece of heavy equipment that removes branches from trees - (the "Delimber") in order to carry out these logging operations. On October 25, 1999, Mr. Vaughan, as a representative of Lillie Lake, entered into a rental agreement with Terratech Equipment Inc. ("Terratech") so that he could use the Delimber until he could secure financing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Delimber did not function well over the duration of the rental agreement nevertheless, on December 16, 1999, Lillie Lake entered into a lease financing agreement (the "Agreement") with CitiCapital Commercial Leasing Corp. (then Associates Leasing (Canada) Ltd.) ("CitiCapital"). The Agreement was structured such that CitiCapital would purchase the Delimber from Terratech and lease it back to Lillie Lake. Lillie Lake had an option to purchase at the end of the lease. Mr. Vaughan signed the Agreement on behalf of Lillie Lake and he signed a personal guarantee in the event that Lillie Lake did not perform its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Agreement was in a standard form complete with 22 provisions. Of particular relevance to the present action are provisions 5, 6 and 16 and Schedule A. Provision 5 states that Lillie Lake will inspect the Delimber. If it accepts delivery, it is deemed to acknowledge that the equipment was in good condition. If Lillie Lake rejects the Delimber, it is still obligated to perform its obligations under the Agreement. CitiCapital is not responsible for inspecting the Delimber.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Provision 6 states that Lillie Lake selected the Delimber and acknowledges that it is suitable for the purposes intended. If the Delimber turns out to be unsuitable, Lillie Lake cannot hold CitiCapital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Provision 16 states that, should Lillie Lake fail to pay CitiCapital when payment is due, Lillie Lake will be liable for a $10 per month late charge plus interest at 18%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Schedule A set out the payment schedule such that the first payment was in the amount of $18,240 and was to commence on January 1, 2000. Thereafter, payments of $13,550 were to be made on the first of every month except for May, June, July and August. The term of the Agreement was for 48 months after which Lillie Lake had an option to purchase the Delimber for an additional $85,702.14.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Vaughan entered into the Agreement on the side of Highway 97. The form was brought to him by Mr. McCracken, a representative of Terratech. Mr. Vaughan informed Mr. McCracken that the Delimber was not working properly to which Mr. McCracken told Mr. Vaughan that the problem would be fixed. No one on behalf of CitiCapital executed the Agreement and despite not witnessing Mr. Vaughan's personal guarantee, Mr. Craig, a representative of CitiCapital signed as a witness to Mr. Vaughan's signature in that section of the Agreement. No one informed Mr. Vaughan or Lillie Lake of any of the provisions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Delimber continued to operate poorly so it was brought to Terratech for service several times over the following months. Lillie Lake made payments for January through April 2000. No payments were owed for May through August of that year but $5,000 was paid for September 2000. After that point, Lillie Lake ceased making payments and returned the Delimber to Terratech. CitiCapital sent a facsimile to Lillie Lake on October 18, 2000 informing the latter that it was in arrears and asked for payments to brought up to date by October 23,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CitiCapital, through Mr. Craig, discussed the lack of payment with Mr. Vaughan but no new arrangements appear to have been made. On January 8, 2001, CitiCapital seized the Delimber from Terratech's yard. On January 12, 2001, CitiCapital sent Lillie Lake a notice that it was going to sell the Delimber and a demand for payment of the arrears by February 2 of that year. The Delimber was moved to the premises of Hill Equipment through which it was advertised for sale. On January 18, 2002, CitiCapital sold the Delimber for $155,000 and on February 2, 2001, having heard nothing from Lillie Lake, the sale was completed. CitiCapital claims the balance outstanding, after the proceeds of the sale are deducted amounts, to $308,390.71 plus 18% interest per annum calculated from January 18,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frames its case in very simple terms. The defendant Lillie Lake defaulted so it is liable for the outstanding payments plus interest pursuant to the Agreement. Mr. Vaughan is also liable because he guaranteed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defendants raised four issues:</w:t>
      </w:r>
      <w:r>
        <w:rPr>
          <w:rFonts w:ascii="arial" w:eastAsia="arial" w:hAnsi="arial" w:cs="arial"/>
          <w:sz w:val="20"/>
          <w:lang w:val="en-US" w:eastAsia="en-US" w:bidi="ar-SA"/>
        </w:rPr>
        <w:cr/>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an enforceable contract between CitiCapital and Lillie Lake?</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a contract, what are its terms?</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failure of performance on the part of CitiCapital or a fundamental breach on its part which absolved Lillie Lake from its obligation to make lease payments?</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CitiCapital obtain a reasonable price for the resale of the Delimber and if not, what credit should be given to Lillie Lake to represent the true value of the Delimber as of January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fourth issue was withdrawn as the defendants conceded that CitiCapital sufficiently mitigated damages. I will discuss each of the remaining defences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There an Enforceable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argue that there is no enforceable contract because CitiCapital neglected to execute the Agreement and because the standard form provisions were onerous and not brought to Mr. Vaughan's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This defence must fail because only the person being sued on the contract needs to have signed (see G.H. Fridman, The Law of Contract in Canada, 4th ed. (Toronto: Carswell, 1999 at 235-6 and McGarry v. Richards, Akroyd &amp; Gall Ltd., </w:t>
      </w:r>
      <w:hyperlink r:id="rId455" w:history="1">
        <w:r>
          <w:rPr>
            <w:rFonts w:ascii="arial" w:eastAsia="arial" w:hAnsi="arial" w:cs="arial"/>
            <w:i/>
            <w:color w:val="0077CC"/>
            <w:sz w:val="20"/>
            <w:u w:val="single"/>
            <w:shd w:val="clear" w:color="auto" w:fill="FFFFFF"/>
            <w:lang w:val="en-US" w:eastAsia="en-US" w:bidi="ar-SA"/>
          </w:rPr>
          <w:t>[1954] 2 D.L.R. 367</w:t>
        </w:r>
      </w:hyperlink>
      <w:r>
        <w:rPr>
          <w:rFonts w:ascii="arial" w:eastAsia="arial" w:hAnsi="arial" w:cs="arial"/>
          <w:color w:val="000000"/>
          <w:sz w:val="20"/>
          <w:lang w:val="en-US" w:eastAsia="en-US" w:bidi="ar-SA"/>
        </w:rPr>
        <w:t xml:space="preserve"> at 377 (B.C.S.C.)). Mr. Vaughan admits to having signed the Agreement on behalf of Lillie Lake. The allegedly onerous standard form provisions do not render the Agreement itself unenforceable, rather such terms, if found to be onerous, may be unenforceable. This is discussed in the following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What Are the Terms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defendants argue that none of the 22 provisions of the Agreement are enforceable because Mr. Vaughan did not read them and they were not brought to his attention. This assertion misstates the law. In Tilden Rent-A-Car Co. v. Clendenning </w:t>
      </w:r>
      <w:hyperlink r:id="rId456" w:history="1">
        <w:r>
          <w:rPr>
            <w:rFonts w:ascii="arial" w:eastAsia="arial" w:hAnsi="arial" w:cs="arial"/>
            <w:i/>
            <w:color w:val="0077CC"/>
            <w:sz w:val="20"/>
            <w:u w:val="single"/>
            <w:shd w:val="clear" w:color="auto" w:fill="FFFFFF"/>
            <w:lang w:val="en-US" w:eastAsia="en-US" w:bidi="ar-SA"/>
          </w:rPr>
          <w:t>(1978), 83 D.L.R. (3d) 400</w:t>
        </w:r>
      </w:hyperlink>
      <w:r>
        <w:rPr>
          <w:rFonts w:ascii="arial" w:eastAsia="arial" w:hAnsi="arial" w:cs="arial"/>
          <w:color w:val="000000"/>
          <w:sz w:val="20"/>
          <w:lang w:val="en-US" w:eastAsia="en-US" w:bidi="ar-SA"/>
        </w:rPr>
        <w:t xml:space="preserve"> (Ont. C.A.) ("Tilden"), the court found that, if a party seeks to rely on onerous terms in a standard form contract, they must be brought to the attention of the other contracting party. The test is whether it is reasonable to believe the party signing the contract assents to the terms therein. Onerous terms are not the kind of terms that one would reasonably expect to find thus, in the absence of their being brought to the attention of the signing party, they will not be enforced.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is too simple to state that any term not brought to Mr. Vaughan's attention is unenforceable. The proper test is any onerous term that a reasonable person would not expect to find in a contract such as the Agreement in question will not be 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fact, the defendants would have done better to frame their argument to assert that the exclusion clauses and the interest clause were onerous thus, as a result of the rule in Tilden, the plaintiff cannot rely on them. Even so, I am unable to find that these provisions unenforceable. I will first discuss the interest provision then I will discuss the exclusion of liability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not uncommon to see clauses in lease agreements that require high interest to be added to late payments or other forms of default. Mr. Vaughan admits to having entered into similar agreements prior to the one in question. He must have read one, if not several, of those agreements and discovered the potentially high liability if he defaulted on payments. Simply put, Mr. Vaughan has experience in an industry where these kinds of lease agreements are commonplace and he has entered into several such agreements. As a result, a reasonable person in Mr. Vaughan's position would have expected such a clause. Tilden requires that this clause be enforceable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exclusion of liability provisions require a more complex consideration of the facts. Tilden was concerned with such a provision. Mr. Clendenning signed up for additional collision coverage on his rented car. He was under the impression that the coverage would extend to all reasonable circumstances but the clause read that there was an absolute exception if Mr. Clendenning consumed any alcohol prior to the collision. Mr. Clendenning had indeed consumed some alcohol but the trial judge found that his ability to drive was not impaired. The Court of Appeal held that such a provision must be brought to Mr. Clendenning's attention if Tilden wanted to rely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the present case, the defendants claim that they relied on Mr. McCracken's representation that the Delimber would be fixed. In the case of Trigg v. MI Movers International Transport Services Ltd. </w:t>
      </w:r>
      <w:hyperlink r:id="rId457" w:history="1">
        <w:r>
          <w:rPr>
            <w:rFonts w:ascii="arial" w:eastAsia="arial" w:hAnsi="arial" w:cs="arial"/>
            <w:i/>
            <w:color w:val="0077CC"/>
            <w:sz w:val="20"/>
            <w:u w:val="single"/>
            <w:shd w:val="clear" w:color="auto" w:fill="FFFFFF"/>
            <w:lang w:val="en-US" w:eastAsia="en-US" w:bidi="ar-SA"/>
          </w:rPr>
          <w:t>(1991), 84 D.L.R. (4th) 504</w:t>
        </w:r>
      </w:hyperlink>
      <w:r>
        <w:rPr>
          <w:rFonts w:ascii="arial" w:eastAsia="arial" w:hAnsi="arial" w:cs="arial"/>
          <w:color w:val="000000"/>
          <w:sz w:val="20"/>
          <w:lang w:val="en-US" w:eastAsia="en-US" w:bidi="ar-SA"/>
        </w:rPr>
        <w:t xml:space="preserve"> (Ont. C.A.), the plaintiff contracted with the defendant to move two automobiles from Ontario to Ireland. The plaintiff was told that the defendant would be liable for their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not for any act of God that result in damage to the plaintiff's property. The plaintiff relied on that representation and declined additional marine insurance. The standard form contract actually excluded the defendant's liability in the event of its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automobiles were damaged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defendant was held liable because, at the time the contract was made, it failed to bring the onerous term to the plaintiff's attention. The defendant's misleading representations resulted in the plaintiff relying on the representations despite express terms to the contrary in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defendants also cite AT&amp;T Capital Canada, Inc. v. Globe Printers Ltd., </w:t>
      </w:r>
      <w:hyperlink r:id="rId458" w:history="1">
        <w:r>
          <w:rPr>
            <w:rFonts w:ascii="arial" w:eastAsia="arial" w:hAnsi="arial" w:cs="arial"/>
            <w:i/>
            <w:color w:val="0077CC"/>
            <w:sz w:val="20"/>
            <w:u w:val="single"/>
            <w:shd w:val="clear" w:color="auto" w:fill="FFFFFF"/>
            <w:lang w:val="en-US" w:eastAsia="en-US" w:bidi="ar-SA"/>
          </w:rPr>
          <w:t>[2001] B.C.J. No. 1708</w:t>
        </w:r>
      </w:hyperlink>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2001 BCSC 1215</w:t>
        </w:r>
      </w:hyperlink>
      <w:r>
        <w:rPr>
          <w:rFonts w:ascii="arial" w:eastAsia="arial" w:hAnsi="arial" w:cs="arial"/>
          <w:color w:val="000000"/>
          <w:sz w:val="20"/>
          <w:lang w:val="en-US" w:eastAsia="en-US" w:bidi="ar-SA"/>
        </w:rPr>
        <w:t xml:space="preserve"> ("AT&amp;T") as authority for the proposition that misrepresentations made to the lessee will trump the terms of the lease agreement. In that case, Globe Printers ("Globe") ran a small print shop and it required a new photocopier. Danka Business Systems ("Danka") offered to outfit Globe with a machine. Danka provided Globe with information that espoused the machine as reliable and efficient. Globe agreed to enter into a lease through AT&amp;T Capital and the former's representative was presented with a standard form contract that included three onerous terms: Globe will pay to Danka one cent per copy made; the contract could not be cancelled; and AT&amp;T made no representations or warranties about the suitability of the machine. These terms were not brought to Globe's attention nor did any representative of Globe read them. The machine did not work well so Danka agreed to replace it. The replacement machine also functioned poorly so Globe decided not to continue the lease. Madam Justice Loo held that Danka could not rely on the onerous terms because it made representations to Globe that the machine would work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appeal of this case was dismissed but on other grounds: Newcourt Financial Limited v. Globe Printers Ltd., </w:t>
      </w:r>
      <w:hyperlink r:id="rId459" w:history="1">
        <w:r>
          <w:rPr>
            <w:rFonts w:ascii="arial" w:eastAsia="arial" w:hAnsi="arial" w:cs="arial"/>
            <w:i/>
            <w:color w:val="0077CC"/>
            <w:sz w:val="20"/>
            <w:u w:val="single"/>
            <w:shd w:val="clear" w:color="auto" w:fill="FFFFFF"/>
            <w:lang w:val="en-US" w:eastAsia="en-US" w:bidi="ar-SA"/>
          </w:rPr>
          <w:t>[2003] B.C.J. No. 335</w:t>
        </w:r>
      </w:hyperlink>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2003 BCCA 91</w:t>
        </w:r>
      </w:hyperlink>
      <w:r>
        <w:rPr>
          <w:rFonts w:ascii="arial" w:eastAsia="arial" w:hAnsi="arial" w:cs="arial"/>
          <w:color w:val="000000"/>
          <w:sz w:val="20"/>
          <w:lang w:val="en-US" w:eastAsia="en-US" w:bidi="ar-SA"/>
        </w:rPr>
        <w:t>. Mr. Justice Thackray held that the contract was unenforceable because there was an express term of the lease agreement that Danka execute the contract before assigning it to AT&amp;T. It failed to do so. In addition, the lease was not amended to include the serial number of the replacement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a result of the Court of Appeal decision, this case is no longer authority for the proposition on which the defendants in this case wish to rely. I note in passing that the case does not mean the Agreement in the present case should be unenforceable since no one from CitiCapital executed the document. In AT&amp;T, the requirement for Danka to sign before assigning it to AT&amp;T was express in the contract. No such provision exists in the Agreement at issue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For the defendants to rely on Mr. McCracken's representation, they would have to prove two things: Mr. McCracken was an agent of CitiCapital at the time he made the representation and Lillie Lake did indeed rely on that representation as a term of the Agreement. While there may be enough evidence to show an agency existed, I cannot find the Lillie Lake actually relied on the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was Mr. McCracken who met with Mr. Vaughan on the side of Highway 97. Mr. McCracken had the standard form Agreement with him and had Mr. Vaughan sign it. It is reasonable for Mr. Vaughan to believe Mr. McCracken was representing CitiCapital during that interaction.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Vaughan said that he informed Mr. McCracken of the problems with the Delimber to which Mr. McCracken stated that they would be fixed. Based on that alone, one could conclude that McCracken made a representation to Lillie Lake on behalf of CitiCapital however Mr. Vaughan said in examination for discovery that he knew CitiCapital was a finance company and he did not expect it to repair the Delimber. He understood that he should look to the manufacturer to affect any repairs. In light of Mr. Vaughan's statements under oath, I cannot find that he ever relied on CitiCapital to repair the Delimber therefore Mr. McCracken's representation is not a term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Even if the defendants cannot rely on Mr. McCracken's representation, they may be able to rely on the rule in Tilden such that the exclusion of liability clauses were onerous and should not have any effect. However, I find that this argument, too, must fail because the terms of this Agreement were not onerous. In Tilden, the term was onerous because Mr. Clendenning thought he was getting insurance and it was not reasonable for him to expect such a broad exception. In Trigg, the issue was one of reliance not one of the onerous nature of the terms. In AT&amp;T, the term preventing the contract from being cancelled for any reason was objectively unforeseen.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addition to these case, McLachlin C.J.S.C. (as she then was) held in Karroll v. Silverstar Mountain Resorts Ltd. </w:t>
      </w:r>
      <w:hyperlink r:id="rId460" w:history="1">
        <w:r>
          <w:rPr>
            <w:rFonts w:ascii="arial" w:eastAsia="arial" w:hAnsi="arial" w:cs="arial"/>
            <w:i/>
            <w:color w:val="0077CC"/>
            <w:sz w:val="20"/>
            <w:u w:val="single"/>
            <w:shd w:val="clear" w:color="auto" w:fill="FFFFFF"/>
            <w:lang w:val="en-US" w:eastAsia="en-US" w:bidi="ar-SA"/>
          </w:rPr>
          <w:t>(1988), 33 B.C.L.R. (2d) 160</w:t>
        </w:r>
      </w:hyperlink>
      <w:r>
        <w:rPr>
          <w:rFonts w:ascii="arial" w:eastAsia="arial" w:hAnsi="arial" w:cs="arial"/>
          <w:color w:val="000000"/>
          <w:sz w:val="20"/>
          <w:lang w:val="en-US" w:eastAsia="en-US" w:bidi="ar-SA"/>
        </w:rPr>
        <w:t xml:space="preserve"> at 164 that the Tilden rule "is a limited principle, applicable only in special circumstances". She went on to say at 165: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usual commercial situation, there is no need for the party presenting the document to bring exclusions of liability or onerous terms to the attention of the signing party, nor need he advise him to read the document. In such situations, it is safe to assume that the party signing the contract intends to be bound by its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 present case, the exclusion of liability terms are not objectively unusual or unexpected, especially for commercial parties involved in a lease agreement. Mr. Vaughan subjectively agreed that CitiCapital was not responsible for repairs. He knew and, through him, Lillie Lake knew, that the Agreement was with CitiCapital and not with Terratech. Thus, the defendants have essentially admitted that they understood CitiCapital was excluded from liability should the Delimber fail in its intended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There a Failure of Performance or a Fundamental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defendants argue that there was an implied term of the Agreement for CitiCapital to provide a Delimber that was suitable for its purpose. Since the Delimber did not work properly, the defendants claim CitiCapital did not perform a term of the Agreement and, since this amounts to a fundamental breach, CitiCapital cannot rely on the exclusion of liability clauses or the interest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For reasons already articulated above, this defence must fail. In order to find that there was an implied term for the Delimber to be suitable for its intended purpose, in light of the express clauses to the contrary in the Agreement, I would have to find that Lillie Lake relied on some representation to that effect. I have already decided that was not the case thus the doctrine of fundamental breach (if it still exists in Canada: see Hunter Engineering Co. v. Syncrude Canada Ltd., </w:t>
      </w:r>
      <w:hyperlink r:id="rId461" w:history="1">
        <w:r>
          <w:rPr>
            <w:rFonts w:ascii="arial" w:eastAsia="arial" w:hAnsi="arial" w:cs="arial"/>
            <w:i/>
            <w:color w:val="0077CC"/>
            <w:sz w:val="20"/>
            <w:u w:val="single"/>
            <w:shd w:val="clear" w:color="auto" w:fill="FFFFFF"/>
            <w:lang w:val="en-US" w:eastAsia="en-US" w:bidi="ar-SA"/>
          </w:rPr>
          <w:t>[1989] 1 S.C.R. 426</w:t>
        </w:r>
      </w:hyperlink>
      <w:r>
        <w:rPr>
          <w:rFonts w:ascii="arial" w:eastAsia="arial" w:hAnsi="arial" w:cs="arial"/>
          <w:color w:val="000000"/>
          <w:sz w:val="20"/>
          <w:lang w:val="en-US" w:eastAsia="en-US" w:bidi="ar-SA"/>
        </w:rPr>
        <w:t>) is not applicable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have some sympathy for the defendants in this case. It is normal in the logging business for standard form leases to be signed on the side of a highway. Such agreements are made hastily in order to save time and get the task at hand. It is, however, a dangerous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Vaughan and Lillie Lake have no defence. They had a contract with CitiCapital and they stopped making payments. The terms of the Agreement were not onerous so I must find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is entitled to judgment against the defendants in the amount claimed plus interest thereon from January 18, 2002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is also entitled to its costs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HARVEY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6" style="position:absolute;z-index:2517780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Cook v. Kang, [2020] B.C.J. No. 552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W.P. Riley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9-12, 16-20, 23-27, 30, October 1-3,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3,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M084033, M113954, M185826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 and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552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526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Daryl Edward Cook, Plaintiff, and Yung Sun Kang and Kim Young Hee, Defendants And between Daryl Edward Cook, Plaintiff, and John Doe and/or Jane Doe and The Insurance Corporation of British Columbia, Defendants And between Daryl Edward Cook, Plaintiff, and Thi Truc Le and Anh Tuan Huynh, Defendants And between Daryl Edward Cook, Plaintiff, and Bailey Dempster,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(259 paras.)</w:t>
      </w:r>
    </w:p>
    <w:p>
      <w:pPr>
        <w:jc w:val="both"/>
        <w:rPr>
          <w:rFonts w:ascii="arial" w:eastAsia="arial" w:hAnsi="arial" w:cs="arial"/>
          <w:sz w:val="20"/>
          <w:lang w:val="en-US" w:eastAsia="en-US" w:bidi="ar-SA"/>
        </w:rPr>
      </w:pPr>
      <w:bookmarkStart w:id="85" w:name="Counsel_17"/>
      <w:bookmarkEnd w:id="8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7"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in all actions: Thomas P. Harding.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in all actions: Robert C. Brun, Q.C., Naznin Arum.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6" w:name="Judgment_17"/>
      <w:bookmarkEnd w:id="86"/>
      <w:r>
        <w:pict>
          <v:line id="_x0000_s1098" style="position:absolute;z-index:2517299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INTRODUCTION</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Cook's Background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Collision #1 [Cook v. Kang and Hee]</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Injuries Sustained in Collision #1</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Treatment after Collision #1</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Collision #2 [Cook v. Doe and ICBC]</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Injuries Sustained in Collision #2</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Treatment after Collision #2</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Collision #3 [Cook v. Le and Huynh]</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Injuries Sustained in Collision #3</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Treatment after Collision #3</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Collision #4 [Cook v. Dempster]</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Injuries Sustained in Collision #4</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Treatment after Collision #4</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Follow-Up Examination by Dr. Horlick</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Cook's Current Physical Condition</w:t>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Evidence as to Diagnosis, Prognosis, and Treatment</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Opinion Evidence of Dr. Kagan</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Opinion Evidence of Dr. Shuckett</w:t>
      </w:r>
    </w:p>
    <w:p>
      <w:pPr>
        <w:numPr>
          <w:numId w:val="2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Opinion Evidence of Mr. Lauder</w:t>
      </w:r>
    </w:p>
    <w:p>
      <w:pPr>
        <w:numPr>
          <w:numId w:val="2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Opinion Evidence of Dr. Hirsch</w:t>
      </w:r>
    </w:p>
    <w:p>
      <w:pPr>
        <w:numPr>
          <w:numId w:val="2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Opinion Evidence of Dr. O'Shaughnessy</w:t>
      </w:r>
    </w:p>
    <w:p>
      <w:pPr>
        <w:numPr>
          <w:numId w:val="2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Conclusions as to Nature, Extent and Duration of Plaintiff's</w:t>
      </w:r>
    </w:p>
    <w:p>
      <w:pPr>
        <w:numPr>
          <w:numId w:val="27"/>
        </w:numPr>
        <w:tabs>
          <w:tab w:val="num" w:pos="1480"/>
          <w:tab w:val="clear" w:pos="2200"/>
        </w:tabs>
        <w:spacing w:before="120" w:line="260" w:lineRule="atLeast"/>
        <w:ind w:left="1480"/>
        <w:jc w:val="both"/>
        <w:rPr>
          <w:rFonts w:ascii="arial" w:eastAsia="arial" w:hAnsi="arial" w:cs="arial"/>
          <w:sz w:val="20"/>
          <w:lang w:val="en-US" w:eastAsia="en-US" w:bidi="ar-SA"/>
        </w:rPr>
      </w:pP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Credibility Issues</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Effect of Collisions on Mr. Cook's Activities and Lifestyle</w:t>
      </w:r>
    </w:p>
    <w:p>
      <w:pPr>
        <w:numPr>
          <w:numId w:val="3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of Daily Living</w:t>
      </w:r>
    </w:p>
    <w:p>
      <w:pPr>
        <w:numPr>
          <w:numId w:val="3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Sports and Recreation</w:t>
      </w:r>
    </w:p>
    <w:p>
      <w:pPr>
        <w:numPr>
          <w:numId w:val="3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Live Sporting Events</w:t>
      </w:r>
    </w:p>
    <w:p>
      <w:pPr>
        <w:numPr>
          <w:numId w:val="33"/>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Parenting</w:t>
      </w:r>
    </w:p>
    <w:p>
      <w:pPr>
        <w:numPr>
          <w:numId w:val="3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Financial Limitations</w:t>
      </w:r>
    </w:p>
    <w:p>
      <w:pPr>
        <w:numPr>
          <w:numId w:val="35"/>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Social Limitations</w:t>
      </w:r>
    </w:p>
    <w:p>
      <w:pPr>
        <w:numPr>
          <w:numId w:val="3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LIABILITY</w:t>
      </w:r>
    </w:p>
    <w:p>
      <w:pPr>
        <w:numPr>
          <w:numId w:val="3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 OF CAUSATION AND ASSESSMENT OF DAMAGES</w:t>
      </w:r>
    </w:p>
    <w:p>
      <w:pPr>
        <w:numPr>
          <w:numId w:val="3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Conclusions on Causation, Divisibility, and Intervening Events</w:t>
      </w:r>
    </w:p>
    <w:p>
      <w:pPr>
        <w:numPr>
          <w:numId w:val="3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ASSESSMENT OF DAMAGES</w:t>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Vehicle Damages</w:t>
      </w:r>
    </w:p>
    <w:p>
      <w:pPr>
        <w:numPr>
          <w:numId w:val="4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Vehicle Damages in Relation to Collision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(5.1.2) Vehicle Damages in Relation to Collision #3 and Collision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w:t>
            </w:r>
          </w:p>
        </w:tc>
        <w:tc>
          <w:tcPr>
            <w:tcW w:w="20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4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Past Earning Capacity</w:t>
      </w:r>
    </w:p>
    <w:p>
      <w:pPr>
        <w:numPr>
          <w:numId w:val="4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Prescription Medications</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Costs</w:t>
      </w:r>
    </w:p>
    <w:p>
      <w:pPr>
        <w:numPr>
          <w:numId w:val="4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Gym Passes</w:t>
      </w:r>
    </w:p>
    <w:p>
      <w:pPr>
        <w:numPr>
          <w:numId w:val="4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Travel Expenses</w:t>
      </w:r>
    </w:p>
    <w:p>
      <w:pPr>
        <w:numPr>
          <w:numId w:val="4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Miscellaneous Expense</w:t>
      </w:r>
    </w:p>
    <w:p>
      <w:pPr>
        <w:numPr>
          <w:numId w:val="5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Total Allowable Special Expenses</w:t>
      </w:r>
    </w:p>
    <w:p>
      <w:pPr>
        <w:numPr>
          <w:numId w:val="5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Future Care</w:t>
      </w:r>
    </w:p>
    <w:p>
      <w:pPr>
        <w:numPr>
          <w:numId w:val="5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Medications</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w:t>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Gym Membership</w:t>
      </w:r>
    </w:p>
    <w:p>
      <w:pPr>
        <w:numPr>
          <w:numId w:val="5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Occupational Therapy and Home Therapy Assessments</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Active Rehabilitation and Kinesiology</w:t>
      </w:r>
    </w:p>
    <w:p>
      <w:pPr>
        <w:numPr>
          <w:numId w:val="57"/>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 Regarding Costs of Future Care</w:t>
      </w:r>
    </w:p>
    <w:p>
      <w:pPr>
        <w:numPr>
          <w:numId w:val="5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SUMMARY</w:t>
      </w:r>
    </w:p>
    <w:p>
      <w:pPr>
        <w:numPr>
          <w:numId w:val="5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7" w:name="W.P. RILEY J."/>
            <w:bookmarkEnd w:id="87"/>
            <w:r>
              <w:rPr>
                <w:rFonts w:ascii="arial" w:eastAsia="arial" w:hAnsi="arial" w:cs="arial"/>
                <w:b/>
                <w:color w:val="000000"/>
                <w:sz w:val="30"/>
                <w:lang w:val="en-US" w:eastAsia="en-US" w:bidi="ar-SA"/>
              </w:rPr>
              <w:t>W.P. RILEY J.</w:t>
            </w:r>
          </w:p>
        </w:tc>
      </w:tr>
    </w:tbl>
    <w:p>
      <w:pP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cr/>
      </w:r>
    </w:p>
    <w:p>
      <w:pPr>
        <w:numPr>
          <w:numId w:val="5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Daryl Edward Cook seeks damages arising from four separate motor vehicle collisions between 2006 and 2016. The defendants have admitted liability in respect of Collision #1, #3 and #4. With respect to Collision #2, the defendant Insurance Corporation of British Columbia ("ICBC") argues that Mr. Cook is not entitled to judgment in his favour because he failed to take all reasonable steps to identify the driver of the other vehicle involved. These reasons for judgment deal with that issue, as well as the nature, extent, and duration of injuries suffered by Mr. Cook, and the quantum of his damages.</w:t>
      </w:r>
      <w:r>
        <w:rPr>
          <w:rFonts w:ascii="arial" w:eastAsia="arial" w:hAnsi="arial" w:cs="arial"/>
          <w:sz w:val="20"/>
          <w:lang w:val="en-US" w:eastAsia="en-US" w:bidi="ar-SA"/>
        </w:rPr>
        <w:cr/>
      </w:r>
    </w:p>
    <w:p>
      <w:pPr>
        <w:numPr>
          <w:numId w:val="6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Facts</w:t>
      </w:r>
    </w:p>
    <w:p>
      <w:pPr>
        <w:numPr>
          <w:numId w:val="6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Mr. Cook's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Cook was born in 1968 and grew up in Burnaby, British Columbia. He is the oldest of three siblings. He excelled at sports throughout his school years. He also had a paper route and worked at part time and summer jobs during high school. He obtained his diploma from Burnaby North high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 friend aptly described Mr. Cook in his younger years as a great all around athlete. Mr. Cook played a variety of sports including soccer, rugby, lacrosse, and golf. He was particularly good at soccer and lacrosse. In his trial testimony, he presented a number of soccer and lacrosse trophies and awards from his pre-teen years. Mr. Cook continued to play lacrosse competitively at the intermediate and junior levels. When he got into the senior ranks at age 19, he played in a Junior B lacrosse league. He was drafted by a Junior A team, but at that point "chose to do other things" with his life. It appears that Mr. Cook stopped playing competitive lacrosse at the age of 22 or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After high school, Mr. Cook had jobs in customer service, and as a floor installer, a cable installer, a bouncer and bartender, and a garbage man. In 1989, while working as a customer service representative for a company called Grip Clinch Fasteners, Mr. Cook received an injury affecting his right ulnar nerve. He made a Workers Compensation Board ("WCB") claim in connection with this injury. He later received an injury affecting his left ulnar nerve. Over the next several years, Mr. Cook has had multiple surgeries to treat his ulnar nerve conditions. His WCB claim was contentious, and he spent over a decade pursuing it. Mr. Cook's dispute with WCB did not conclude until the dismissal of his final appeal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Some time in the early 2000s, Mr. Cook started his own business, carried on through a closely-held company called Edward's International Services Inc. There were two completely separate facets to the business. One branch of the business involved personal security and body guard services. The other branch involved the sale of promotional items, including but not limited to t-shirts imprinted with luxury car brand names such as Bentley, Jaguar, and Porsche.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about 2006, Mr. Cook began to focus his efforts on a residential real estate development project. He purchased a lot on Gore Avenue in Vancouver, subdivided it, oversaw the construction of three single family homes, and eventually sold all three of them for a profit. This venture had just gotten underway when Mr. Cook was involved the first of the four collisions dealt with in the present court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Meanwhile, in terms of his personal life, Mr. Cook started a relationship with Nicole Behrenz in 1995. They began living together in 1997 and from that point forward it appears that they had somewhat of an on-again, off-again relationship. They have one child together, Wyatt, who was born at the end of 2009 and is now 10 years old. As a young child, Wyatt had medical challenges that required him to spend a fair amount of time at children's hospital. Mr. Cook and Ms. Behrenz separated in June of 2017 and have not reconciled since. Mr. Cook continues to be actively involved in parenting Wyatt.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Cook had a number of medical and health concerns that preceded the four collisions in issue in this case. As noted, Mr. Cook had a series of injuries to the ulnar nerves in both arms. Between October 1994 and July 1993, Mr. Cook had a total of four ulnar nerve surgeries. Mr. Cook was also involved in two prior motor vehicle collisions, in 1994 and 2003. He did not report any notable physical injuries in connection with the 1994 collision. In the 2003 collision, Mr. Cook suffered injuries leading to pain in his neck, right shoulder, and right knee. The relationship between these symptoms and the injuries Mr. Cook suffered in the four collisions which are the subject of the present action is discussed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(2.2) Collision #1 [</w:t>
      </w:r>
      <w:r>
        <w:rPr>
          <w:rFonts w:ascii="arial" w:eastAsia="arial" w:hAnsi="arial" w:cs="arial"/>
          <w:b/>
          <w:i/>
          <w:color w:val="000000"/>
          <w:sz w:val="20"/>
          <w:lang w:val="en-US" w:eastAsia="en-US" w:bidi="ar-SA"/>
        </w:rPr>
        <w:t>Cook v. Kang and Hee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Collision #1 took place on 24 September 2006, on King George Boulevard in Surrey. Mr. Cook was driving his Dodge 3500 pickup truck with his brother in the passenger seat. Mr. Cook's truck was rear-ended by a Toyota Sienna minivan driven by the defendant Yung Sun Kang and owned by Mr. Kang and his wife, the second defendant Kim Young Hee. In his trial testimony, Mr. Cook did not give detailed evidence about the collision or how it happened. This is not particularly surprising considering that he was rear-ended.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Kang, whose testimony I accept as credible and reliable, gave evidence that he was travelling northbound on King George Boulevard, with a line of cars ahead of him slowing for a red light. Mr. Kang frankly admitted he was not paying due attention to the road, because the vehicles ahead of him were going slowly and he was perusing a shopping list. He did not realize how close he was to the vehicle in front of him, Mr. Cook's truck, and ran into it. Mr. Kang testified that his van was moving slowly, perhaps walking speed, due to the traffic. The front bumper of Mr. Kang's van ran into the trailer hitch on Mr. Cook's pickup truck. This was the only point of contact between the two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Kang was at the collision scene for perhaps five to ten minutes. He spoke briefly with Mr. Cook, exchanging vehicle information and identification. Mr. Cook did not appear to be hurt and made no mention of any physical injury. Mr. Kang surveyed the damage to both vehicles. He looked at Mr. Cook's truck but could not see any visible damage whatsoever, explaining again that the only point of contact was the trailer hitch. Mr. Kang observed a small dent on the front bumper of his van. In cross-examination, Mr. Kang identified a photograph of a small crease or dent in the van's bumper.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trial, the defendants took the position that the force of the impact was relevant to Mr. Cook's vehicle damage claim and his claim for personal injuries arising from the collision. In this regard, the defendants presented expert evidence from Harvey West. I found Mr. West to be an expert in engineering, qualified to give opinion evidence with respect to the severity and magnitude of force, impact speeds, and damage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would summarize the key points in Mr. West's expert opinion as follows. First, based on his examination of Mr. Cook's truck some months after the collision, and his perusal of photographs of Mr. Kang's van, Mr. West noted no structural damage to either vehicle. This led Mr. West to conclude that the forces generated in the collision were minor. Second, working on the assumption that Mr. Kang's van "idled" into Mr. Cook's truck, Mr. West opined that the van was travelling at a speed between 5-10 km/h when the two vehicles came together. Third, taking into account various parameters including the estimated weight of the two vehicles, Mr. West opined that upon impact the occupants of Mr. Cook's truck would have experienced a change in speed between 3-6 km/h. To put this into context, Mr. West explained that a vehicle which drove into a stationary object at "walking speed" of 4 km/h would experience a change of speed of 6 km/h upon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accept that Mr. West was an honest witness who made a genuine effort to provide an objective opinion as to the force of impact involved in Collision #1. However, in the final analysis I do not find his opinion of assistance in resolving the live issues in this case, for several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First, although the case law supports the proposition that evidence concerning vehicle velocity and force of impact can be logically relevant to the extent of damage resulting from a collision, the weight given to such evidence will obviously depend on all of the circumstances of the case: </w:t>
      </w:r>
      <w:r>
        <w:rPr>
          <w:rFonts w:ascii="arial" w:eastAsia="arial" w:hAnsi="arial" w:cs="arial"/>
          <w:i/>
          <w:color w:val="000000"/>
          <w:sz w:val="20"/>
          <w:lang w:val="en-US" w:eastAsia="en-US" w:bidi="ar-SA"/>
        </w:rPr>
        <w:t>Cahoon v. Brideaux</w:t>
      </w:r>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2010 BCCA 228</w:t>
        </w:r>
      </w:hyperlink>
      <w:r>
        <w:rPr>
          <w:rFonts w:ascii="arial" w:eastAsia="arial" w:hAnsi="arial" w:cs="arial"/>
          <w:color w:val="000000"/>
          <w:sz w:val="20"/>
          <w:lang w:val="en-US" w:eastAsia="en-US" w:bidi="ar-SA"/>
        </w:rPr>
        <w:t xml:space="preserve"> at para. 86. The extent of damage will ultimately be a function of the condition and position of the vehicles and their occupants at the time of the collision. This is particularly so in respect of the extent of physical injury suffered by someone involved in a vehicle collision. Sometimes individuals experience serious physical injuries in relatively low impact collisions, whereas on other occasions individuals involved in high impact collisions suffer little or no physical injury. Thus, evidence with respect to force of impact may be relevant but is by no means determinative. Sometimes such evidence may add little or nothing to the case. In the present matter it is clear from the testimony of both Mr. Cook and Mr. Kang that this was a low impact collision. Mr. West's opinion evidence does not add anything to that general characterization of the degree of force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Second, in my view many of the premises or assumptions underlying Mr. West's opinion were effectively undermined on cross-examination. Mr. West did not examine Mr. Kang's minivan, and in particular he did not examine the material under the cover of the bumper or the state of the vehicle frame following the collision. Moreover, Mr. West's force calculations were based on manufacturer's specifications as to the weight of the two vehicles, which did not account for their contents at the time of collision. Also, Mr. West assumed all of the forces involved were longitudinal, but acknowledged in cross-examination that the vehicles may have been offset at the time of the collision, meaning that there was likely some degree of latitudinal force involved. Mr. West also assumed that the van drove into the truck at "idling speed", but appeared to accept on cross-examination that the force involved might have been different if both vehicles were moving forward slowly in traffic when the van drove into the truck. These were only some of the issues raised in cross-examination of Mr. West. At bottom, Mr. West agreed that he could only estimate the force involved and could not calculate it with precision.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Expert evidence of the sort offered by Mr. West might be important in distinguishing between a low impact collision on the one hand and one involving moderate or severe force on the other. However, in this particular case I do not find Mr. West's expert opinion helpful in identifying the precise amount of force involved in what was clearly on all the evidence a low impact collision.</w:t>
      </w:r>
      <w:r>
        <w:rPr>
          <w:rFonts w:ascii="arial" w:eastAsia="arial" w:hAnsi="arial" w:cs="arial"/>
          <w:sz w:val="20"/>
          <w:lang w:val="en-US" w:eastAsia="en-US" w:bidi="ar-SA"/>
        </w:rPr>
        <w:cr/>
      </w:r>
    </w:p>
    <w:p>
      <w:pPr>
        <w:numPr>
          <w:numId w:val="6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Injuries Sustained in Collision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Cook testified that in the wake of Collision #1, he experienced "constant" neck pain along his right side into the middle of his neck. He also had back pain; from what he could recall at the time of trial some 13 years after the collision, the pain was located in the middle of his back; it prevented him from doing strenuous work. He also had difficulty sleeping in his bed, and had to sleep on the floor, on his stomach. He experienced headaches on a "random" basis; they were "not that bad", and there were not "a ton of them"; he estimated that he got about 15 headaches "over the entire time", although he did not specify the time frame. He suffered from fatigue and insomnia; he had "no energy whatsoever" and "could not sleep at night due to pain". Again, Mr. Cook did not give a time frame for these symptoms. He experienced "anxiety" and "depression" because he was worried about paying bills; he worried about his ability to complete the residential construction endeavour he had started several months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Kagan, Mr. Cook's family doctor, testified that Mr. Cook made an initial visit to her office on 27 September 2006, one day after Collision #1, complaining of neck and right shoulder pain. I pause here to note that under the rules of evidence, testimony from other witnesses recounting Mr. Cook's subjective reports of pain and other symptoms of injury are not admissible for the truth of their contents to reinforce or bolster Mr. Cook's trial testimony. However, subjective reports made by the plaintiff are sometimes relevant to serve as context for the objective observations noted by treatment providers. All further references to subjective reports made by Mr. Cook must be read with this limitation in mind. Dr. Kagan made objective observations of tenderness in Mr. Cook's right trapezius. In later visits, Mr. Cook made continuing complaints of tenderness in his mid back and left leg. He also expressed concern about right knee pain, which he believed might be a result of walking awkwardly and having bad posture to accommodate for pain in other parts of his body. Dr. Kagan noted that Mr. Cook displayed objective signs of sciatica and awkward posture.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By way of background, it is necessary at this point to describe Mr. Cook's residential construction undertaking, which began in 2006 and concluded in 2010. In particular, Mr. Cook acquired a lot on Gore Avenue in Vancouver, subdivided it into three lots, constructed three single family homes, and sold all three for a profit. Mr. Cook described himself as the project manager. He hired contractors for various aspects of the project, oversaw the work, and contributed his own labour when able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Cook started the project in the spring of 2006. Mr. Cook testified that he obtained building permits in May of 2006, digging of the foundations got underway in June, and the framing work took place over the latter part of the summer. By August of 2006, the framing for two of the houses was complete. The project then suffered a setback when there was a fire at the site, a suspected arson. After the fire, what remained of the buildings had to be demolished and the framing had to be redone.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Cook testified that after Collision #1, on 24 September 2006, he tried to keep working at the construction site, but had difficulty doing so because of his collision-related injuries, particularly neck and back pain. Mr. Cook denied the suggestion put to him in cross-examination that as the project manager only a small portion of his work involved physical labour. Mr. Cook explained that the more physical labour he could contribute, the more money he could save on construction costs, and the more profit he could add to his bottom line. Mr. Cook testified that in November 2006 his doctor told him to stop working. Thereafter, he kept the project going through subcontractors, but was unable to contribute his own physical labour to the construction effort.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thrust of Mr. Cook's testimony was that his involvement in the Gore Avenue construction project - more specifically his ability to contribute his own physical labour to the project - was hampered by his injuries in Collision #1. I do not accept this as an accurate representation of the severity and effect of Mr. Cook's collision-related injuries for the following reasons:</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evidence that at the time of Collision #1, Mr. Cook was suffering from a variety of pre-existing conditions or injuries. Among other things, Mr. Cook had been in previous car accidents in 1994 and 2003. With regard to the 2003 collision, Mr. Cook testified in chief that he missed or had to re-schedule some work due to injuries in that accident, but the effects were not significant. Mr. Cook's law suit for injuries in the 2003 accident settled in 2005, and he testified that he had no ongoing pain or impairment from that collision from that point forward. However, clinical records from Mr. Cook's treating physician suggest otherwise.</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her testimony, Dr. Kagan initially agreed that she was Mr. Cook's family physician since 2006 and did not recall treating him prior to that date. She was then shown clinical records indicating that she had seen Mr. Cook as a walk in patient at the clinic where she worked from 2003 to 2005. Dr. Kagan agreed, based on her review of clinical records, that in March, April, and May of 2004, Mr. Cook was reporting continuing pain in his neck, back, and left shoulder in connection with the 2003 accident. In an appointment with Dr. Kagan on 14 February 2005, Mr. Cook reported that he was still having headaches, perhaps once per week, lasting all day, and he was also experiencing intermittent shoulder pain three times per month.</w:t>
      </w:r>
    </w:p>
    <w:p>
      <w:pPr>
        <w:numPr>
          <w:numId w:val="6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More generally, medical records from Dr. Kagan's clinic indicate that in 2004 and 2005 Mr. Cook attended with reports of knee pain, a pinched nerve in his neck which caused pain for 10 days, and ongoing shoulder pain and headaches. Based on these records, Dr. Kagan agreed that from 2003 to 2006, up until about one month before Collision #1, Mr. Cook "consistently" reported neck, shoulder, and right knee pain.</w:t>
      </w:r>
    </w:p>
    <w:p>
      <w:pPr>
        <w:numPr>
          <w:numId w:val="6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Cook agreed that near the end of June of 2006, he went to the hospital emergency room with a complaint of neck pain. Although this incident occurred a matter of weeks after he broke ground on his construction project, Mr. Cook denied that it was a work-related injury. He claimed to have no memory of how he hurt himself, but maintained that it was not at the work site because if it was, he would have submitted a WCB claim. Dr. Kagan was referred to clinical records indicating that in an appointment on 1 July 2006, Mr. Cook reported that he had to go to the hospital the previous weekend due to neck pain. Her clinical notes indicate, and I accept as accurate, that Mr. Cook told her he hurt his neck "on the job", "shovelling". Dr. Kagan prescribed oxycodone and lorazepam.</w:t>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Mr. Cook maintained in his testimony that Dr. Kagan advised or instructed him to stop working in November of 2006, Dr. Kagan's evidence does not support that conclusion. Dr. Kagan testified that, in her practice, the patient generally makes his or her own decision about whether to stop working. In Mr. Cook's case, the first reference to Mr. Cook being off work was a clinical note from a visit on 14 December 2006, when Mr. Cook reported that he was "still off work". Dr. Kagan later wrote Mr. Cook a note confirming that he had been off work since 1 October 2006. In her testimony, Dr. Kagan confirmed that in writing this note, she was relying entirely on what Mr. Cook told her. Dr. Kagan did not know Mr. Cook was self-employed, supervising his own construction project. Dr. Cook assumed that when she was asked to write a note to say that Mr. Cook was "off work", he was not working at all, because that is what being "off work" means to her. In an appointment with Dr. Kagan on 6 March 2007, Mr. Cook reported that he "remained off work", that he was "only able to do supervisory" work for which he was "not being paid", and that he was "unable to do his usual labour". Finally, on 7 June 2007, Dr. Kagan noted that Mr. Cook had returned to work in April, on "light duties without lifting", and then had been "back to work since mid-May", with "increased pain at the end of May".</w:t>
      </w:r>
    </w:p>
    <w:p>
      <w:pPr>
        <w:numPr>
          <w:numId w:val="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Cook's business records show that he was conducting business meetings with tradespeople throughout the time that he had reported to Dr. Kagan that he was "off work". By way of example, Mr. Cook went to a business meeting at a restaurant the day after Collision #1. Similarly, in a doctor's visit on 8 February 2007, Mr. Cook reported that he was "off work"; yet his business records include a 7 February 2007 receipt for dinner with a contractor regarding the "kitchen reno". Mr. Cook also purchased season's tickets for the Canucks in 2007, at a cost some $16,000, which he recorded as a business expense in connection with his residential construction project. When cross-examined on these records, Mr. Cook acknowledged extensive entertainment and meal expenses in the latter half of 2006 and throughout 2007. With regard to the hockey tickets, Mr. Cook testified that he sometimes gave the tickets to others and sometimes used them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draw two factual conclusions from all of this evidence. First, I find as a fact that Mr. Cook was unable to contribute any significant degree of physical labour to the Gore Avenue project due to conditions or injuries that preceded Collision #1. Second, I find that the injuries sustained by Mr. Cook in Collision #1 did not prevent Mr. Cook from carrying on with his role in supervising or overseeing the Gore Avenue project.</w:t>
      </w:r>
      <w:r>
        <w:rPr>
          <w:rFonts w:ascii="arial" w:eastAsia="arial" w:hAnsi="arial" w:cs="arial"/>
          <w:sz w:val="20"/>
          <w:lang w:val="en-US" w:eastAsia="en-US" w:bidi="ar-SA"/>
        </w:rPr>
        <w:cr/>
      </w:r>
    </w:p>
    <w:p>
      <w:pPr>
        <w:numPr>
          <w:numId w:val="6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Treatment after Collision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Cook testified that after Collision #1, he had ongoing problems with his neck and back, and that he also had difficulty sleeping. Mr. Cook also believes his feet were "turned out" during the 2006 collision, as a result of which he has had problems with his legs and has had to "adjust his gait". With regard to treatment following Collision #1, Mr. Cook testified that in addition to regular visits to Dr. Kagan, he attended physiotherapy once to twice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Shortly after Collision #1, Mr. Cook started attending for treatment with Andrea Martens, a physical therapist and qualified acupuncturist. She testified that when she started treating Mr. Cook at City Sports Therapy in November 2006, he reported pain in his back, hip, right knee, and for "travelling nerve pain". Ms. Martens continued to treat Mr. Cook when she moved to Urban Active Sport Therapy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When asked to summarize the objective observations made in her clinical records, Ms. Martens testified that she made observations of pain with palpation in affected areas, limited range of motion, and poor posture. Ms. Martens treated Mr. Cook with physical therapy techniques and acupuncture. She also gave Mr. Cook advice and instruction regarding certain home-based exercises. Ms. Martens testified that as a general trend, at the beginning of most treatment sessions Mr. Cook would present with signs of bad posture, pelvis rotation, and stiffness on the right side of his body. At the end of each session, after treatment, Mr. Cook's pelvis would be in a neutral position indicating that he had experienced some relief. The next time Mr. Cook returned for treatment his pelvis would be rotated again; some days were better than others but as a general rule Mr. Cook's pelvis and back would continue to go out of alignment between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Mr. Cook's medical history also includes reports of ongoing pain and discomfort in his left knee. In terms of the onset of this condition, Dr. Kagan's clinical notes include a report of left knee pain by Mr. Cook during a visit on 10 November 2008. The plaintiff called Dr. Horlick, an orthopedic surgeon as a fact witness, to give evidence concerning objective observations and treatment of Mr. Cook's left knee. The plaintiff did not tender an expert report from Dr. Horlick, and he was not qualified as an expert to give opinion evidence within the meaning of Part 11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However, Dr. Horlick was permitted to draw upon and make reference to his expertise in the field of orthopedics, to explain his observations and treatment of Mr. Cook, as discussed in </w:t>
      </w:r>
      <w:r>
        <w:rPr>
          <w:rFonts w:ascii="arial" w:eastAsia="arial" w:hAnsi="arial" w:cs="arial"/>
          <w:i/>
          <w:color w:val="000000"/>
          <w:sz w:val="20"/>
          <w:lang w:val="en-US" w:eastAsia="en-US" w:bidi="ar-SA"/>
        </w:rPr>
        <w:t>Anderson v. Dwyer</w:t>
      </w:r>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2009 BCSC 1872</w:t>
        </w:r>
      </w:hyperlink>
      <w:r>
        <w:rPr>
          <w:rFonts w:ascii="arial" w:eastAsia="arial" w:hAnsi="arial" w:cs="arial"/>
          <w:color w:val="000000"/>
          <w:sz w:val="20"/>
          <w:lang w:val="en-US" w:eastAsia="en-US" w:bidi="ar-SA"/>
        </w:rPr>
        <w:t xml:space="preserve"> at para. 14. After an initial examination of Mr. Cook in March of 2009, Dr. Horlick performed left knee arthroscopic surgery on 1 May 2009, during which he repaired a torn meniscus and noted thinning cartilage. In a subsequent examination in November of 2009, Dr. Horlick observed that, apart from some post-surgical muscle atrophy in the left leg, Mr. Cook had come out of the surgery with minimal deviation from normal weight bearing posture on his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23 June 2010, some 3.5 years after Collision #1, Mr. Cook also saw Dr. Shuckett, a rheumatologist. Dr. Shuckett was qualified as an expert witness, and her expert opinion on diagnosis, prognosis, and future care is addressed later in these reasons. For present purposes, the import of Dr. Shuckett's evidence is that she made certain objective observations of Mr. Cook's physical condition during the 23 June 2010 examination. In particular, Dr. Shuckett noted objective signs of tenderness on Mr. Cook's right occiput, trapezius, knee, scapula, sacroiliac, exterior hip, and foot. His right knee range of motion was normal, but his left knee range of motion was limited. His right leg was noted to be approximately one centimeter longer than his left leg. Mr. Cook also displayed limited range of motion and pain with flexion in his neck and lower back, although he presented with normal cervical lordosis, that is, normal curvature of the spine.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(2.5) Collision #2 [</w:t>
      </w:r>
      <w:r>
        <w:rPr>
          <w:rFonts w:ascii="arial" w:eastAsia="arial" w:hAnsi="arial" w:cs="arial"/>
          <w:b/>
          <w:i/>
          <w:color w:val="000000"/>
          <w:sz w:val="20"/>
          <w:lang w:val="en-US" w:eastAsia="en-US" w:bidi="ar-SA"/>
        </w:rPr>
        <w:t>Cook v. Doe and ICBC</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Collision #2 took place on 8 January 2011, at the intersection of Marine Drive and Taylor Way in North Vancouver. Mr. Cook was again driving his Dodge 3500 pickup truck when he was involved in a collision with a red compact car, possibly a Sprint or Geo. Mr. Cook was turning left onto Taylor Way on a green arrow when the other car came through the intersection on a red light. Mr. Cook's truck ran into the rear driver side door of the other vehicle, which had two female occupants.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Mr. Cook did not ascertain the identity of the driver or owner of the other vehicle involved in the collision, despite some after-the-fact efforts to do so, in circumstances which are explained below. As a result, Mr. Cook named ICBC as a defendant. ICBC does not dispute that the unidentified driver of the red compact car was at fault for the collision, but nevertheless argues that Mr. Cook is not entitled to judgment because he failed to take all reasonable steps to identify the other driver in the collision as required under s. 24(5)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After the collision, Mr. Cook exited his truck and went to speak with the driver of the vehicle immediately behind him. He got her name and phone number and wrote it down on a piece of paper. Meanwhile, the two female occupants in the other vehicle involved in the collision were on the opposite side of the road, separated from Mr. Cook by at least one lane of traffic. Mr. Cook testified that he could not approach them immediately because it was not safe to do so, as traffic had resumed through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Cook therefore got into his truck with the intention of re-positioning it to, in his words, "clear the intersection". He considered it unsafe to leave his truck in the intersection indefinitely. Mr. Cook turned the corner, drove about half a block ahead, and stopped in the parking lot of a restaurant, at which point he tried to make contact with the driver of the other vehicle involved in the collision. However, to Mr. Cook's chagrin, the driver of the other vehicle left the area, driving up Taylor Way. Mr. Cook immediately phoned 911 and made a report that the other party involved in the Chad driven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Cook was cross-examined at length about his actions in the aftermath of Collision #2, and in particular on the details surrounding his efforts to identify the driver of the other vehicle at the scene. Mr. Cook maintained that he did not approach the occupants of the red car at the scene because they were on the other side of the road, across one lane of traffic, and he could not reach them safely. Mr. Cook admitted on cross-examination that there were other people standing with or around the occupants of the red car, but explained that he did not see where these people came from, suggesting they may have been on the opposite side of the road and might not have had to cross through any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When pressed on details, Mr. Cook said the occupants of the red car were 15 to 20 feet away. At one point in his testimony Mr. Cook said the occupants remained in the red car throughout, but he then admitted saying in his examination for discovery evidence that the occupants of the other vehicle may have gotten out of their car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Cook admitted that he had a pen and paper with him, which he used to take down the particulars of the driver behind him as a potential witness to the collision. Nonetheless, he did not make a note of the license plate of the red car, explaining that he could not see the license plate from his position across at least one lane of traffic. The red car was only about 15 to 20 feet away, but it was facing northbound, while his was facing westbound, and he could not see the plate from his position. Mr. Cook disagreed with the suggestion that he could have walked across the road or re-positioned himself to see the car's license plate.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Cook agreed that in his examination for discovery he said both vehicles involved in the collision remained at the scene for at least one or two minutes, but I conclude based on an assessment of all the evidence that it must have been longer than that. Mr. Cook testified that the parties in the red car were still at the scene when he spoke with the motorist behind him. There is also evidence that one or more by-standers interacted with the occupants of the red car at the scene, probably during the time that Mr. Cook was speaking with the motorist behind him. I further find as a fact that the other vehicle involved in the collision did not depart the scene until after Mr. Cook repositioned his truck in the restaurant parking lot. This conclusion fits with the sequence of events as recounted by Mr. Cook in his testimony: he repositioned his truck to the parking lot, he saw that the red car leave the area driving up Taylor Way, and he then called 911 to report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At this point I must note that there were serious issues with Mr. Cook's credibility as a witness, causing me to approach the entirety of his testimony with skepticism. I will discuss these credibility issues in detail below. Despite those concerns, I accept Mr. Cook's evidence on this particular issue, that is, his actions in the aftermath of Collision #2, as credible and reliable. Mr. Cook had a good recollection of his own actions on the date in question. And although he was frequently combative and argumentative in cross-examination, I find that his testimony on this particular aspect of the case was credible. His testimony was rational and made sense. Importantly, at the time of these events it would have been in Mr. Cook's best interests to identify the driver of the other vehicle involved in the collision, and I am satisfied that in his testimony he accurately described the circumstances in which he says he was unable to do so. Indeed, Mr. Cook testified that when he realized that the red car had driven away before he could identify the driver, he phoned 911 and waited for the police to attend. He was not challenged on that point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Cook testified that in the days after the collision he took steps to ascertain the identity of the other party involved. In particular, he arranged through his lawyer for signs to be posted in the vicinity of the collision, advertising for witnesses who might be able to identify the other vehicle or its driver. These efforts were unsuccessful. Mr. Cook was not challenged in cross-examination on this point.</w:t>
      </w:r>
      <w:r>
        <w:rPr>
          <w:rFonts w:ascii="arial" w:eastAsia="arial" w:hAnsi="arial" w:cs="arial"/>
          <w:sz w:val="20"/>
          <w:lang w:val="en-US" w:eastAsia="en-US" w:bidi="ar-SA"/>
        </w:rPr>
        <w:cr/>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Injuries Sustained in Collision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Cook testified that following Collision #2, he experienced pain in his neck, back, shoulders, and legs. Immediately after the collision, he felt soreness in his back, forcing him to hunch over from pain at the scene. He also started to experience shooting pain in his legs, while still at the collision scene. With regard to his neck, Mr. Cook believed his prior injury was "aggravated", although the location of the pain was in "different spots" and changed from time to time. He also testified that both his left shoulder and his right shoulder "bothered him" after Collision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Kagan testified that she saw Mr. Cook on 10 January 2011, two days after Collision #2. At that time, Mr. Cook reported pain in his right neck, low back radiating into the legs, and right knee. Dr. Kagan made objective observations of spasms and limited range of motion in Mr. Cook's neck. She also saw indications of pain in Mr. Cook's back with movement. In subsequent visits to Dr. Kagan, Mr. Cook reported neck, upper back, mid back, low back, and right knee pain, as well as paresthesia - a tingling or prickling sensation - radiating into his feet. Dr. Kagan made observations of misalignment of Mr. Cook's pelvis.</w:t>
      </w:r>
      <w:r>
        <w:rPr>
          <w:rFonts w:ascii="arial" w:eastAsia="arial" w:hAnsi="arial" w:cs="arial"/>
          <w:sz w:val="20"/>
          <w:lang w:val="en-US" w:eastAsia="en-US" w:bidi="ar-SA"/>
        </w:rPr>
        <w:cr/>
      </w:r>
    </w:p>
    <w:p>
      <w:pPr>
        <w:numPr>
          <w:numId w:val="7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Treatment after Collision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Cook testified that from 2011 to 2015, his neck, back, shoulders, and legs continued to hurt. Over the course of this time span, he felt some improvement but did not feel that his injuries had fully healed.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Cook received separate, parallel courses of treatment from two separate physiotherapy clinics from 2011 to 2015. First, Mr. Cook continued to receive physiotherapy treatments from Ms. Martens as described above up until June 2015. I summarized the nature of the treatment provided by Ms. Martens, and the objective observations made by her, in an earlier section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Second, commencing in December 2013, Mr. Cook started to attend physiotherapy sessions with Mr. Leyland-Harris at Level 10 Fitness. Mr. Leyland-Harris testified that during his treatment sessions, he made observations that Mr. Cook had: (i) a noticeable left pelvic upslip, meaning that the left side of his pelvis was noticeably higher than the right side of his pelvis, (ii) restricted range of motion in his neck, thoracic spine, lumbar spine region, (iii) rounded shoulders, (iv) a noticeable rotation of his posture, sometimes to the right, sometimes to the left, (v) restricted ankle flection, and (v) a stiff right foot, rolled inward. Mr. Leyland-Harris treated Mr. Cook with a number of techniques including dry needling, active release therapy, intra muscular stimulation, and joint mobilization. Mr. Leyland-Harris also oversaw a strength and conditioning regimen administered by Mr. Cook's personal trainer, Carl Bergstrom.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cross-examination, Mr. Leyland-Harris confirmed that Level 10 is an "elite training facility" in North Vancouver. Mr. Cook's former personal trainer, Mr. Bergstrom, is now the strength and conditioning coach for Golden State Warriors.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Leyland-Harris agreed that over the duration of the treatment, Mr. Cook continued to have a noticeable pelvic upslip, such that at the end of this time frame he was in more or less the same condition that he was in when Leyland-Harris first started treating him. At the beginning of a particular treatment session, Mr. Cook would present with an upslip and bad posture, which would then show notable improvement at the end of the session. However, the upslip and poor posture would be apparent when Mr. Cook attended for his next treatment session. Mr. Leyland-Harris also noted that Mr. Cook's posture and alignment problems migrated to different parts of his body over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(2.8) Collision #3 [</w:t>
      </w:r>
      <w:r>
        <w:rPr>
          <w:rFonts w:ascii="arial" w:eastAsia="arial" w:hAnsi="arial" w:cs="arial"/>
          <w:b/>
          <w:i/>
          <w:color w:val="000000"/>
          <w:sz w:val="20"/>
          <w:lang w:val="en-US" w:eastAsia="en-US" w:bidi="ar-SA"/>
        </w:rPr>
        <w:t>Cook v. Le and Huynh</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Collision #3 took place on 28 January 2015, near the intersection of Canada Way and Burris Street in Burnaby. Mr. Cook was driving his Ford F-150 pickup truck south on Canada Way, up the hill. As Mr. Cook slowed his truck while approaching some construction work on the road ahead of him, he was hit from behind by a Honda Civic, which impacted the rear driver's side of his truck as it drove past. The Civic continued on to the next block and then pulled over on a side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Civic was driven by defendant Thi Truc Le and owned by her brother, the defendant Anh Tuan Huynh. The driver, Ms. Le, testified at trial that as she drove along Canada Way, intending to switch lanes, she underestimated the distance to Mr. Cook's truck, which was stopped in the lane directly ahead of her. After impacting the left rear corner of Mr. Cook's truck, Ms. Le followed through with her lane change and drove past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After the collision, Mr. Cook and Ms. Le both drove one block forward and pulled over on a side street, where they met and exchanged information. Ms. Le testified that Mr. Cook was responsive and appeared unhurt, although she did not specifically ask him if he had been injured in the collision. The 2001 Honda Civic Ms. Le was driving was towed from the scene. It was her brother's car and she never saw it again. She believes it was written off.</w:t>
      </w:r>
      <w:r>
        <w:rPr>
          <w:rFonts w:ascii="arial" w:eastAsia="arial" w:hAnsi="arial" w:cs="arial"/>
          <w:sz w:val="20"/>
          <w:lang w:val="en-US" w:eastAsia="en-US" w:bidi="ar-SA"/>
        </w:rPr>
        <w:cr/>
      </w:r>
    </w:p>
    <w:p>
      <w:pPr>
        <w:numPr>
          <w:numId w:val="7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Injuries Sustained in Collision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Cook testified that following Collision #3, he experienced headaches and pain in his neck, right shoulder and shoulder blade, mid-back, and right foot. He described the headaches as a very tight feeling between his temples, lasting as long as two hours at a time. He described the neck pain as an aggravation or worsening of pain from the prior collisions, running into his right shoulder and shoulder blade. He described the back pain as a feeling that he had been hit by a baseball bat, and the foot pain as a kind of numbness in his heel that affected his gait. Mr. Cook also claimed that as a result of Collision #3 he experienced "shock" and "anxiety", although he did not explain precisely what that entailed or how it affected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Kagan saw Mr. Cook on 3 February 2015, less than one week after Collision #3. Mr. Cook presented with complaints of pain in his right foot, his knees, hips, thighs, gluteus muscles, low back, and neck. Dr. Kagan observed bruising on Mr. Cook's legs and noted indications of stiffness and pain with movement of the neck and back. In subsequent visits Mr. Cook reported insomnia, neck, upper back, shoulder, and right foot pain.</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Treatment after Collision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Mr. Cook testified that after Collision #3, he continued to see the doctor regularly, continued with physiotherapy, and exercised as recommended by his treatment providers. The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testimony and clinical records of Ms. Martens and Mr. Leyland-Harris indicate that Mr. Cook continued to receive physiotherapy treatments from both of them until June of 2015, when he stopped treatment with Ms. Martens. From July 2015 onward, Mr. Cook continued to see Mr. Leyland-Harris at Level 10 Fitness. In December 2015, Mr. Leyland-Harris moved to Coast Performance and Rehabilitation, and Mr. Cook followed him there. Throughout this time, Mr. Leyland-Harris continued to provide more or less the same types of treatment with more or less the same results as he had in prior time periods.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(2.11) Collision #4 [</w:t>
      </w:r>
      <w:r>
        <w:rPr>
          <w:rFonts w:ascii="arial" w:eastAsia="arial" w:hAnsi="arial" w:cs="arial"/>
          <w:b/>
          <w:i/>
          <w:color w:val="000000"/>
          <w:sz w:val="20"/>
          <w:lang w:val="en-US" w:eastAsia="en-US" w:bidi="ar-SA"/>
        </w:rPr>
        <w:t>Cook v. Dempster</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Collision #4 took place on 25 November 2016, on the Dollarton Highway in North Vancouver. Mr. Cook was driving his Ford F-150 pickup truck southbound on the on-ramp to the Iron Worker's Memorial Bridge. He was in the merge lane, slowing for traffic at the yield sign, when he was hit from behind by a Kia Forte.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 Bailey Dempster was the driver and owner of the Kia Forte that rear ended Mr. Cook's truck in Collision #4. In her trial testimony, Ms. Dempster explained that she did a shoulder check before switching lanes, but then "made a mistake" by taking her foot off the brake and placing it on the accelerator. She did not realize how close she was to the truck in front of her. She "skidded into the bumper" of Mr. Cook's truck. In cross-examination, she clarified that her vehicle made contact with the trailer hitch and left side of the rear bumper on Mr. Cook's truck. Ms. Dempster estimated that her vehicle was not going any faster than 10 km/h at the point of impact, although she conceded in cross-examination that she was not looking at her speedometer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After the impact, both vehicles came to a full stop. As Ms. Dempster was getting out of her vehicle to go and speak with Mr. Cook, a police officer several cars behind her activated his emergency lights and instructed both drivers, Ms. Dempster and Mr. Cook, to clear the intersection. Mr. Cook's Ford F-150, Ms. Dempster's Kia Forte, and the police vehicle then drove in tandem across the bridge and stopped on the Vancouver side, where Ms. Dempster and Mr. Cook exchanged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speaking with Mr. Cook after the collision, Ms. Dempster was emotional. She apologized to Mr. Cook, who seemed calm but expressed frustration, indicating that it was his fourth car accident. Mr. Cook was alert and responsive during the conversation. He was not in any apparent pain or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Dempster did not pay for any repairs to her vehicle, which she was still driving at the time of trial some three years after the collision. In cross-examination, she agreed that to her knowledge no one ever removed the front bumper to see if there was damage to the material underneath it. In terms of damage to Mr. Cook's truck, Ms. Dempster confirmed that her car impacted the left side of the bumper and the trailer hitch as depicted in photographs shown to her during her trial testimony.</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Injuries Sustained in Collision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Cook testified that when Collision #4 occurred, his head and neck hurt more or less right away. He further testified that in addition to head and neck pain, he experienced aggravation of the symptoms in his back, shoulders, legs and right foot. He testified that he went to see the doctor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When Dr. Kagan saw Mr. Cook on 30 November 2016, five days after Collision #4, he reported headaches, as well as pain in his right foot, knee, and leg, into the lower back, mid back and neck, and right shoulder. In subsequent visits Mr. Cook reported ongoing symptoms in his neck, shoulders, upper and lower back, gluteus muscles, hips, knees, and feet. Mr. Cook reported an increase in neck pain and headaches, and aggravation of prior conditions. Neither Dr. Kagan's clinical notes nor her expert report reflect any objective observations made during this visit.</w:t>
      </w:r>
      <w:r>
        <w:rPr>
          <w:rFonts w:ascii="arial" w:eastAsia="arial" w:hAnsi="arial" w:cs="arial"/>
          <w:sz w:val="20"/>
          <w:lang w:val="en-US" w:eastAsia="en-US" w:bidi="ar-SA"/>
        </w:rPr>
        <w:cr/>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Treatment after Collision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Mr. Cook testified that after Collision #4, he continued to see Dr. Kagan at regular intervals, continued to attend physiotherapy, and exercised regularly as recommended by his treatment providers. The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testimony and clinical records of Mr. Leyland-Harris confirm that Mr. Cook continued to attend weekly physiotherapy sessions at Coast Performance and Rehabilitation Clinic from December 2016 all the way through to the time of trial in the fall of 2019.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(2.14) Follow-Up Examination by Dr. Horlick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Horlick, the orthopedic surgeon who performed arthroscopic surgery on Mr. Cook's left knee in February 2009, gave evidence about a follow up examination on 5 September 2019. At that time, Mr. Cook showed no signs of pain through a full range of motion in his left knee, and the signs of atrophy he had observed several months after surgery were gone. In cross-examination, Dr. Horlick testified that his orthopedic examination of Mr. Cook's back and neck did not result in any noteworthy objective observations.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(2.15) Mr. Cook's Current Physical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Cook is now 52 years old. He testified that as of the date of his trial which commenced in September 2019, he continued to experience headaches and pain in his neck, shoulder, back, legs, and right foot. He testified that he has "many different symptoms" which can change daily and can last for days at a time. Sometimes he has pain in the back of his head, or pain in his neck radiating into his back, or pain in his mid back. He often does not sleep well, and wakes up in the morning with stiffness and soreness.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(2.16) Expert Evidence as to Diagnosis, Prognosis, and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presented expert opinion evidence from: (i) Mr. Cook's treating family physician Dr. Kagan, (ii) a rheumatologist, Dr. Shuckett, and (iii) a functional capacity evaluator, Nick Lauder. The defendants tendered expert opinion evidence from (iv) Dr. Hirsch, a physiatrist, and (v) Dr. O'Shaughnessy, a forensic psychiatrist.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(2.16.1) Expert Opinion Evidence of Dr. Kagan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tendered an expert report completed by Dr. Kagan on 1 May 2019. I recognized Dr. Kagan as an expert in family medicine qualified to give opinions in relation to diagnosis, treatment, and prognosis for general medical conditions and injuries including consequences of trauma and managing chronic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Kagan's report indicates that she has been Mr. Cook's treating family physician since 2006. Dr. Kagan saw Mr. Cook within a few days of each of the four collisions which are the subject of this action, and Mr. Cook had follow up appointments with her at regular intervals in between each of these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her expert report, Dr. Kagan diagnosed Mr. Cook with "multiple soft tissue injuries" and "right sided sciatic symptoms", leading to "pain and disability". In Dr. Kagan's view, Mr. Cook is disabled due to an inability to work in the construction industry, which he had been doing without any apparent limitation prior to the subject collisions. Dr. Kagan was unable to comment on whether Mr. Cook's left knee problems, namely a surgically repaired meniscus tear and a degenerative knee condition, were causally connected to the collisions.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terms of prognosis, Dr. Kagan opined that Mr. Cook would likely have an "ongoing disability", making it unlikely that he will return to any significant full time employment, even with limitations. Dr. Kagan further opined that Mr. Cook would likely have to avoid physically demanding household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With regard to future care, Dr. Kagan's report states that with treatment, including analgesics, physiotherapy, and active rehabilitation, Mr. Cook can be expected to improve his functional abilities to "do more", "walk further", "sit longer", and "experience less pain". However, even with these interventions, Mr. Cook will "continue to experience ongoing sequelae with pain and secondary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Kagan did not opine on the psychological effects of the collisions, although she did speak with Mr. Cook about the psychological effects of his litigation, and insomnia related to both stress and musculoskeletal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cross-examination, Dr. Kagan conceded a number of points impacting on the soundness of her assumptions, the reliability of her analysis, and ultimately the weight to be given to her opinion. In particular:</w:t>
      </w:r>
      <w:r>
        <w:rPr>
          <w:rFonts w:ascii="arial" w:eastAsia="arial" w:hAnsi="arial" w:cs="arial"/>
          <w:sz w:val="20"/>
          <w:lang w:val="en-US" w:eastAsia="en-US" w:bidi="ar-SA"/>
        </w:rPr>
        <w:cr/>
      </w:r>
    </w:p>
    <w:p>
      <w:pPr>
        <w:numPr>
          <w:numId w:val="7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Kagan agreed that she had been Mr. Cook's family physician since 2006 and did not recall treating him before then. She was shown records indicating that she treated Mr. Cook as a walk in patient at the clinic where she worked in 2003 and 2004. After extensive cross-examination in these records, Dr. Kagan agreed that from 2003 up to 2006, within one month of Collision #1, Mr. Cook consistently reported neck, shoulder, and right knee pain.</w:t>
      </w:r>
    </w:p>
    <w:p>
      <w:pPr>
        <w:numPr>
          <w:numId w:val="7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Kagan agreed that medical history is extremely important because it puts a patient's current or existing complaints in context. She further agreed that in Mr. Cook's case, in preparing her report dated 1 May 2019, she had forgotten about the treatment history prior to Collision #1. She therefore conceded in cross-examination that her assumption that Mr. Cook had no pre-existing complaints or problems was not accurate.</w:t>
      </w:r>
    </w:p>
    <w:p>
      <w:pPr>
        <w:numPr>
          <w:numId w:val="7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questioned about the details of the pre-2006 clinical records, Dr. Kagan agreed that many of Mr. Cook's reports for periods preceding Collision #1 involved subjective complaints that were similar to and sometimes exactly the same as his complaints following Collision #1 and subsequent collisions. These subjective complaints included reported pain in the neck, sciatica, and reported knee problems.</w:t>
      </w:r>
    </w:p>
    <w:p>
      <w:pPr>
        <w:numPr>
          <w:numId w:val="8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Regarding Mr. Cook's work history, the statement in Dr. Kagan's report that Mr. Cook was working in construction came from Mr. Cook himself. Dr. Kagan agreed that Mr. Cook did not consult with or obtain advice from her about whether to go off work. Mr. Cook asked for a note saying he had been off work since 1 October 2006, and Dr. Kagan obliged, relying entirely on what Mr. Cook told her.</w:t>
      </w:r>
    </w:p>
    <w:p>
      <w:pPr>
        <w:numPr>
          <w:numId w:val="8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Kagan did not know who Mr. Cook was working for at time of Collision #1; she did not recall at the time of her testimony that Mr. Cook was self-employed, supervising his own construction project. When Mr. Cook reported to her that he was not working, her assumption was that he was not working at all, meaning he was not doing any work for pay.</w:t>
      </w:r>
    </w:p>
    <w:p>
      <w:pPr>
        <w:numPr>
          <w:numId w:val="8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shown business receipts indicating that Mr. Cook continued to meet frequently with tradespeople throughout late 2006 and all of 2007, Dr. Kagan said she was not aware that Mr. Cook was conducting business meetings at that time; Dr. Kagan testified that she had no idea that this kind of activity was going on at the time she wrote a note to say Mr. Cook was not working.</w:t>
      </w:r>
    </w:p>
    <w:p>
      <w:pPr>
        <w:numPr>
          <w:numId w:val="8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Kagan agreed that although she continued to see Mr. Cook as a patient on a regular basis, she had not conducted any physical examination of him nor did she make any objective observations of his condition in the past four years, from 2016 up to and including 2019.</w:t>
      </w:r>
    </w:p>
    <w:p>
      <w:pPr>
        <w:numPr>
          <w:numId w:val="8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regard to future care, Dr. Kagan's report noted that after the collisions, Mr. Cook was involved in "strengthening exercises at the gym". Dr. Kagan agreed that Mr. Cook had in fact been going to gym before the collisions, but added that this might not have involved the same kind of activity as the post-collision strengthening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My conclusions with respect to Dr. Kagan's opinion are as follows. First, I have been given no reason to question her credibility, and I find that her report and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testimony were given honestly in a genuine effort to meet her duty to the court as an expert witness. With regard to the substance of her evidence, I do have some concerns with the reliability of Dr. Kagan's analysis. These concerns impact on the weight that I am prepared to attach to her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accept Dr. Kagan's general opinion that Mr. Cook suffered "multiple soft tissue injuries" and "right sciatic symptoms" as a result of all four collisions, but I find that this opinion must be qualified by the fact that Mr. Cook had a number of pre-existing unresolved complaints. I find it noteworthy that in her report and at the beginning of her trial testimony, Dr. Kagan appeared to have overlooked the fact that she treated Mr. Cook as a walk-in clinic patient for a period of years before Collision #1. The clinical records over that time frame reveal a history of notable symptoms preceding Collision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cannot accept Dr. Kagan's opinion that Mr. Cook suffered any kind of identifiable disability, for a number of reasons. For one thing, the statements in Dr. Kagan's report appeared to be written on the assumption that prior to the collision Mr. Cook was a construction labourer. Dr. Kagan's report does not acknowledge that Mr. Cook was a self-employed individual whose primary role was to supervise or direct various contractors working on his residential development project. Dr. Kagan did not direct Mr. Cook to go off work, but merely back-dated a letter confirming that he was off work, in circumstances where I find that his work on the Gore Avenue project was more or less the same both before and after Collision #1. For the same reason, I cannot accept Dr. Kagan's opinion that Mr. Cook will continue to have an "ongoing disability" making it unlikely that he will return to any significant full time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With regard to future care, I accept Dr. Kagan's opinion that with continued treatment through analgesics, physiotherapy, and active rehabilitation, Mr. Cook can be expected to improve his functional abilities to "do more", "walk further", "sit longer", and "experience less pain". However, once again I reject Dr. Kagan's suggestion, referenced in the portion of her report dealing with future care, that Mr. Cook will experience ongoing "secondary disability". In general, I find the expert opinion evidence of Dr. Shuckett, discussed below, to be more reliable, more specific, and consequently more valuable to me in assessing the nature and extent of Mr. Cook's injuries and their effects.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(2.16.2) Expert Opinion Evidence of Dr. Shuckett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Shuckett was presented as an expert in rheumatology. I found her qualified to give opinion evidence with respect to general medical conditions, and in particular the etiology, diagnosis, treatment, and prognosis of pain conditions, arthritis, neck and back conditions, hip and knee conditions, and musculoskeletal injuries and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Shuckett prepared an expert report dated 20 July 2010, following a physical examination of Mr. Cook on 23 June 2010, and a review of his medical records to that date, some 3.5 years after Collision #1. In her physical examination, the details of which are set out in paragraph 29 above, Dr. Shuckett noted signs of tenderness on Mr. Cook's right side and limited range of motion with pain upon flexion in his neck and lower back. She saw no indicia of non-organic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Shuckett diagnosed Mr. Cook with the following conditions, as reflected in her expert report and clarified in cross-examination:</w:t>
      </w:r>
      <w:r>
        <w:rPr>
          <w:rFonts w:ascii="arial" w:eastAsia="arial" w:hAnsi="arial" w:cs="arial"/>
          <w:sz w:val="20"/>
          <w:lang w:val="en-US" w:eastAsia="en-US" w:bidi="ar-SA"/>
        </w:rPr>
        <w:cr/>
      </w:r>
    </w:p>
    <w:p>
      <w:pPr>
        <w:numPr>
          <w:numId w:val="8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Whiplash, i.e., musculoligamentous neck injury, and myofascial pain in trigger points in the right neck and shoulder, with some evidence of pre-existing conditions that were exacerbated by Collision #1. In cross-examination, Dr. Shuckett agreed that Mr. Cook had pre-existing sources of pain. She opined that Collision #1 contributed to Mr. Cook's myofascial pain but was unable to offer an opinion on the extent of contribution. Nonetheless, she maintained her position that Collision #1 exacerbated Mr. Cook's pre-existing conditions. Dr. Shuckett also opined that Mr. Cook had a likely or probable pre-disposition to further neck and back injuries due to the cumulative effect of his prior collisions in 1994 and 2003.</w:t>
      </w:r>
    </w:p>
    <w:p>
      <w:pPr>
        <w:numPr>
          <w:numId w:val="8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Mechanical low back pain, musculoligamentous in nature, caused by Collision #1. In this regard, Dr. Shuckett noted a herniated disc which may have been caused by Collision #1 or may be incidental. Dr. Shuckett also noted right sided sciatica, although she saw no evidence of nerve dysfunction.</w:t>
      </w:r>
    </w:p>
    <w:p>
      <w:pPr>
        <w:numPr>
          <w:numId w:val="8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Bilateral knee pain, most likely due to patellar tendonitis and patellar femoral syndrome. In Dr. Kagan's opinion, Mr. Cook's right knee pain was likely attributable to the collision. By contrast, his left knee pain did not emerge until some two years after the collision and may have be unrelated, attributable in part or principally to a torn left meniscus. In cross-examination, Dr. Shuckett agreed that one of Mr. Cook's main complaints was left knee pain, which she ultimately did not attribute to the subject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terms of prognosis, Dr. Shuckett's opinion was that as of 20 July 2010, some 3.5 years after Collision #1, Mr. Cook had likely attained maximum medical improvement. The prognosis for a full recovery was "poor", taking into account Mr. Cook's predisposition to injury due to prior collisions in 1994 and 2003, and the subsequent effects of Collision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With regard to future care, Dr. Shuckett suggested epidural steroid injections to address pain from the herniated disc, but did not make any further recommendations for future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As noted, Dr. Shuckett's initial examination and report were completed in 2010, in the wake of Collision #1. In a follow-up examination of Mr. Cook on 5 September 2019, Dr. Shuckett made physical observations of tenderness in the right neck and shoulder girdle, and also to a lesser degree on the left side, and decreased range of motion in Mr. Cook's shoulders and low back. She once again observed no indicia of non-organic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cross-examination, Dr. Shuckett agreed that many of the underlying records consulted in her initial report (now some 10 years old) have since been destroyed. She conceded some difficulty recalling Mr. Cook's circumstances, but maintained that some of the details came back to her after she read her report. Dr. Shuckett acknowledged that without access to her 2010 report she would not have remembered any of the details or even recognized Mr. Cook.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Shuckett agreed with counsel for the defendants that in conducting an assessment, the subject's reporting is critical. She testified that she will generally rely upon information and reporting from subject unless there is some specific reason to doubt it. In this regard, she generally accepts what a subject says about subjective pain experienced during an examination. For example, observations of tenderness on palpation are dependent upon the subject's report of tenderness, and in the absence of some specific reason to doubt these reactions, Dr. Shuckett will generally take them into account in formulating her opinion. It should be recalled that Dr. Shuckett observed no indicia of non-organic pain during either of her examinations of Mr. Cook.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Shuckett considered Mr. Cook's account of his prior collisions and his pre-collision ulnar nerve treatments to be somewhat vague. She was also unaware of Mr. Cook's prior WCB claim, including the fact that he had been on disability for an extended period of time. She only became aware of some of Mr. Cook's prior injuries from her review of medical records, including records referencing a prior leg injury from an arrest, and a prior hospital visit for neck pain. Dr. Shuckett agreed that there were "gaps" in the information provided by Mr. Cook.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Shuckett confirmed, as stated in her report, that Mr. Cook had pre-existing complaints bearing some similarity to the symptoms she attributed to Collision #1. Dr. Shuckett's opinion was that Collision #1 contributed to Mr. Cook's existing symptoms, but she was unable to say to what extent. In other words, Dr. Shuckett was unable to offer an opinion on the extent to which Mr. Cook's pre-existing conditions were impacted by the subject collision, that is, Collision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Finally, Dr. Shuckett was unable to comment on the extent to which Collision #1 impacted on Mr. Cook's ability to do construction work. She was unaware of extent of construction work Mr. Cook did prior to the collision, but she assumed it was full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Overall, I found Dr. Shuckett's opinion evidence to be balanced, objective, and well-reasoned and I accept her conclusions with respect to the nature, severity, duration, and prognosis of Mr. Cook's injuries in connection with Collision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It is true that Dr. Shuckett's expert report was prepared almost ten years ago, her underlying records have been destroyed, and she had little independent recollection of Mr. Cook's case. Dr. Shuckett conceded in cross-examination that all of this limited her ability to recall the details of Mr. Cook's case; she added that after reviewing her report and conducting a follow-up examination on 5 September 2019, some of the details came back to her. I have taken all of this into account, although I note that Dr. Shuckett was able to answer most of the questions put to her in cross-examination without any significant limitations due to lack of memory or passage of time. And, on the other side of the coin, since Dr. Shuckett's report was in fact prepared closer in time to Collision #1 (some 3.5 years after the event) than much of the other material placed before the court, I have some confidence that the report together with evidence elicited on cross-examination furnish an accurate picture of Mr. Cook's injuries arising from that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principal limitation of Dr. Shuckett's opinion is that it focused more or less exclusively on Collision #1. As far as Collisions #2 through #4 are concerned, Dr. Shuckett's report serves only as a baseline against which to consider more recent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(2.16.3) Expert Opinion Evidence of Mr. Lauder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Lauder is a kinesiologist and occupational therapist. I recognized him as an expert in occupational therapy, work capacity evaluation, and functional capacity evaluation, qualified to give opinion evidence with respect to (i) assessment, rehabilitation, remediation of physical function within the field of occupational therapy, (ii) physical disabilities related to employment requirements and rehabilitation and remediation of same within the field of occupational therapy, and (iii)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Lauder conducted a functional capacity assessment of Mr. Cook on 30 April 2019. Mr. Cook exhibited a high level of effort during testing, with some inconsistencies in the accuracy of his subjective reports, and some tendency to focus on limitations rather than on functional abilities. In Mr. Lauder's opinion, Mr. Cook reported somewhat higher levels of disability than those observed in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Lauder offered an opinion that, occupationally, Mr. Cook is not physically capable of meeting all of the job demands of his stated pre-collision occupation as a "construction worker". He is presently unable to work at his pre-collision functional capacity. More specifically, Mr. Cook is limited in sustained overhead reaching, sustained neck extension, and sustained kneeling and stooping. In the construction trade, Mr. Cook would require assistance from co-workers in addition to or together with modifications to his job demands and schedule. More generally, he has limitations for working in occupations beyond certain physical strength, endurance, range of motion parameters. Recreationally, Mr. Cook is limited in activities that require stopping. Domestically, Mr. Cook is able to do basic housework but is limited in his ability complete heavier or more arduous tasks such as seasonal yard work and household maintenance and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cross-examination:</w:t>
      </w:r>
      <w:r>
        <w:rPr>
          <w:rFonts w:ascii="arial" w:eastAsia="arial" w:hAnsi="arial" w:cs="arial"/>
          <w:sz w:val="20"/>
          <w:lang w:val="en-US" w:eastAsia="en-US" w:bidi="ar-SA"/>
        </w:rPr>
        <w:cr/>
      </w:r>
    </w:p>
    <w:p>
      <w:pPr>
        <w:numPr>
          <w:numId w:val="8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Lauder agreed that he was unable to ascertain the extent to which the functional limitations described above could be attributed to each of the four collisions, or to prior or intervening injuries or conditions.</w:t>
      </w:r>
    </w:p>
    <w:p>
      <w:pPr>
        <w:numPr>
          <w:numId w:val="8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terms of the diagnosis of Mr. Cook's conditions, Mr. Lauder relied primarily on the opinion of Mr. Cook's treating physician, Dr. Kagan.</w:t>
      </w:r>
    </w:p>
    <w:p>
      <w:pPr>
        <w:numPr>
          <w:numId w:val="9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Relying upon Mr. Cook's stated occupation as of "the date of loss" for Collision #1, Mr. Lauder conducted his functional capacity analysis on the basis of whether Mr. Cook had the capacity to perform all the tasks of a construction worker. Mr. Lauder did not consider whether Mr. Cook was capable of working as a supervisor on a construction project.</w:t>
      </w:r>
    </w:p>
    <w:p>
      <w:pPr>
        <w:numPr>
          <w:numId w:val="9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Lauder agreed that his opinion only goes as far as to say that Mr. Cook is not capable of meeting the requirements of a construction job with heavy physical demands. This does not mean Mr. Cook lacks the capacity to do work of any kind. For example, Mr. Lauder did not consider whether Mr. Cook had the capacity to work in the film industry or as a by-law officer.</w:t>
      </w:r>
    </w:p>
    <w:p>
      <w:pPr>
        <w:numPr>
          <w:numId w:val="9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Lauder was unaware that Mr. Cook had made WCB claims or had previously been off work for any period of time in connection with WCB claims.</w:t>
      </w:r>
    </w:p>
    <w:p>
      <w:pPr>
        <w:numPr>
          <w:numId w:val="9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Lauder noted that Mr. Cook's range of motion in the neck, back, shoulders, and legs were all within normal parameters. Mr. Cook's function was well above industry standards for construction workers in relation to a number of activities including walking, stair climbing, and kneeling. The only standards he failed to meet were overhead reaching and balance. In giving this testimony, Mr. Lauder clarified that measurements of industrial standards can be misleading because they are based entirely on speed. Mr. Lauder also clarified in re-examination that although Mr. Cook did the tests quickly, he displayed "compensatory behaviours".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Lauder also prepared a costs of future care report, the particulars of which will be addressed when reviewing Mr. Cook's claim for costs of future care. For present purposes, I will simply note the following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First, with regard to medication costs, since Mr. Lauder was not in a position to opine on causation, he was unable to say which of the drug costs listed on his report would be required to treat Mr. Cook's collision-related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Second, with regard to occupational therapy and physiotherapy, Mr. Lauder agreed that future treatment under these categories should be time-limited. Mr. Lauder testified that he made recommendations for occupational therapy and physiotherapy plans of specified frequency and duration. Insofar as occupational therapy is concerned, Mr. Lauder's costs of future care report recommends six to eight sessions, plus one session for assessment of home care needs, classified as one-time "fixed costs", for a total cost ranging from $1,554 to $1,998. However, with respect to physiotherapy, Mr. Lauder's report is ambiguous as to duration of treatment. It recommends weekly sessions at an annual cost of $4,800 per year, classified as a "fixed cost", without specifying any duration. In support of this recommendation, Mr. Lauder's report cites the opinion of Dr. Kagan and input from Mr. Leyland-Harris, both of whom testified at trial. Dr. Kagan indicates that physiotherapy would be of benefit to Mr. Cook in managing "acute spam flares and pain", with no specification as to the duration of treatment. The input from Mr. Leyland-Harris was that Mr. Cook would benefit from "once a week treatment for the foreseeable future to manage his acute spasms and pain". Thus, while Mr. Lauder agreed in cross-examination that Mr. Cook's physiotherapy should be time-limited, the costs of future care report does not propose a treatment time 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Third, when asked about Mr. Cook's prior use of a personal trainer, Mr. Lauder was unaware that Mr. Cook had spent some $24,000 on a personal trainer from 2011 to 2013. Mr. Lauder did not support or recommend personal fitness training at that level and could not comment on the value or utility of the personal trainer services previously received by Mr. Cook.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Fourth, Mr. Lauder maintained his recommendation that Mr. Cook should receive an annual gym membership as set out in his report. Mr. Lauder recommended a gym membership to address and treat "all of the limitations" observed in the functional capacity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My conclusions with respect to Mr. Lauder's opinion evidence are as follows:</w:t>
      </w:r>
      <w:r>
        <w:rPr>
          <w:rFonts w:ascii="arial" w:eastAsia="arial" w:hAnsi="arial" w:cs="arial"/>
          <w:sz w:val="20"/>
          <w:lang w:val="en-US" w:eastAsia="en-US" w:bidi="ar-SA"/>
        </w:rPr>
        <w:cr/>
      </w:r>
    </w:p>
    <w:p>
      <w:pPr>
        <w:numPr>
          <w:numId w:val="9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that Mr. Lauder made a genuine effort to offer an objective opinion regarding the extent to which Mr. Cook has suffered an impairment of his functional capacity, both in the work place and in other aspects of his life.</w:t>
      </w:r>
    </w:p>
    <w:p>
      <w:pPr>
        <w:numPr>
          <w:numId w:val="9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I find Mr. Lauder's key conclusion regarding occupational capacity - namely that Mr. Cook is unable to meet the physical demands of his occupation as a construction worker - to be unhelpful and inapt because it rests on an inaccurate description of Mr. Cook's occupation as explained below.</w:t>
      </w:r>
    </w:p>
    <w:p>
      <w:pPr>
        <w:numPr>
          <w:numId w:val="9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Lauder conducted his entire functional capacity analysis on the premise that Mr. Cook's occupation was that of a construction worker. In fact, Mr. Cook has never worked in the capacity of a construction worker, at any point before or after Collision #1. At the time of Collision #1, Mr. Cook was a self-directed supervisor of a residential construction project. He contributed physical labour, when he could, in hopes of increasing his profit margin.</w:t>
      </w:r>
    </w:p>
    <w:p>
      <w:pPr>
        <w:numPr>
          <w:numId w:val="9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Lauder expressly conceded in cross-examination that his functional capacity opinion was focused exclusively on Mr. Cook's capacity to meet the requirements of a construction job with heavy physical demands. The corollary of this is that Mr. Lauder could not say Mr. Cook lacked the capacity to do other kinds of work.</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note Mr. Lauder's observation that during his functional capacity evaluation on 5 April 2019, Mr. Cook's range of motion in the neck, back, and shoulders, and legs were all within normal parameters. This is potentially inconsistent with the evidence of Dr. Shuckett, who testified that in her most recent examination of Mr. Cook on 5 September 2019 she made objective observations of decreased range of motion in Mr. Cook's shoulders and low back. However, I would attribute this difference to the fact that both Mr. Lauder's functional capacity assessment and Dr. Shuckett's follow-up examination were nothing more than "snap shots" of Mr. Cook's physical condition and presentation on the dates in question. Mr. Cook's care providers testified about changes in his physical presentation and posture at the beginning and end of each treatment session. It is therefore not surprising that on some occasions Mr. Cook may present with limited range of motion and on other occasions he may present with little or no such restrictions.</w:t>
      </w:r>
    </w:p>
    <w:p>
      <w:pPr>
        <w:numPr>
          <w:numId w:val="9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Mr. Lauder's opinion that (i) recreationally, Mr. Cook is limited in activities that require stopping, and (ii) domestically, he is limited in his ability to complete heavier or more arduous tasks such as seasonal yard work and household maintenance and repair.</w:t>
      </w:r>
    </w:p>
    <w:p>
      <w:pPr>
        <w:numPr>
          <w:numId w:val="10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Mr. Lauder's opinions concerning costs of future care, subject to the limitations and qualifications set out at paragraphs 94 to 97 above.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(2.16.4) Expert Opinion Evidence of Dr. Hirsch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Hirsch was called by the defendants as an expert in physical medicine. I ruled that Dr. Hirsch was qualified to provide opinion evidence with respect to the diagnosis, medical management and rehabilitation of persons with disorders or injuries of the spine, brain, neurological and neuromuscular systems, musculoskeletal conditions and injuries, and neurological and musculoskeletal pain syndromes.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Hirsch conducted an interview and physical examination of Mr. Cook on 25 March 2019 and completed an expert report on the same date. Dr. Hirsch's report notes that in the interview, Mr. Cook would not volunteer any information about his health or function prior to Collision #1, taking the position that this personal information was not relevant to Dr. Hirsch's assessment. As a result, Dr. Hirsch's consideration of prior medical history was limited to a review of Mr. Cook's medical records. In cross-examination, Dr. Hirsch said he could not recall if Mr. Cook stopped the interview to try and consult with his lawyer, but accepted that this may have happened. Dr. Hirsch further agreed that over the course of the interview, Mr. Cook became more cooperative and more willing to share information, particularly as regards the collisions and their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his physical examination, Dr. Hirsch noted that Mr. Cook presented with normal posture and pelvic alignment, and no apparent limitations on range of motion. Dr. Hirsch was cross-examined at length regarding the process he followed during the physical examination, and his ability to recall the details later, given that he made no notes or other records during the examination. Dr. Hirsch testified that his physical examination of Mr. Cook lasted some 20 minutes, during which he made anatomical observations and mental notes of any abnormalities. He conceded that he did not use any devices nor take any specific measurements, repeating that he merely noted any abnormalities with the intention of referencing them in his report. Although he did not take any written notes during the examination itself, immediately after the exam he dictated the results, which were later transcribed into his report. Dr. Hirsch frankly admitted that he had no independent recollection of the examination at the time of his testimony, explaining that the results of the exam are as set out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Hirsch did not observe any "pelvic upslip". In cross-examination, he expressed doubt about whether such a condition could be effectively treated manually. He explained that the sacroiliac is the strongest joint in the body, hence the suggestion that one could change a subject's hip position by manual therapy is "absurd". In any event it would inevitably move back into misalignment. Dr. Hirsch did say that what might look like a pelvic misalignment might actually be some other issue. A person could adjust posture as a result of pain, giving an appearance of pelvic misalignment. Dr. Hirsch agreed that the underlying pain could be addressed and reduced by manual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his report, Dr. Hirsch noted a "Waddell score" of 3/5, due to (i) a positive simulation test, (ii) a positive distraction test, and (iii) superficial tenderness. The 3/5 Waddell score was indicative of "exaggerated illness behaviour in individuals who present with low back pain". Dr. Hirsch was cross-examined extensively on his use of Waddell's tests. He maintained that he did not use the tests to determine whether Mr. Cook was being truthful, but only to determine whether there was an anatomical cause for the pain expressed by Mr. Cook. Dr. Hirsch's testimony revealed considerable familiarity with the technique and its utility, including authorship of several peer-reviewed articles on the topic. He explained that someone with a positive Waddell's test is exhibiting abnormal illness behaviour. Dr. Hirsch also accepted that Waddell's test has no real value in identifying myofascial pain, which may not have a clear anatomical source. Thus, Waddell's test cannot be used to determine whether a personal actually has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will summarize the substance of Dr. Hirsch's opinion evidence in six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First, Dr. Hirsch conducted a review of Mr. Cook's WCB records, as a result of which he concluded that Mr. Cook had "recalcitrant upper extremity pains" dating back to a work-related incident in 1989, as a result of which he did not work for 12 years. After 2002, when all of Mr. Cook's WCB appeals had been denied, there was "no indication of any residual upper extremity symptoms" in Mr. Cook's medical records. Dr. Hirsch found this "very difficult to understand". Given the tangential relevance of Mr. Cook's history of ulnar nerve conditions to his present complaints, I consider this aspect of Dr. Hirsch's report to be an exercise in rhetoric that only served to detract from the objectivity of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Second, Dr. Hirsch offered a number of opinions with respect to Collision #1 and its effects. In particular:</w:t>
      </w:r>
      <w:r>
        <w:rPr>
          <w:rFonts w:ascii="arial" w:eastAsia="arial" w:hAnsi="arial" w:cs="arial"/>
          <w:sz w:val="20"/>
          <w:lang w:val="en-US" w:eastAsia="en-US" w:bidi="ar-SA"/>
        </w:rPr>
        <w:cr/>
      </w:r>
    </w:p>
    <w:p>
      <w:pPr>
        <w:numPr>
          <w:numId w:val="10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regard to neck and shoulder symptoms, Dr. Hirsch's opinion was that as a "worst case scenario", Mr. Cook suffered "minor injuries to his neck and right shoulder region" in Collision #1. There was no indication that Mr. Cook sustained any more significant "structural damage" to his neck, such as a fracture, disc protrusion, or herniation. I do not consider this aspect of Dr. Hirsch's opinion to be helpful. It misses the point. The diagnoses offered by both Dr. Kagan and Dr. Shuckett was that Mr. Cook suffered soft tissue injuries to his neck and right shoulder. Dr. Hirsch's characterization of the injuries as minor based on the fact that there was no "structural damage" adds nothing and is of no assistance to me.</w:t>
      </w:r>
    </w:p>
    <w:p>
      <w:pPr>
        <w:numPr>
          <w:numId w:val="10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Mr. Cook's leg pain:</w:t>
      </w:r>
    </w:p>
    <w:p>
      <w:pPr>
        <w:numPr>
          <w:numId w:val="10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Hirsch noted the emergence of symptoms in November 2006, following Collision #1. However, Mr. Cook had prior complaints of sciatica in 2000, and prior complaints of right knee pain following a collision in 2003. In cross-examination, Dr. Hirsch agreed that prior issues of sciatica and right knee problems could contribute to the effect of subsequent injuries, including injuries from Collision #1 in 2006. I accept this aspect of Dr. Hirsch's opinion.</w:t>
      </w:r>
    </w:p>
    <w:p>
      <w:pPr>
        <w:numPr>
          <w:numId w:val="10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onset of left knee pain did not occur until 2.5 years after Collision #1. In particular, an imaging scan revealed a complex medial meniscal tear for which Mr. Cook had successful arthroscopic surgery in 2009. Dr. Hirsch's opinion was that Mr. Cook's left knee impairment and resultant activity limitations were entirely unrelated to the 2006 collision. I accept this aspect of Dr. Hirsch's opinion, which is basically consistent with the conclusion I would draw from Dr. Shuckett's opinion on this point.</w:t>
      </w:r>
    </w:p>
    <w:p>
      <w:pPr>
        <w:numPr>
          <w:numId w:val="10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tests subsequent to Collision #1 showed disc abnormality in the form of an L5S1 disc protrusion, in Dr. Hirsch's opinion this was incidental and not causally connected to Collision #1. This opinion differs somewhat from the opinion of Dr. Shuckett, who was unable to say one way or the other whether the disc herniation was causally connected to Collision #1. In my view, Dr. Shuckett's evidence was generally more balanced and objective than that of Dr. Hirsch, and I prefer it for that reason, although the difference between the two opinions is only very slight on this point.</w:t>
      </w:r>
    </w:p>
    <w:p>
      <w:pPr>
        <w:numPr>
          <w:numId w:val="10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cross-examination, Dr. Hirsch conceded that he could not rule out "chronic pain" from Collision #1, and agreed that if Mr. Cook did have chronic pain from this event, it would make him more susceptible to further injury in subsequent collisions. I accept, based principally on the opinion evidence of Dr. Shuckett, supported by the opinion evidence of Dr. Kagan, that Mr. Cook in fact suffered "chronic pain" from Collision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Third, Dr. Hirsch offered an opinion with regard to Collisions #2, #3, and #4, namely that Mr. Cook "probably suffered injuries to neck and back", likely limited to soft tissue structures such as muscles, tendons, and ligaments. There was no indication of any "more significant structural damage" such as fracture, disc herniation or protrusion, or spinal instability. Dr. Hirsch opined that it would have been "reasonable" for Mr. Cook to suffer "a temporary period of partial social, vocational, and recreational limitation of four to eight months" for Collision #2 in 2011, Collision #3 in 2015, and Collision #4 in 2016. I do not accept the latter aspect of Dr. Hirsch's opinion regarding collisions #2, #3, and #4. The question is not what duration of symptoms Dr. Hirsch considers to be "reasonable" based on some abstract notion of what one would normally expect, but what duration of symptoms Mr. Cook actually experienced.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Fourth, Dr. Hirsch provided an opinion regarding Mr. Cook's reports of "multisite axial skeletal pain". Dr. Hirsch's assessment revealed "superficial tenderness", along with a number of "inconsistencies" suggesting exaggerated pain behavior that may or may not be intentional. Based on all of this, a diagnosis of "myofascial pain disorder" could "neither be ascertained nor ruled out" by Dr. Hirsch. In cross-examination, Dr. Hirsch conceded that any such myofascial pain disorder could lead to chronic or permanent pain. Thus Dr. Hirsch could not rule out that Mr. Cook had suffered chronic pain in the wake of these collisions. Relying on the testimony of Dr. Kagan and the evidence of Mr. Cook himself and his treatment providers, I accept that Mr. Cook suffered chronic pain in the wake of collisions #2, #3, and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Fifth, Dr. Hirsch's opinion with respect to future functionality was that Mr. Cook would not experience any limitations in his social, vocational, or recreational capacity as a result of the subject collisions. I do not accept this conclusion entirely. I find, based on the results of Mr. Lauder's functional capacity evaluation, the evidence of Mr. Cook himself, and the evidence of Mr. Cook's treatment providers, that Mr. Cook has experienced and will continue to experience minor limitations on his social and recreational activities. With respect to the impact on his vocational capacities, the evidence of Mr. Lauder is that Mr. Cook is only limited in his capacity to work in construction or other occupations involving heavy physical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Sixth and finally, with regard to future treatment, Dr. Hirsch opined that Mr. Cook should continue with his "well established exercise program", but was not supportive of "passive treatments" such as physical modalities, massage, or chiropractic treatments. In cross-examination, Dr. Hirsch expressed the view that even if passive modalities such as massage and acupuncture relieve the patient's pain on a temporary basis, he would not support such techniques unless they actually progress the patient's condition. A patient who merely goes to physiotherapy every week, even if able to obtain temporary relief from pain, is not progressing and thus the treatment is of no long term benefit. Any relief is partial and temporary. In Dr. Hirsch's view, pain management is only relevant insofar as the pain interferes with function. Treatment should be time specific and goal oriented.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re-examination, Dr. Hirsch maintained that nothing he said in cross-examination altered the opinion in his report that there is no further benefit to passive treatment modalities in Mr. Cook's case. Dr. Hirsch agreed that he is not himself an expert in physiotherapy, but explained that his role as a physician includes recommending, prescribing, and monitoring results of physiotherapy treatment for his patients. A patient obtains physiotherapy in accordance with his recommended course of medical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On this sixth point, the issue of future treatment, I accept Dr. Hirsch's opinion that the passive modalities of treatment Mr. Cook has been receiving are not likely to yield any long term improvement in his condition. This conclusion is entirely consistent with the evidence of Mr. Cook's treatment providers. As to whether treatment of this nature qualifies for an award of special damages or costs of future care, those are legal questions that will be addressed later in these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(2.16.5) Expert Opinion Evidence of Dr. O'Shaughnessy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O'Shaughnessy was tendered by the defendants as an expert in psychiatry. I found him to be qualified to give expert opinion evidence with respect to diagnosis, prognosis, medical management and rehabilitation of persons with psychiatric disorders. Dr. O'Shaughnessy was cross-examined at length regarding his qualifications, but in the end I was satisfied that he was amply qualified to present expert evidence in the subject matters described above. Dr. O'Shaughnessy was one of the founding members of the sub-specialty of forensic psychiatry in Canada. He was never required to write the certification exam, but that is because he was one of five doctors involved in developing the content of the certification exams in the first place. At the time that he gave his testimony, Dr. O'Shaughnessy had largely wound down his clinical practice, but his involvement in the field of forensic psychiatry has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O'Shaughnessy met with Mr. Cook on 3 April 2019 for the purposes of an evaluation of his psychological condition. The interview took just under three hours. Dr. O'Shaughnessy subsequently conducted an analysis of available records. He made 37 pages of interview notes and a further 22 pages of notes summarizing relevant contents of Mr. Cook's records. Dr. O'Shaughnessy found Mr. Cook a difficult person to interview because he was initially uncooperative and not inclined to answer questions, although he became more open as the interview progressed.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Ultimately, Dr. O'Shaughnessy formed the opinion that Mr. Cook suffered from: (i) a delusional disorder, persecutory in nature, focused on the belief that there has been a conspiracy between ICBC, the Vancouver Police Department ("VPD"), and the Royal Canadian Mounted Policy ("RCMP") to investigate and suppress him, and (ii) a major depressive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Dr. O'Shaughnessy's opinion, Mr. Cook suffers from a delusional disorder with the following features:</w:t>
      </w:r>
      <w:r>
        <w:rPr>
          <w:rFonts w:ascii="arial" w:eastAsia="arial" w:hAnsi="arial" w:cs="arial"/>
          <w:sz w:val="20"/>
          <w:lang w:val="en-US" w:eastAsia="en-US" w:bidi="ar-SA"/>
        </w:rPr>
        <w:cr/>
      </w:r>
    </w:p>
    <w:p>
      <w:pPr>
        <w:numPr>
          <w:numId w:val="10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a number of facets to Mr. Cook's supposed delusion, all having to do with an alleged conspiracy between ICBC, VPD, and the RCMP.</w:t>
      </w:r>
    </w:p>
    <w:p>
      <w:pPr>
        <w:numPr>
          <w:numId w:val="10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One facet of the conspiracy is focused on a belief that ICBC improperly shared Mr. Cook's cell phone number with the VPD. Mr. Cook was disputing a traffic ticket, obtained an order for disclosure, and then received an unsolicited phone call from the officer who issued the ticket. Mr. Cook believes ICBC must have shared his cell phone number with the officer.</w:t>
      </w:r>
    </w:p>
    <w:p>
      <w:pPr>
        <w:numPr>
          <w:numId w:val="10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Another facet of the conspiracy is focused on the fact that Mr. Cook's common law partner Ms. Behrenz was initially accepted into the RCMP, then told one or two days later that her application was rejected. Mr. Cook believes Ms. Behrenz was not hired because of police suspicions about his connections to an outlaw motorcycle gang.</w:t>
      </w:r>
    </w:p>
    <w:p>
      <w:pPr>
        <w:numPr>
          <w:numId w:val="1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third facet is a belief that an ICBC investigator had been following Mr. Cook and engaged in various forms of inappropriate conduct including attempts to entrap him by proposing to sell him stolen liquor.</w:t>
      </w:r>
    </w:p>
    <w:p>
      <w:pPr>
        <w:numPr>
          <w:numId w:val="1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Over time Mr. Cook became preoccupied with a belief that he was being persecuted. It "consumed him" for a number of years. He has stated on multiple occasions that he "lives, eats, and breathes" ICBC, or a variation of that phrase. He claims to have spent hundreds of thousands of dollars on legal fees. He has also spent as much as 12 to 14 hours per day pursuing freedom of information ("FOI") requests and writing letters, although he has subsequently reduced the amount of time spent on such matters.</w:t>
      </w:r>
    </w:p>
    <w:p>
      <w:pPr>
        <w:numPr>
          <w:numId w:val="1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His fixation on FOI requests, investigations, and ICBC litigation has had a significant toll on his personal relationships, contributing to his break up with Ms. Behrenz, and causing him to lose contact with friends and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O'Shaughnessy explained that delusional disorders are not caused by traumatic events. On this basis, Dr. O'Shaughnessy opined that Mr. Cook's delusional disorder was not caused by the collisions, although his delusional beliefs have impacted on his post-collision behaviour. Dr. O'Shaughnessy maintained this position on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Importantly, Dr. O'Shaughnessy acknowledged in his report that his diagnosis of delusional disorder was based on the assumption that Mr. Cook's beliefs about a conspiracy against him are untrue. In this regard, during the assessment interview Mr. Cook claimed to have documents that would support his allegations. Dr. O'Shaughnessy said he would be prepared to alter his opinion if the documents were found to affirm Mr. Cook's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cross-examination, Dr. O'Shaughnessy testified that a delusion is a fixed belief that is false and cannot be dispelled by reason. He further clarified that "rumination", which he described as a fixation or obsessive thought about a particular issue, does not amount to delusion. Dr. O'Shaughnessy's opinion is that Mr. Cook is fixated on a false belief or set of beliefs. Mr. Cook in effect suffers from paranoid delusions.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When asked how he determined Mr. Cook's beliefs to be false, Dr. O'Shaughnessy explained that in large measure it is a judgment call. In Mr. Cook's case, Dr. O'Shaughnessy concluded that Mr. Cook's beliefs were false based on a constellation of factors including his preoccupation with them, his over-reactive responses and behaviour when challenged about them, and the fact that the beliefs do not fit with common sense based on Dr. O'Shaughnessy's own life experience. Dr. O'Shaughnessy testified that when offered the opportunity to see documents to support Mr. Cook's beliefs, he declined because his understanding of the litigation process was that documents are supposed to go through lawyers. In the result, Mr. Cook offered to show the doctor a collection of documents that would support his beliefs, and the doctor never saw or reviewed them. Thus Dr. O'Shaughnessy's opinion that Mr. Cook's beliefs are entirely without foundation rests at least in part on an untested or unverified assumption that Mr. Cook has no independent or corroborating documentation.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O'Shaughnessy disagreed with the suggestion put to him in cross-examination that Mr. Cook's reaction to the collisions and ICBC's alleged failure to provide assistance may have been the driving force behind his preoccupation with perceived wrongs. In Dr. O'Shaughnessy's view, this explanation did not fit with the history of Mr. Cook's delusional condition, which goes back to 2005, prior to the first collision. The strength or intensity of Mr. Cook's delusional belief has since grown over time. Dr. O'Shaughnessy did agree with the proposition put to him by Mr. Cook's counsel that one reason people get upset with and potentially fixated upon agencies like ICBC and WCB is a perception that they are not receiving fair treatment, and that sometimes this perception can be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O'Shaughnessy repeated in cross-examination that there is a link between delusional disorder and depression. Sometimes depression itself can cause a delusional disorder, and sometimes a delusional disorder can cause depression. Dr. O'Shaughnessy's opinion was that in this case Mr. Cook's delusional disorder was the cause of his depression, because Mr. Cook's fixation on the delusion has drained his energy and dramatically affected his relationships and behavior.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O'Shaughnessy maintained on cross-examination that he was not able to opine on causation of the delusional disorder, but also noted that delusional disorders are not caused by physical trauma such as car accidents. Although Dr. O'Shaughnessy could not say when Mr. Cook's delusional condition began, he noted that the first incident cited by Mr. Cook (the traffic ticket incident) took place in 2005. Dr. O'Shaughnessy added that Mr. Cook's prior preoccupation with his WCB claim may have been delusional, but he could not say for 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Finally, I note that Dr. O'Shaughnessy was cross-examined at length with regard to the details of his conversation with Mr. Cook during the assessment interview. Among other things, counsel cross-examined Dr. O'Shaughnessy on precise words or phrases noted in his interview notes. I did not find this aspect of the cross-examination to be of any value in assessing the credibility, reliability, accuracy or weight of Dr. O'Shaughnessy's opinions. My overall impression of the evidence on this point is that sometimes the words recorded in Dr. O'Shaughnessy's interview notes were words used by Mr. Cook, and sometimes they were the doctor's words or conclusions based on what Mr. Cook said. The notes do not purport to be a verbatim record of everything Mr. Cook said during the interview with Dr. O'Shaughnessy. In any event, I see no indication in the record that Dr. O'Shaughnessy's notes were materially inaccurate, or that they materially misstated what Mr. Cook said during the interview, even on Mr. Cook's own account of the interview as furnished in his trial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With all due respect to Dr. O'Shaughnessy's considerable experience in the field of forensic psychiatry, and his careful and professional analysis of this particular case, I cannot accept the central aspect of opinion, namely that Mr. Cook suffers from a delusional disorder. The crux of this disorder, as I understand it, is the subject's preoccupation with a fixed, false belief. Although Dr. O'Shaughnessy described Mr. Cook's alleged delusional belief system as a "conspiracy", that appears to be a term used to describe Mr. Cook's overall set of beliefs; I did not understand Mr. Cook to ever allege a grand conspiracy in which all of the perceived wrongs against him were part of a single overall objective or agreement between the various institutions involved. There is compelling evidence that Mr. Cook has what I would consider to be a disproportionate, unproductive, and even self-destructive preoccupation with a certain set of beliefs concerning the manner in which he has been treated by ICBC and various police agencies. However, I cannot accept on the evidence presented at this trial that the basic elements of Mr. Cook's belief are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For example, it may or may not be true that someone at ICBC shared certain information about Mr. Cook - i.e. a phone number - with the police. The information may well have been benign, the sharing of it may or may not have been impermissible, and Mr. Cook's preoccupation with this information sharing may be completely out of proportion to its significance. Nonetheless, I cannot conclude on the evidence adduced at this trial that the underlying belief itself is false. Hence, I cannot accept Dr. O'Shaughnessy's conclusion that Mr. Cook's belief is delusional. However disproportionate and unproductive Mr. Cook's reactions may be, I cannot say his underlying belief about ICBC's sharing of a piece of information with the police is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Similarly, it may or may not be true that Mr. Cook's former partner was originally told she would be hired by the RCMP, only to later be told that she would not be hired, based on some information the police learned about Mr. Cook's association with "unsavoury characters". As discussed in greater detail below, Mr. Cook himself harbours a suspicion that some of his former business clients were "unsavoury characters". It would not be surprising to learn that the police do security checks on applicants and close family members. Once again, I cannot conclude on the record before me that there is no kernel of truth to Mr. Cook's underlying belief about why the RCMP declined to hire his former partner. Hence I cannot conclude that Mr. Cook's belief about this matter is part of a delusional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What remains of Dr. O'Shaughnessy's expert opinion is his diagnosis of major depressive disorder. Dr. O'Shaughnessy explained that during his assessment interview Mr. Cook admitted to experiencing feelings of low energy, diminished joy, loss of interest, and occasional or intermittent panic attacks. In terms of timing, Dr. O'Shaughnessy opined that the depression first emerged following Mr. Cook's breakup with Mr. Behrenz in 2017, and has since gotten worse to the point where Mr. Cook now has a major depressive disorder. With regard to treatment of this condition, Dr. O'Shaughnessy opined that Mr. Cook's depressive disorder has likely been brought about or "triggered" at least in part by his delusional beliefs. I do not accept that aspect of the opinion. Dr. O'Shaughnessy further opined that Mr. Cook's depression could be successfully treated with anti-depressants, an opinion which was not challenged by either party and which I accept.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(2.17) Conclusions as to Nature, Extent and Duration of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Considering all of the opinion evidence, together with the testimony of Mr. Cook himself, and the evidence of his treatment providers, my conclusions with respect to the nature, extent, and duration of Mr. Cook's injuries are as follows:</w:t>
      </w:r>
      <w:r>
        <w:rPr>
          <w:rFonts w:ascii="arial" w:eastAsia="arial" w:hAnsi="arial" w:cs="arial"/>
          <w:sz w:val="20"/>
          <w:lang w:val="en-US" w:eastAsia="en-US" w:bidi="ar-SA"/>
        </w:rPr>
        <w:cr/>
      </w:r>
    </w:p>
    <w:p>
      <w:pPr>
        <w:numPr>
          <w:numId w:val="1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Collision #1, Mr. Cook's injuries consisted of (i) whiplash-type soft tissue injuries leading to myofascial pain with trigger points in his right neck and shoulder, (ii) soft tissue injury leading to low back pain and right-sided sciatica, and (iii) right knee pain. In respect of all these injuries, Mr. Cook had pre-existing complaints, the significance of which is addressed in the causation and damages portion of these reasons.</w:t>
      </w:r>
    </w:p>
    <w:p>
      <w:pPr>
        <w:numPr>
          <w:numId w:val="1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Cook's left knee condition, attributable to a torn meniscus which did not become symptomatic until some two years after Collision #1, was incidental and unrelated to Collision #1.</w:t>
      </w:r>
    </w:p>
    <w:p>
      <w:pPr>
        <w:numPr>
          <w:numId w:val="1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Mr. Cook's back pain, I am unable to make any factual finding as to the cause of the herniated disc. However, on the evidence presented in this trial I do not attach any significance to that particular condition beyond a mere label. At a practical level, the evidence satisfies me that Mr. Cook's neck, shoulder and back symptoms, and his left-sided sciatica, are all interrelated, with the most significant and enduring physical symptom being a postural problem manifesting itself as a misalignment of the pelvis (referred to by the witnesses as a "pelvic rotation" or a "pelvic upslip"). This condition first emerged during treatment by Ms. Martens in November 2006, several months after Collision #1.</w:t>
      </w:r>
    </w:p>
    <w:p>
      <w:pPr>
        <w:numPr>
          <w:numId w:val="1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June 2010, more than 3.5 years after Collision #1, Mr. Cook's symptoms were unresolved and he continued to suffer from chronic soft tissue pain in his neck, shoulder, and back, going into his legs.</w:t>
      </w:r>
    </w:p>
    <w:p>
      <w:pPr>
        <w:numPr>
          <w:numId w:val="1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Collisions #2, #3, and #4, Mr. Cook received soft tissue injuries further exacerbating the effects of Collision #1 and his unresolved pre-existing conditions.</w:t>
      </w:r>
    </w:p>
    <w:p>
      <w:pPr>
        <w:numPr>
          <w:numId w:val="11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most significant and lasting physical symptoms of Mr. Cook's injuries consist of chronic soft tissue pain, right-sided sciatica, and posture problems described in the evidence as a "pelvic rotation" or "pelvic upslip". There is, I find, compelling objective evidence from Mr. Cook's treatment providers of this pelvic upslip. I accept the opinion evidence of Dr. Hirsch that the pelvic upslip is likely not a function of any misalignment of Mr. Cook's sacroiliac joint itself, but is more likely a result of Mr. Cook adjusting his posture to accommodate for chronic pain, giving an outward appearance of pelvic misalignment. Passive physiotherapy techniques afford temporary relief, but the upslip generally returns in between treatment sessions.</w:t>
      </w:r>
    </w:p>
    <w:p>
      <w:pPr>
        <w:numPr>
          <w:numId w:val="1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terms of prognosis for Mr. Cook's physical injuries, I accept the opinion of Dr. Shuckett that by June of 2010 the symptoms from Collision #1 had become chronic. I find further based on the evidence of Dr. Kagan, Dr. Shuckett, and Mr. Cook's treatment providers that based upon Mr. Cook's soft tissue pain in the neck, shoulder, and back, ride-sided sciatica, and pelvic upslip, he will "continue to experience ongoing sequelae with pain".</w:t>
      </w:r>
    </w:p>
    <w:p>
      <w:pPr>
        <w:numPr>
          <w:numId w:val="1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terms of treatment for Mr. Cook's physical injuries, I find, based on the evidence of Dr. Kagan, Mr. Lauder, and Mr. Cook's treatment providers that Mr. Cook's chronic pain and postural problems can be treated and managed by passive modalities of physiotherapy such as massage, active release, and dry needling. These treatments may assist by, among other things, adjusting or correcting Mr. Cook's posture, although the pelvic upslip is likely to return so long as Mr. Cook continues to experience chronic pain, which at this point is chronic. I further accept the evidence of Mr. Lauder that Mr. Cook can benefit from a self-directed exercise program.</w:t>
      </w:r>
    </w:p>
    <w:p>
      <w:pPr>
        <w:numPr>
          <w:numId w:val="1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terms of his psychological condition, I accept the opinion of Dr. O'Shaughnessy that at a certain point following the breakup with Ms. Behrenz in March 2017, Mr. Cook began to experience depression which later developed into a major depressive disorder characterized by feelings of low energy, diminished joy, and loss of interest. There is uncontested evidence that this condition is treatable with anti-depressant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Before setting out my conclusions regarding the effect of Mr. Cook's injuries on his activities and lifestyle, it is necessary to address the credibility of Mr. Cook's trial testimony.</w:t>
      </w:r>
      <w:r>
        <w:rPr>
          <w:rFonts w:ascii="arial" w:eastAsia="arial" w:hAnsi="arial" w:cs="arial"/>
          <w:sz w:val="20"/>
          <w:lang w:val="en-US" w:eastAsia="en-US" w:bidi="ar-SA"/>
        </w:rPr>
        <w:cr/>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Credibility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Counsel for the defendants launched a vigorous attack on Mr. Cook's credibility. Given the centrality of Mr. Cook's testimony, it is impossible to decide the issues in this case without addressing this point. In this regard, I take guidance from the discussion of witness credibility in the leading case of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as well as the list of factors set out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186-186, aff'd </w:t>
      </w:r>
      <w:hyperlink r:id="rId473"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Based on the specific points discussed below, I am left with serious concerns about the credibility of Mr. Cook's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To begin with, there is Mr. Cook's testimony about his WCB claims history. When it was suggested in cross-examination that Mr. Cook did not work at all between 1994 and 2003, he disagreed. He said he worked at some bars. However, official records do not reflect any CPP contributions from any employer over this time frame. Mr. Cook later admitted writing a letter dated 20 October 1997 stating that as of that date he continued to have a "severe and prolonged" work-related "disability", implying he was effectively unable to work from the date of his injury in 1989 up to at least 1997. There is also the matter of Mr. Cook's letter dated 26 July 2000, in which he wrote that his WCB appeal should be expedited because his situation was "desperate". When questioned about how this assertion aligned with his purchase of the Gore Avenue property using a down payment of some $290,000 less than three years later, Mr. Cook responded that the term "desperate" was just a word he used in a letter. He added that his lawyer told him to use that term. When asked which lawyer, Mr. Cook gave several names and then said it was the lawyer who was "addicted to porn on his computer", a materially irrelevant assertion which suggests to me a spur of the moment attempt at character assassination by Mr. Cook as a reaction to being scrutinized about his own words in a letter he personally wrote. When pressed on whether he would say something to the WCB that was untrue just because someone told him to, Mr. Cook said he would not. He went on to say that when he used the phrase "severe and prolonged", it was just a "term" that his lawyers told him to use; they told him if he was off work for a long time, he needed to write that his condition was "severe and prolonged".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There is also Mr. Cook's lack of a plausible explanation concerning the source of the $290,000 down payment to purchase the Gore Avenue property in January 2004. Mr. Cook's testimony on this point was remarkably vague. He said the money came from "gambling and other things that I did and I had". With regard to gambling, Mr. Cook said he was lucky and had a "series of multiple wins". He also said some of the money might have come from a job, "if I worked". He then referenced the settlement funds for his 2003 motor vehicle collision. He was later challenged on whether he had settled the claim for this collision by January of 2004, and expressed uncertainty about the timing. Later, he added that he might have received some "birthday money" from his grandmother. In the end, Mr. Cook "could not say one hundred percent" where the $290,000 came from, and simply fell back on the assertion that the property purchase was effected with a bank draft and was therefore "not a cash deal". When asked again about the letter he had written in July 2000 stating that his financial situation was "desperate", Mr. Cook repeated that that was just a phrase the lawyers told him to use. With respect, I consider Mr. Cook's accounting for the source of these funds to be incredibly vague and evasive. I consider it very unlikely that a person pursuing a WCB claim with no stable income for a period of some 13 years would be unable to give more precise evidence as to the source of such a significant sum of money. The issue is not the actual source of the money. Rather, the issue is Mr. Cook's evasiveness and failure to give satisfactory answers in cross-examination, leading me to question his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a somewhat related point, when asked where he got the money for his gambling endeavours, Mr. Cook responded, "I believe I worked [for it], but have nothing else to say". Again, this is remarkably vague evidence, especially when juxtaposed with Mr. Cook's testimony in chief in which he volunteered that sometimes he gambled $2,000 to $10,000 in single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also have concerns about Mr. Cook's testimony as to his business, Edward's International. Mr. Cook volunteered that some of his clients were "unsavoury" characters. In cross-examination, he said this was his personal perception, not based on any specific knowledge of criminal activity on the part of his clients. When asked to name even one specific client of Edward's International, Mr. Cook testified that his clients would "remain anonymous" and would "pay in cash". I find this answer evasive and bizarre. The implication is that Mr. Cook could not name a single client because all of them were "anonymous" and paid in cash. Quite apart from whether that is good business practice, I find it highly implausible that one could carry on a personal security and counter-surveillance business without knowing the identity of one's clients. Similarly, when questioned about the t-shirt sales component of his business, Mr. Cook was unable to give any particulars as to "who he was working for", explaining that he would have to see invoices to give specifics. Again, I find it implausible that Mr. Cook could carry on a business involving at least $60,000 per year in revenues for a number of years without being able to remember the name of a single supplier or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Next, there is Mr. Cook's testimony about his injury and subsequent hospital attendance on 1 July 2006. This point is significant in that Mr. Cook claims to have started working on the Gore Avenue construction project around this time, but he denies any work-related injury. The injury itself is significant because it preceded Collision #1 by a matter of mere months. However, Mr. Cook's testimony on this point is not credible. When referred to medical records about this incident, Mr. Cook said he had no recollection of what happened, explaining that it was some 13 years ago. Mr. Cook was referred to a 3 July 2006 note in Dr. Kagan's clinical records indicating that he had to go to the emergency room for neck pain on 1 July 2006. The note further indicated that Mr. Cook was "on the job site, shovelling gravel". Mr. Cook agreed with that part of the note, explaining that he started excavation on his project in June 2006. Yet Mr. Cook disagreed with counsel's suggestion that he hurt himself when shovelling gravel at the job site. He said if he was injured at the site, he would have made a WCB claim. I simply cannot accept Mr. Cook's testimony on this point. Dr. Kagan's contemporaneous record states that Mr. Cook hurt himself on the job site. Dr. Kagan would have no knowledge of the circumstances and no basis for including this in her clinical notes if it did not come from Mr. Cook. I find that this particular entry in Dr. Kagan's notes is an accurate account of the substance of what Mr. Cook said at the time, and that his refusal to acknowledge this in his testimony is one of a number of factors telling against his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turn next to Mr. Cook's testimony about mental and emotional health issues arising from Collision #1. When asked at trial whether he had any such issues, he responded that he did, as pleaded in his notice of civil claim. Mr. Cook was then referred to his examination for discovery, in which he stated unequivocally that as of May 2009 he did not have any mental or emotional health issues arising from Collision #1. Mr. Cook agreed that he said this in the examination for discovery, but refused to accept that it was true. Mr. Cook could not explain why he would say he had no mental or emotional problems when he believes he did. This testimony is not credible. Rather than trying to give an honest account of the collision and its effects on his mental and emotional state, Mr. Cook clung to his litigation position, as demonstrated by his reference to the claims set out in his notice of civil claim in preference to his own deposition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Finally, there is Mr. Cook's conduct in surreptitiously recording medical assessments conducted by defence experts, and his subsequent trial testimony about this point. During his cross-examination Mr. Cook revealed, for the first time, that he made surreptitious recordings of the assessments conducted by Dr. Hirsch and Dr. O'Shaughnessy. Mr. Cook was aware that counsel for the defendants had applied for an order that he attend for one of these assessments. (The second assessment proceeded without a court order by agreement of counsel on the same terms as the first). Mr. Cook swore an affidavit in response to the defence application, in which he proposed certain terms including a term that he could be accompanied by a chaperone, and a term prohibiting the defendants from conducting surveillance. Mr. Cook was aware that the chaperone term was rejected by the court, and that the defendants conceded the no surveillance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Knowing all this, Mr. Cook chose to make surreptitious audio recordings of the defence medical assessments. When questioned about his decision to do so, Mr. Cook explained that there was nothing in the order prohibiting him from making surreptitious recordings. The refusal of the chaperone condition did not bar him from recording the assessments, and the no surveillance term applied specifically to the defendants, not to the plaintiff. In a separate ruling, I held that these surreptitious recordings were made in contravention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such that the recordings themselves are inadmissible. Despite this conclusion, I cannot say that Mr. Cook's conduct in making the surreptitious audio recordings has any direct bearing on his credibility as a witness. While Mr. Cook was playing fast and loose with the court process and his conduct clearly crossed the line in this regard, I cannot say his decision to surreptitiously record the medical assessments is something that weighs against his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However, what does tell against Mr. Cook's credibility is the manner in which he chose to answer questions about this issue in cross-examination. This matter first arose when Mr. Cook volunteered that he had a "tape recording" of his meeting with Dr. O'Shaughnessy. He later testified that he similarly "tape recorded" his meeting with Dr. Hirsch. When asked directly whether he had given the "tapes" to his counsel, Mr. Cook responded that he had not done so. This prompted counsel for Mr. Cook to interject, pointing out that Mr. Cook in fact </w:t>
      </w:r>
      <w:r>
        <w:rPr>
          <w:rFonts w:ascii="arial" w:eastAsia="arial" w:hAnsi="arial" w:cs="arial"/>
          <w:color w:val="000000"/>
          <w:sz w:val="20"/>
          <w:u w:val="single"/>
          <w:lang w:val="en-US" w:eastAsia="en-US" w:bidi="ar-SA"/>
        </w:rPr>
        <w:t>digitally recorded</w:t>
      </w:r>
      <w:r>
        <w:rPr>
          <w:rFonts w:ascii="arial" w:eastAsia="arial" w:hAnsi="arial" w:cs="arial"/>
          <w:color w:val="000000"/>
          <w:sz w:val="20"/>
          <w:lang w:val="en-US" w:eastAsia="en-US" w:bidi="ar-SA"/>
        </w:rPr>
        <w:t xml:space="preserve"> the meetings with Dr. O'Shaughnessy and Dr. Hirsch and that he provided copies of those </w:t>
      </w:r>
      <w:r>
        <w:rPr>
          <w:rFonts w:ascii="arial" w:eastAsia="arial" w:hAnsi="arial" w:cs="arial"/>
          <w:color w:val="000000"/>
          <w:sz w:val="20"/>
          <w:u w:val="single"/>
          <w:lang w:val="en-US" w:eastAsia="en-US" w:bidi="ar-SA"/>
        </w:rPr>
        <w:t>digital recordings</w:t>
      </w:r>
      <w:r>
        <w:rPr>
          <w:rFonts w:ascii="arial" w:eastAsia="arial" w:hAnsi="arial" w:cs="arial"/>
          <w:color w:val="000000"/>
          <w:sz w:val="20"/>
          <w:lang w:val="en-US" w:eastAsia="en-US" w:bidi="ar-SA"/>
        </w:rPr>
        <w:t xml:space="preserve"> to counsel. In answering in the negative in response to questions about whether he provided the "tapes" to his counsel, Mr. Cook was evidently relying on opposing counsel's question using the term "tapes" when the recordings were in fact "digital". While this is technically true, it is factually misleading. Even more so when one appreciates that in referencing the recordings earlier in his testimony, Mr. Cook initially described them in his own words as "tape recordings". Later in his testimony, Mr. Cook lapsed from time to time into using the term "tape recording", sometimes remembering to correct himself by then saying "digital recording". Given that Mr. Cook was not even capable of maintaining the distinction between "tape recordings" and "digital recordings" in his own mind, I consider it quite misleading for him to rely on that distinction to answer a direct question about whether he gave the "tapes" to his counsel in the negative, knowing that he had in fact given the "recordings" to his counsel. This is yet another factor that weighs against the credibility of Mr. Cook's trial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Taking all of these points together and in consideration of the entirety of the admissible evidence, I am left with serious concerns about the credibility of Mr. Cook's testimony. As a result, I must approach his evidence carefully and with a measure of skepticism. Nevertheless, this does not compel me to reject all of Mr. Cook's trial testimony. As explained in </w:t>
      </w:r>
      <w:r>
        <w:rPr>
          <w:rFonts w:ascii="arial" w:eastAsia="arial" w:hAnsi="arial" w:cs="arial"/>
          <w:i/>
          <w:color w:val="000000"/>
          <w:sz w:val="20"/>
          <w:lang w:val="en-US" w:eastAsia="en-US" w:bidi="ar-SA"/>
        </w:rPr>
        <w:t>McKenzie v. Lloyd</w:t>
      </w:r>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2018 BCCA 289</w:t>
        </w:r>
      </w:hyperlink>
      <w:r>
        <w:rPr>
          <w:rFonts w:ascii="arial" w:eastAsia="arial" w:hAnsi="arial" w:cs="arial"/>
          <w:color w:val="000000"/>
          <w:sz w:val="20"/>
          <w:lang w:val="en-US" w:eastAsia="en-US" w:bidi="ar-SA"/>
        </w:rPr>
        <w:t xml:space="preserve"> at para. 35, the trier of fact may accept "all, some, or none" of the evidence of a particular witness. In Mr. Cook's case, I see no basis for concluding that he concocted facts in support of his claims, or gave a completely fabricated account of his circumstances. Rather, I see this as a case where Mr. Cook was inclined to mislead, and to overstate the extent of his injuries and their effects. I approach Mr. Cook's testimony about the nature, extent, duration, and effect of his injuries in that light.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(2.19) Effect of Collisions on Mr. Cook's Activities and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thrust of Mr. Cook's testimony in chief was that as a result of the collisions he has been limited physically, financially, and socially. I will address each of these subject matters in turn, mindful of the inevitable overlap between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(2.19.1) Activities of Daily Living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Cook testified that he is limited physically in that he now experiences pain with certain basic activities of daily living such as getting dressed, tying his shoes, and driving. He also has pain with household activities such as vacuuming, making his bed, doing the laundry, washing his car, and shopping. He used to be able to fix his own cars but is no longer able to do so without experiencing pain. When the alternator on his truck went, he tried to remove it himself, but the exertion made him "immobile" for two or three days. Mr. Cook tries to go the gym regularly but is unable to do so if he is having a bad day or a bad week. Still, he finds that if he does not exercise, the pain gets worse. Mr. Cook's uncorroborated testimony on these points is not entirely consistent with the evidence of the functional capacity evaluator, Mr. Lauder, who opined that Mr. Cook is able to do basic housework but is limited in his ability to complete heavier or more arduous tasks such as seasonal yard work and household maintenance and repair. I conclude that this is an instance where Mr. Cook has overstated the extent and effect of his injuries. Indeed, this conclusion is consistent with the observation of Mr. Lauder that during the functional capacity evaluation Mr. Cook reported somewhat higher levels of disability than those observed in testing.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(2.19.2) Sports and Recreation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Cook testified that he is no longer able to participate in kickboxing and other martial arts, or enjoy golf the way he did prior to the collisions. I will address each of these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With regard to martial arts, Mr. Cook testified that in the late 1990s he liked to go to kickboxing and Thai boxing classes four to five times per week, and he sparred with friends an additional one or two times per week. He also took conventional boxing lessons. Mr. Cook testified that prior to the collisions, he had no difficulties in these activities. However, Dr. Kagan agreed that in a medical appointment on 15 June 2004, Mr. Cook reported that he was unable to do kickboxing the way he had done prior to his 2003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Cook also testified that prior to the collisions, he was an avid golfer, although he clearly never took it as seriously as lacrosse. He played one to two times per week, and he had a handicap of 4 to 6. Since the collision, Mr. Cook has not been able to golf as much and is not as good as he used to be. He has to take a cart because he cannot walk the course. Mr. Cook testified that he still tries to play at an annual "best ball" charity golf tournament every August. During the 2018 tournament, he had an emotional breakdown brought on by a collection of factors including his ongoing physical challenges, financial pressures, and stress from litigation. Mr. Cook took part in the 2019 tournament as well. He did not play well and his shots were "all over the place", but he wanted to show up so he could see his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Cook's testimony on this point was corroborated by the evidence of his long-time friends Mr. Johnson and Mr. Bruse. Mr. Johnson testified that between about 2005 and 2007 he went golfing with Mr. Cook about 10 to 12 times. He noted that Mr. Cook sometimes could not play the full 18 holes, complaining of back spasms. I accept, based on all the evidence I have just reviewed, that Mr. Cook's injuries have prevented him from enjoying the game of golf as much as he once did.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(2.19.3) Live Sporting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Cook also gave evidence that he used to enjoy going to live sporting events like hockey or mixed martial arts competitions. He now finds such events less enjoyable, due to his inability to sit in stadium seating for extended periods of time. Mr. Cook described a number of specific occasions when he has had to leave live sporting events early or has been otherwise unable to enjoy them due to his inability to sit in stadium seating for prolonged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Mr. Johnson testified that he and Mr. Cook used to go to hockey games together. Mr. Cook had season tickets for the Canucks, and they went to games together perhaps two to three times per year. In about 2012 or 2013, Mr. Johnson took over Mr. Cook's season tickets. Mr. Johnson testified that he went to a Canucks game with Mr. Cook one or two seasons ago and he noticed that Mr. Cook had difficulty sitting. Mr. Johnson and Mr. Cook also went to a UFC event in Montreal, where once again Mr. Cook had difficulty staying in his seat through the whole event, and had to get up and move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 Bruse also noticed that Mr. Cook has difficulty sitting for long periods of time, as a result of which he is less inclined to go out to sporting events like hockey games. Mr. Bruse described an occasion several years ago when he and Mr. Cook went to a hockey game and Mr. Cook had to leave during the second period of the game because he was too uncomfortable in his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accept that Mr. Cook is limited in his ability to sit for prolonged periods of time and that this limitation has an effect on his enjoyment of live sporting events, with two important qualifications.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First, there is evidence that Mr. Cook had pre-existing conditions limiting his ability to sit for prolonged periods of time, prior to the four collisions in issue in this case. Recall the evidence that Mr. Cook had been involved in two prior motor vehicle accidents, in 1994 and 2003. There is also the testimony of Mr. Johnson that when Mr. Cook appeared to have difficulty sitting in once place for extended periods of time on gambling excursions and while accompanying Mr. Johnson on skip tracing work, in the early 2000s. Finally, recall the evidence of Dr. Kagan that from 2003 up to 2006, within one month of Collision #1, Mr. Cook consistently reported pain in, among other things, his neck and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Second, despite Mr. Cook's testimony about difficulty sitting at sporting events for prolonged periods of time, he admitted that he now has season tickets for the Vancouver Canadians baseball team. Mr. Cook testified that he gave up his season tickets for the Canucks in about 2012 or 2013, principally because of the cost, some $10,000 to $12,000 per year for two tickets. He now purchases season tickets for the Canadians, at a cost of some $3,000 for four tickets, for a total 39 home games. Mr. Cook admitted that he sits through the ball games, which are somewhat longer than hockey games, although he added that the seats at Nat Bailey stadium are more comfortable than the seats at Rogers Arena, and he gets up and stretches after every inning. Finally, Mr. Cook testified that sometimes he suffers after going to a Canadians game, although not every time. What I take from all of this is that while Mr. Cook may experience some discomfort and limitation associated with sitting for extended periods of time, he has developed strategies to cope with this limitation in order to continue to do leisure activities which he finds enjoyable and can afford.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(2.19.4) Parenting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Mr. Cook testified that his injuries have placed limitations on some of the activities he does with his son, who is now 10 years old. Mr. Cook has not been able to play soccer or baseball with him. He cannot kick the soccer ball or move around cones due to back and leg pain, and he is unable to throw a baseball due to chronic pain in his neck and back. He is thus limited to giving Wyatt advice about techniques, without being able to demonstrate them or perform them. Mr. Cook also testified that he finds it difficult to attend Wyatt's soccer games, although he did not explain how his collision-related injuries impacted him in this regard. Another recent example of the manner in which his injuries have limited his activities with his son is Mr. Cook's inability go on rides at the PNE with Wyatt. Mr. Cook finds these limitations upsetting because they affect his relationship with his son. I accept Mr. Cook's evidence on this point, which is entirely consistent with the evidence of Mr. Lauder regarding Mr. Cook's function limitations.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(2.19.5) Financial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Mr. Cook testified that he has unable to afford the kind of lifestyle that he lived prior to the collisions. He testified that prior to the four collisions he lived an extravagant lifestyle. Although he was not precise about the time frame, it seems that the period Mr. Cook was referring to in this regard would have been from the early 2000s up to and beyond the middle of 2006. Mr. Cook testified that during this time frame, he spent lavishly on gifts and entertainment for himself and Ms. Behrenz. He liked to buy expensive clothing and jewelry for Ms. Behrenz. Mr. Cook also funded trips for himself and Ms. Behrenz to places like Europe, Cuba, Dominica, Mexico, and Las Vegas.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Mr. Cook also frequented expensive restaurants where he and his dinner companions would spend thousands of dollars. Sometimes Mr. Cook would play games of chance or skill with his companions to determine who would pay the cheque. Mr. Cook's testimony on this point was corroborated by the evidence of his friends Mr. Johnson and Mr. Bruse, both of whom described the extravagant meals they had with Mr. Cook over the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Cook testified that he has not been able to maintain the same lifestyle after the collision. He and Ms. Behrenz stopped going out for expensive dinners, and he has been unable to purchase any expensive gifts for her. The two of them have only gone on one trip, to Palm Springs in 2015 and 2016, a trip which Mr. Cook funded by pawning his wedding ring. When Mr. Cook goes out to dinner with his friends Mr. Bruse or Mr. Johnson, he is not able to pay the bill. Mr. Johnson confirmed that some time in the late 2000s, his dinners with Mr. Cook became "less opulent", principally because Mr. Cook could not afford them. They no longer compete for the cheque and Mr. Johnson generally has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Mr. Cook also says he used to enjoy gambling. Prior to the collisions, he liked to gamble with Mr. Johnson at casinos in Vancouver and Las Vegas. Mr. Cook testified that they would gamble for as long as 10 to 12 hours at a time, turning over $2,000 to $10,000 in a single sitting, on games such as roulette, poker, blackjack, and Pai Gao. Since the collisions, Mr. Cook is no longer able to enjoy gambling for several reasons. For one thing, he does not have the money. He testified that he went gambling with Mr. Johnson once in the last year, and Mr. Johnson had to lend him $500. For another thing, Mr. Cook says that due to chronic pain he is simply unable to sit in one position long enough to gamble the way he once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Cook's evidence about his gambling pursuits was corroborated to a large extent by Mr. Johnson, who testified about some his casino excursions with Mr. Cook in Vancouver and in Las Vegas. In Las Vegas, they would gamble for two or three days in a row, although Mr. Cook was somewhat limited by his inability to sit for extended periods of time. (It should be noted that Mr. Johnson also observed Mr. Cook to have some difficulty sitting for extended period times as far back as 2001, when Mr. Cook helped him with "skip tracing" work.) Mr. Johnson further testified that Mr. Cook no longer has the means to go on such gambling excursions.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Even accepting all of the evidence presented by Mr. Cook about his change in financial means over time, there remains an open question about the extent to which any of this is attributable to the collisions. I note that Mr. Cook's claim includes a claim for loss of income and loss of income-earning capacity. I heard a great deal of evidence from Mr. Cook about his financial situation, his lost opportunities, and his disposal of various assets, including a luxury condominium and a considerable quantity of precious metals, to fund his lifestyle. The extent to which Mr. Cook's financial woes were a function of any loss of earning capacity was a hotly contested issue and counsel for the defendants vigorously challenged Mr. Cook's testimony on both his work capacity and his financial situation. I will deal with the work capacity issue below. At this point, it is enough to say that any diminishment in enjoyment of life based on a decline in financial means would only be attributable to the collisions if Mr. Cook satisfies the court that his collision-related injuries resulted in an actual loss of income or income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(2.19.6) Social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Mr. Cook also gave evidence that over time he has become increasingly socially isolated, less outgoing, and less pleasant to be around. More specifically, Mr. Cook testified that:</w:t>
      </w:r>
      <w:r>
        <w:rPr>
          <w:rFonts w:ascii="arial" w:eastAsia="arial" w:hAnsi="arial" w:cs="arial"/>
          <w:sz w:val="20"/>
          <w:lang w:val="en-US" w:eastAsia="en-US" w:bidi="ar-SA"/>
        </w:rPr>
        <w:cr/>
      </w:r>
    </w:p>
    <w:p>
      <w:pPr>
        <w:numPr>
          <w:numId w:val="12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He broke up with Ms. Behrenz in 2017. Mr. Cook attributed the breakup to a variety of things, including his inability to participate in the kinds of activities they used to do together, and his admitted pre-occupation with his ICBC litigation.</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since started dating again, but he finds it difficult to socialize. He is unable to do all the things he used to do and does not want to be a burden on others. His physical limitations have also affected his sex life.</w:t>
      </w:r>
    </w:p>
    <w:p>
      <w:pPr>
        <w:numPr>
          <w:numId w:val="1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took a trip to Mexico with a girlfriend in 2018. He found the plane flight difficult, was unable to swim in the ocean, and unable to walk as far as he had done on earlier vacations.</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still has regular lunches and dinners with friends like Mr. Johnson and Mr. Bruse, but finds such events less enjoyable than he used to because he has little money and is prone to complain about his injuries and 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Mr. Bruse and Mr. Johnson both gave evidence about Mr. Cook's increasing social isolation. Mr. Bruse testified that Mr. Cook has become notably less social over the past 10 years. He no longer has money to pay for expensive dinners. He often seems depressed and preoccupied with his ICBC case. Mr. Bruse testified that Mr. Cook drinks more than he used to, and he has personally seen Mr. Cook "break down emotionally" several times. Mr. Johnson testified that he has seen Mr. Cook's personality change over time. Since about 2008, Mr. Cook has been more emotional and less jovial. In cross-examination, Mr. Johnson agreed that the most notable changes in Mr. Cook's personality occurred after the break up of his relationship with Ms. Behrenz.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 accept, based on the testimony of Mr. Cook, Mr. Johnson, and Mr. Bruse, that Mr. Cook has become more and more socially isolated over the past number of years. Indeed, counsel for the defendants accepts this to be the case. The key point of dispute between the parties is the cause or source of Mr. Cook's increasing social isolation. On the one hand, Mr. Cook says it is attributable in large part to his injuries and their affect on his demeanor and attitude. On the other hand, the defendants say Mr. Cook has isolated himself due largely to his own behavior, more specifically his obsession with ICBC. By Mr. Cook's own account, there have been periods when he lives, eats, and breathes ICBC, or words to that effect. He claims to have spent hundreds of thousands of dollars and up to 60 hours per week pursuing his grievances with ICBC and other such institutions. This unhealthy fixation, the defendants say, has caused Mr. Cook to drive away most of his friends. I will deal with this issue below under the heading of causation.</w:t>
      </w:r>
      <w:r>
        <w:rPr>
          <w:rFonts w:ascii="arial" w:eastAsia="arial" w:hAnsi="arial" w:cs="arial"/>
          <w:sz w:val="20"/>
          <w:lang w:val="en-US" w:eastAsia="en-US" w:bidi="ar-SA"/>
        </w:rPr>
        <w:cr/>
      </w:r>
    </w:p>
    <w:p>
      <w:pPr>
        <w:numPr>
          <w:numId w:val="1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defendants Mr. Kang, Ms. Le, and Ms. Dempster admitted liability for Collisions #1, #3, and #4 respectively. What remains in issue between the parties is liability in respect of Collision #2. To be more specific, the issue insofar as Collision #2 is concerned does not have to do with responsibility for the collision itself, but rather whether Mr. Cook is entitled to judgment against the defendant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I have no difficulty concluding that Collision #2 occurred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unidentified driver of the compact car that entered the intersection on a red light and collided with Mr. Cook's truck. However, it is argued that Mr. Cook is not entitled to judgment against ICBC as a nominal defendant because he failed to take all reasonable steps to ascertain the identity of the other vehicle's owner and driver as required under s. 24(5) of the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Not knowing the identity of the owner or driver of the other vehicle involved in Collision #2, Mr. Cook named ICBC as a defendant under s. 24(1). That provision allows for an action against ICBC as a "nominal defendant" by a person claiming to have suffered injury or damage as a result of the operation of a vehicle on a highway in British Columbia in circumstances where the names of the owner and driver of the vehicle responsible are not "ascertainable". However, s. 24(5) limits the right to bring an action against ICBC as a nominal defendant, by providing that "judgment against [ICBC] must not be given" unless the court is satisfied that "all reasonable efforts have been made" to ascertain the identity of the unknown owner and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relevant facts in this case can be summarized as follows:</w:t>
      </w:r>
      <w:r>
        <w:rPr>
          <w:rFonts w:ascii="arial" w:eastAsia="arial" w:hAnsi="arial" w:cs="arial"/>
          <w:sz w:val="20"/>
          <w:lang w:val="en-US" w:eastAsia="en-US" w:bidi="ar-SA"/>
        </w:rPr>
        <w:cr/>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Cook was involved in a collision with another vehicle in a relatively busy intersection. Both Mr. Cook's truck and the other vehicle involved in the collision, a red compact car, came to rest in the middle of the intersection, about 15 to 20 feet apart, separated by a lane of traffic.</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movement of traffic resumed shortly after the collision, preventing Mr. Cook from safely crossing the street to have a face to face conversation with the occupants of the red car.</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Cook backed his truck up, got out, and went to speak with the driver behind him, to find out if she saw what happened. He had access to a pen, and wrote down the name and phone number of the potential witness.</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collision had no immediate impact on Mr. Cook's physical or mental capacity, as evidenced by the fact that he had the wherewithal to speak with and write down contact information for the driver of another vehicle at the scene, intending to rely on that person as a witness in subsequent litigation.</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occupants of the red car did not immediately flee the scene. Indeed, the evidence shows that they remained at the scene for some appreciable period of time, on the opposite side of the road. The red car was still in its position on the other side of the intersection when Mr. Cook was speaking with the prospective witness.</w:t>
      </w:r>
    </w:p>
    <w:p>
      <w:pPr>
        <w:numPr>
          <w:numId w:val="1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Cook testified, and I accept, that he was unable to see the license plate of the red car from his position. Mr. Cook further testified, and I accept, that he was not able to safely reposition himself so that he could see the license plate, given that traffic had already resumed through the intersection.</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Cook got into his truck with the intention of re-positioning it to, in his words, "clear the intersection", believing it unsafe or imprudent to leave his truck in the intersection indefinitely.</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Cook drove his car up the street, turned the corner, and stopped in the parking lot of a restaurant about half a block away, intending to meet there with the driver of the other vehicle involved in the collision, the red car.</w:t>
      </w:r>
    </w:p>
    <w:p>
      <w:pPr>
        <w:numPr>
          <w:numId w:val="13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Mr. Cook signalled or made any effort to communicate his intention to "reposition" his truck before he drove it away from the scene of the collision.</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red car left the area, driving up Taylor Way.</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Cook immediately phoned 911 and made a report that the other party involved in the collision had driven away. The police responded and Mr. Cook spoke with them.</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Cook later made arrangements through his counsel to post signs in the vicinity of the collision, seeking witnesses who might be able to assist in ascertaining the identity of the driver and owner of the other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The question to be determined is whether, on these facts, Mr. Cook can be said to have made "all reasonable efforts" to ascertain the identity of the driver and owner of the other vehicle as contemplated in s. 24(5) of the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The leading case regarding the interpretation and application of what is now s. 24(5) of the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 xml:space="preserve"> is </w:t>
      </w:r>
      <w:r>
        <w:rPr>
          <w:rFonts w:ascii="arial" w:eastAsia="arial" w:hAnsi="arial" w:cs="arial"/>
          <w:i/>
          <w:color w:val="000000"/>
          <w:sz w:val="20"/>
          <w:lang w:val="en-US" w:eastAsia="en-US" w:bidi="ar-SA"/>
        </w:rPr>
        <w:t>Leggett v. Insurance Corporation of British Columbia</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(1992), 72 B.C.L.R. (2d) 201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Leggett</w:t>
      </w:r>
      <w:r>
        <w:rPr>
          <w:rFonts w:ascii="arial" w:eastAsia="arial" w:hAnsi="arial" w:cs="arial"/>
          <w:color w:val="000000"/>
          <w:sz w:val="20"/>
          <w:lang w:val="en-US" w:eastAsia="en-US" w:bidi="ar-SA"/>
        </w:rPr>
        <w:t>]. In that case the plaintiff, believing he suffered no appreciable injury, left the collision scene without exchanging identification or vehicle registration information with the other party involved. The plaintiff later realized that he suffered an injury and brought an action against ICBC as nominal defendant. The Court of Appeal set aside the trial judgment that had been granted in the plaintiff's favour on the basis that he failed to take reasonable steps to ascertain the other party's identity. In doing so, Taylor J.A. explained at para. 9 that "the overall purpose of the section is to limit the exposure of the corporation to claims brought by persons who, in the matter of seeking to identify the responsible for the accident, have done everything they reasonably could to protect what ordinarily would be their own interests, and which, by virtue of the section, become the interests of the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The defendant also relies upon </w:t>
      </w:r>
      <w:r>
        <w:rPr>
          <w:rFonts w:ascii="arial" w:eastAsia="arial" w:hAnsi="arial" w:cs="arial"/>
          <w:i/>
          <w:color w:val="000000"/>
          <w:sz w:val="20"/>
          <w:lang w:val="en-US" w:eastAsia="en-US" w:bidi="ar-SA"/>
        </w:rPr>
        <w:t>Burley v. ICBC</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2003 BCSC 1837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Burley</w:t>
      </w:r>
      <w:r>
        <w:rPr>
          <w:rFonts w:ascii="arial" w:eastAsia="arial" w:hAnsi="arial" w:cs="arial"/>
          <w:color w:val="000000"/>
          <w:sz w:val="20"/>
          <w:lang w:val="en-US" w:eastAsia="en-US" w:bidi="ar-SA"/>
        </w:rPr>
        <w:t>], in which a pedestrian plaintiff was hit by a van in a cross-walk. The van stopped and an occupant asked if the plaintiff was alright. The plaintiff did not respond, but rather continued walking to the sidewalk in order to get off the street. The van then drove off. The plaintiff went about her business but as the day went on began to suffer the effects of the collision. She ended up in the hospital. The collision was not reported to ICBC until the next day, and was not reported to the police until one week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Burley</w:t>
      </w:r>
      <w:r>
        <w:rPr>
          <w:rFonts w:ascii="arial" w:eastAsia="arial" w:hAnsi="arial" w:cs="arial"/>
          <w:color w:val="000000"/>
          <w:sz w:val="20"/>
          <w:lang w:val="en-US" w:eastAsia="en-US" w:bidi="ar-SA"/>
        </w:rPr>
        <w:t xml:space="preserve"> started its analysis at para. 7 with the proposition that the plaintiff bore the burden of establishing that she had taken reasonable steps to identify the driver as contemplated in </w:t>
      </w:r>
      <w:r>
        <w:rPr>
          <w:rFonts w:ascii="arial" w:eastAsia="arial" w:hAnsi="arial" w:cs="arial"/>
          <w:i/>
          <w:color w:val="000000"/>
          <w:sz w:val="20"/>
          <w:lang w:val="en-US" w:eastAsia="en-US" w:bidi="ar-SA"/>
        </w:rPr>
        <w:t>Leggett</w:t>
      </w:r>
      <w:r>
        <w:rPr>
          <w:rFonts w:ascii="arial" w:eastAsia="arial" w:hAnsi="arial" w:cs="arial"/>
          <w:color w:val="000000"/>
          <w:sz w:val="20"/>
          <w:lang w:val="en-US" w:eastAsia="en-US" w:bidi="ar-SA"/>
        </w:rPr>
        <w:t>. The court accepted at para. 19 that it was reasonable for the plaintiff to assume the driver of the van would abide by the legal obligation to remain at the scene and it would accordingly be unreasonable to expect the plaintiff to chase down the van to identify the driver. However, the plaintiff was in a position to request the necessary information when the van stopped in front of her and the occupant enquired about whether she was alright.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In the end, the court in </w:t>
      </w:r>
      <w:r>
        <w:rPr>
          <w:rFonts w:ascii="arial" w:eastAsia="arial" w:hAnsi="arial" w:cs="arial"/>
          <w:i/>
          <w:color w:val="000000"/>
          <w:sz w:val="20"/>
          <w:lang w:val="en-US" w:eastAsia="en-US" w:bidi="ar-SA"/>
        </w:rPr>
        <w:t>Burley</w:t>
      </w:r>
      <w:r>
        <w:rPr>
          <w:rFonts w:ascii="arial" w:eastAsia="arial" w:hAnsi="arial" w:cs="arial"/>
          <w:color w:val="000000"/>
          <w:sz w:val="20"/>
          <w:lang w:val="en-US" w:eastAsia="en-US" w:bidi="ar-SA"/>
        </w:rPr>
        <w:t xml:space="preserve"> appeared to base its conclusion that the plaintiff failed to meet her burden on two separate footings. First, the court held at para. 24 that where the plaintiff fails to take reasonable steps to ascertain the driver's identity on the belief that she suffered no injury and thus had no intent to bring an action, her claim must fail. Second, the court held "most importantly" at para. 26 that the plaintiff's failure to immediately contact the police was fatal to her position, reasoning that if she had done so, there was a "realistic possibility" of locating the van despite the failure to ascertain the license plate at the collision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Counsel for Mr. Cook relies on </w:t>
      </w:r>
      <w:r>
        <w:rPr>
          <w:rFonts w:ascii="arial" w:eastAsia="arial" w:hAnsi="arial" w:cs="arial"/>
          <w:i/>
          <w:color w:val="000000"/>
          <w:sz w:val="20"/>
          <w:lang w:val="en-US" w:eastAsia="en-US" w:bidi="ar-SA"/>
        </w:rPr>
        <w:t>Nicholls v. Insurance Corporation of British Columbia</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2011 BCCA 422</w:t>
        </w:r>
      </w:hyperlink>
      <w:r>
        <w:rPr>
          <w:rFonts w:ascii="arial" w:eastAsia="arial" w:hAnsi="arial" w:cs="arial"/>
          <w:color w:val="000000"/>
          <w:sz w:val="20"/>
          <w:lang w:val="en-US" w:eastAsia="en-US" w:bidi="ar-SA"/>
        </w:rPr>
        <w:t xml:space="preserve">. The plaintiff in that case was a motorcyclist who slipped on a patch of spilled diesel. His efforts to identify the vehicle and driver responsible for the spill were limited to his father flagging down a truck owned by the defendant highway maintenance company, and then having a discussion with the driver of that truck about sanding the spilled area. In holding that the plaintiff had met his burden under s. 24(5), the trial judge reasoned that the test was not one of perfection, and in applying it the court must take into account the plaintiff's "subjective circumstances", "including the severity of his injuries". With respect to the plaintiff's lack of post-event efforts, the court applied a sort of cost-benefit analysis to conclude that in light of the crash location it would not have been reasonable for the plaintiff to have posted signs seeking to identify witnesses: </w:t>
      </w:r>
      <w:r>
        <w:rPr>
          <w:rFonts w:ascii="arial" w:eastAsia="arial" w:hAnsi="arial" w:cs="arial"/>
          <w:i/>
          <w:color w:val="000000"/>
          <w:sz w:val="20"/>
          <w:lang w:val="en-US" w:eastAsia="en-US" w:bidi="ar-SA"/>
        </w:rPr>
        <w:t>Nicholls v. Emil Anderson Maintenance Co. Ltd.</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2010 BCSC 1640</w:t>
        </w:r>
      </w:hyperlink>
      <w:r>
        <w:rPr>
          <w:rFonts w:ascii="arial" w:eastAsia="arial" w:hAnsi="arial" w:cs="arial"/>
          <w:color w:val="000000"/>
          <w:sz w:val="20"/>
          <w:lang w:val="en-US" w:eastAsia="en-US" w:bidi="ar-SA"/>
        </w:rPr>
        <w:t xml:space="preserve"> at para. 6,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Court of Appeal upheld the trial judge's decision. D. Smith J.A. explained at para. 26 that "what constitutes 'all reasonable efforts' is a question of fact to be determined on all the circumstances". In reviewing the case law, Her Ladyship concluded at para. 31 that "the only qualification on the requirement of 'all reasonable efforts' in s. 24(5) is the subjective aspect of the test that requires the 'position and condition' of the plaintiff to be considered in determining what efforts are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Mr. Cook's counsel also cited </w:t>
      </w:r>
      <w:r>
        <w:rPr>
          <w:rFonts w:ascii="arial" w:eastAsia="arial" w:hAnsi="arial" w:cs="arial"/>
          <w:i/>
          <w:color w:val="000000"/>
          <w:sz w:val="20"/>
          <w:lang w:val="en-US" w:eastAsia="en-US" w:bidi="ar-SA"/>
        </w:rPr>
        <w:t>Ghuman v. ICBC</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2019 BCSC 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Ghuman</w:t>
      </w:r>
      <w:r>
        <w:rPr>
          <w:rFonts w:ascii="arial" w:eastAsia="arial" w:hAnsi="arial" w:cs="arial"/>
          <w:color w:val="000000"/>
          <w:sz w:val="20"/>
          <w:lang w:val="en-US" w:eastAsia="en-US" w:bidi="ar-SA"/>
        </w:rPr>
        <w:t>]. In that case the plaintiff was driving in a residential area in Surrey when he was struck by another vehicle which then fled the scene. The plaintiff got out of his car within ten seconds of the collision but by that time the other vehicle had sped away. The plaintiff only noted a very general description of the vehicle and the trial judge accepted that he was unable to memorize or record the license plate number before the other vehicle sped away. It was dark outside at the time of the collision, and by the time the plaintiff exited his car there were no other vehicles or obvious witnesses in the area. The plaintiff reported the hit and run to the police and to ICBC the following day. Within about one week of the collision, the plaintiff posted flyers around the scene, and within a month or so his counsel arranged for more signs seeking witnesses to be posted in the area, with no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In holding that the plaintiff had met his burden to take "all reasonable steps" under s. 24(5), Donegan J. reasoned that it was necessary to consider two time frames. The first focuses on the steps taken at the scene in the immediate aftermath of the collision, and the second focuses on the steps taken in the days and weeks following the collision. Donegan J. held at para. 52 that the plaintiff made "all reasonable efforts" in both timeframes.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I also consider the following review of relevant legal principles set out in </w:t>
      </w:r>
      <w:r>
        <w:rPr>
          <w:rFonts w:ascii="arial" w:eastAsia="arial" w:hAnsi="arial" w:cs="arial"/>
          <w:i/>
          <w:color w:val="000000"/>
          <w:sz w:val="20"/>
          <w:lang w:val="en-US" w:eastAsia="en-US" w:bidi="ar-SA"/>
        </w:rPr>
        <w:t>Rieveley v. Doe</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2017 BCSC 202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Rieveley</w:t>
      </w:r>
      <w:r>
        <w:rPr>
          <w:rFonts w:ascii="arial" w:eastAsia="arial" w:hAnsi="arial" w:cs="arial"/>
          <w:color w:val="000000"/>
          <w:sz w:val="20"/>
          <w:lang w:val="en-US" w:eastAsia="en-US" w:bidi="ar-SA"/>
        </w:rPr>
        <w:t xml:space="preserve">] at para. 21-26, cited with approval in </w:t>
      </w:r>
      <w:r>
        <w:rPr>
          <w:rFonts w:ascii="arial" w:eastAsia="arial" w:hAnsi="arial" w:cs="arial"/>
          <w:i/>
          <w:color w:val="000000"/>
          <w:sz w:val="20"/>
          <w:lang w:val="en-US" w:eastAsia="en-US" w:bidi="ar-SA"/>
        </w:rPr>
        <w:t>Ghuman</w:t>
      </w:r>
      <w:r>
        <w:rPr>
          <w:rFonts w:ascii="arial" w:eastAsia="arial" w:hAnsi="arial" w:cs="arial"/>
          <w:color w:val="000000"/>
          <w:sz w:val="20"/>
          <w:lang w:val="en-US" w:eastAsia="en-US" w:bidi="ar-SA"/>
        </w:rPr>
        <w:t>, to be particularly instructive: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The test I must apply is whether the plaintiff has taken steps to identify the unknown owners or drivers "as resolutely and resourcefully as [he or she] would have done" in circumstances where claiming against ICBC as a nominal defendant was not an option (</w:t>
      </w:r>
      <w:r>
        <w:rPr>
          <w:rFonts w:ascii="arial" w:eastAsia="arial" w:hAnsi="arial" w:cs="arial"/>
          <w:i/>
          <w:color w:val="000000"/>
          <w:sz w:val="20"/>
          <w:lang w:val="en-US" w:eastAsia="en-US" w:bidi="ar-SA"/>
        </w:rPr>
        <w:t>Leggett</w:t>
      </w:r>
      <w:r>
        <w:rPr>
          <w:rFonts w:ascii="arial" w:eastAsia="arial" w:hAnsi="arial" w:cs="arial"/>
          <w:color w:val="000000"/>
          <w:sz w:val="20"/>
          <w:lang w:val="en-US" w:eastAsia="en-US" w:bidi="ar-SA"/>
        </w:rPr>
        <w:t>, para. 13, internal references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To meet the criteria for "all reasonable efforts" under s. 24(5) a plaintiff must act as if the statutory provision is not in existence. In other words, upon sustaining damages from a collision caused by an unidentified owner or driver, a plaintiff cannot look to s.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the remedial avenue of choice, down tools, assume that ICBC will be available as a nominal defendant, and then, relying on this same assumption, decline to embark on inquiries that he or she would otherwise be reasonably expected to make.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On the contrary, plaintiffs bear a positive obligation at the collision scene, and in the days and weeks following the collision, to take all necessary and reasonable steps to establish the identity of the offending owner and/or driver (</w:t>
      </w:r>
      <w:r>
        <w:rPr>
          <w:rFonts w:ascii="arial" w:eastAsia="arial" w:hAnsi="arial" w:cs="arial"/>
          <w:i/>
          <w:color w:val="000000"/>
          <w:sz w:val="20"/>
          <w:lang w:val="en-US" w:eastAsia="en-US" w:bidi="ar-SA"/>
        </w:rPr>
        <w:t>Morris v. Doe</w:t>
      </w:r>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2011 BCSC 253</w:t>
        </w:r>
      </w:hyperlink>
      <w:r>
        <w:rPr>
          <w:rFonts w:ascii="arial" w:eastAsia="arial" w:hAnsi="arial" w:cs="arial"/>
          <w:color w:val="000000"/>
          <w:sz w:val="20"/>
          <w:lang w:val="en-US" w:eastAsia="en-US" w:bidi="ar-SA"/>
        </w:rPr>
        <w:t>, at paras. 45-54). This is so even if their efforts do not prove fruitful.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A plaintiff does not bear an "exceptionally onerous" obligation under s. 24(5), particularly where there is no suggestion of fraud on his or her part. However, it is an onus that is not "easily displaced", even where the unidentified owner or driver has fled the scene (</w:t>
      </w:r>
      <w:r>
        <w:rPr>
          <w:rFonts w:ascii="arial" w:eastAsia="arial" w:hAnsi="arial" w:cs="arial"/>
          <w:i/>
          <w:color w:val="000000"/>
          <w:sz w:val="20"/>
          <w:lang w:val="en-US" w:eastAsia="en-US" w:bidi="ar-SA"/>
        </w:rPr>
        <w:t>Morris</w:t>
      </w:r>
      <w:r>
        <w:rPr>
          <w:rFonts w:ascii="arial" w:eastAsia="arial" w:hAnsi="arial" w:cs="arial"/>
          <w:color w:val="000000"/>
          <w:sz w:val="20"/>
          <w:lang w:val="en-US" w:eastAsia="en-US" w:bidi="ar-SA"/>
        </w:rPr>
        <w:t xml:space="preserve"> at para. 47, internal references omitted). See also </w:t>
      </w:r>
      <w:r>
        <w:rPr>
          <w:rFonts w:ascii="arial" w:eastAsia="arial" w:hAnsi="arial" w:cs="arial"/>
          <w:i/>
          <w:color w:val="000000"/>
          <w:sz w:val="20"/>
          <w:lang w:val="en-US" w:eastAsia="en-US" w:bidi="ar-SA"/>
        </w:rPr>
        <w:t>Goncalves v. Doe</w:t>
      </w:r>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2010 BCSC 1241</w:t>
        </w:r>
      </w:hyperlink>
      <w:r>
        <w:rPr>
          <w:rFonts w:ascii="arial" w:eastAsia="arial" w:hAnsi="arial" w:cs="arial"/>
          <w:color w:val="000000"/>
          <w:sz w:val="20"/>
          <w:lang w:val="en-US" w:eastAsia="en-US" w:bidi="ar-SA"/>
        </w:rPr>
        <w:t xml:space="preserve">, at paras. 5-11; </w:t>
      </w:r>
      <w:r>
        <w:rPr>
          <w:rFonts w:ascii="arial" w:eastAsia="arial" w:hAnsi="arial" w:cs="arial"/>
          <w:i/>
          <w:color w:val="000000"/>
          <w:sz w:val="20"/>
          <w:lang w:val="en-US" w:eastAsia="en-US" w:bidi="ar-SA"/>
        </w:rPr>
        <w:t>Johal v. Insurance Corporation of British Columbia and John Doe</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[1992] B.C.J. No. 1169</w:t>
        </w:r>
      </w:hyperlink>
      <w:r>
        <w:rPr>
          <w:rFonts w:ascii="arial" w:eastAsia="arial" w:hAnsi="arial" w:cs="arial"/>
          <w:color w:val="000000"/>
          <w:sz w:val="20"/>
          <w:lang w:val="en-US" w:eastAsia="en-US" w:bidi="ar-SA"/>
        </w:rPr>
        <w:t xml:space="preserve"> (S.C.), at p. 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Whether "all reasonable efforts" have been shown requires a case-by-case assessment, as informed by the unique circumstances of the facts surrounding the collision and the plaintiff's conduct in the days, weeks and perhaps months following.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"The standard to be met is reasonableness. Whether the conduct falls on one side of the line or the other is a question of fact for the trier of fact": </w:t>
      </w:r>
      <w:r>
        <w:rPr>
          <w:rFonts w:ascii="arial" w:eastAsia="arial" w:hAnsi="arial" w:cs="arial"/>
          <w:i/>
          <w:color w:val="000000"/>
          <w:sz w:val="20"/>
          <w:lang w:val="en-US" w:eastAsia="en-US" w:bidi="ar-SA"/>
        </w:rPr>
        <w:t>Holloway v. ICBC and Richmond Cab and John Doe</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2007 BCCA 175</w:t>
        </w:r>
      </w:hyperlink>
      <w:r>
        <w:rPr>
          <w:rFonts w:ascii="arial" w:eastAsia="arial" w:hAnsi="arial" w:cs="arial"/>
          <w:color w:val="000000"/>
          <w:sz w:val="20"/>
          <w:lang w:val="en-US" w:eastAsia="en-US" w:bidi="ar-SA"/>
        </w:rPr>
        <w:t xml:space="preserve">, at para. 12. See also </w:t>
      </w:r>
      <w:r>
        <w:rPr>
          <w:rFonts w:ascii="arial" w:eastAsia="arial" w:hAnsi="arial" w:cs="arial"/>
          <w:i/>
          <w:color w:val="000000"/>
          <w:sz w:val="20"/>
          <w:lang w:val="en-US" w:eastAsia="en-US" w:bidi="ar-SA"/>
        </w:rPr>
        <w:t>Nicholls v. Insurance Corporation of British Columbia</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2011 BCCA 422</w:t>
        </w:r>
      </w:hyperlink>
      <w:r>
        <w:rPr>
          <w:rFonts w:ascii="arial" w:eastAsia="arial" w:hAnsi="arial" w:cs="arial"/>
          <w:color w:val="000000"/>
          <w:sz w:val="20"/>
          <w:lang w:val="en-US" w:eastAsia="en-US" w:bidi="ar-SA"/>
        </w:rPr>
        <w:t>. There, at para. 26, it was reiterated that the assessment of whether "all reasonable efforts" have been made is a "question of fact to be determined on the circumstances of each case" (internal references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In the case at bar, there is no concern about fraud on Mr. Cook's part. At the time of these events, Mr. Cook would have had no reason not to ascertain the identity of the other motorist involved, and I am satisfied that in his testimony he accurately described the circumstances in which he says he was unable to do so. Indeed, Mr. Cook contacted the police more or less immediately after determining that the other party departed the scene. Thus, I accept that Mr. Cook was acting honestly and was genuinely interested in ascertaining the identity of the driver and owner of the other vehicle. Still, that is not the end of the analysis. The question is whether he complied with his obligation to take all reasonable steps to identify the others involved. Accepting that Mr. Cook acted honestly, what remains to be determined is whether he acted reasonably.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Following the approach in </w:t>
      </w:r>
      <w:r>
        <w:rPr>
          <w:rFonts w:ascii="arial" w:eastAsia="arial" w:hAnsi="arial" w:cs="arial"/>
          <w:i/>
          <w:color w:val="000000"/>
          <w:sz w:val="20"/>
          <w:lang w:val="en-US" w:eastAsia="en-US" w:bidi="ar-SA"/>
        </w:rPr>
        <w:t>Ghuman</w:t>
      </w:r>
      <w:r>
        <w:rPr>
          <w:rFonts w:ascii="arial" w:eastAsia="arial" w:hAnsi="arial" w:cs="arial"/>
          <w:color w:val="000000"/>
          <w:sz w:val="20"/>
          <w:lang w:val="en-US" w:eastAsia="en-US" w:bidi="ar-SA"/>
        </w:rPr>
        <w:t xml:space="preserve">, I find it helpful to break the analysis into two different stages, namely (i) at the collision scene, and (ii) in the "days and weeks" following the collision. To borrow a phrase from the </w:t>
      </w:r>
      <w:r>
        <w:rPr>
          <w:rFonts w:ascii="arial" w:eastAsia="arial" w:hAnsi="arial" w:cs="arial"/>
          <w:i/>
          <w:color w:val="000000"/>
          <w:sz w:val="20"/>
          <w:lang w:val="en-US" w:eastAsia="en-US" w:bidi="ar-SA"/>
        </w:rPr>
        <w:t>Rieveley</w:t>
      </w:r>
      <w:r>
        <w:rPr>
          <w:rFonts w:ascii="arial" w:eastAsia="arial" w:hAnsi="arial" w:cs="arial"/>
          <w:color w:val="000000"/>
          <w:sz w:val="20"/>
          <w:lang w:val="en-US" w:eastAsia="en-US" w:bidi="ar-SA"/>
        </w:rPr>
        <w:t xml:space="preserve"> decision, Mr. Cook had a "positive obligation at the collision scene, and in the days and weeks following the collision, to take all necessary and reasonable steps" to ascertain the identity of the others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In considering the steps taken by Mr. Cook at the collision scene, it is important to take into account his subjective "position and condition". The evidence satisfies me that Mr. Cook was not suffering under any physical or mental impairment at the collision scene. He was clearly in possession of his faculties and cognizant of his circumstances, as evidenced by his efforts to gather information from a potential witness almost immediately after the collision. Nevertheless, I accept that by virtue of his physical position on the road, in an intersection separated from the other vehicle involved in the collision by a lane of moving traffic, he was not able to immediately approach and exchange particulars with the other party. I further accept that even though Mr. Cook had a pen in his hand, he was not able to safely observe and note the license plate of the other vehicle from his position at the collision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The more challenging aspect of this case is Mr. Cook's decision to leave the immediate location of the collision, to "reposition" his truck, before exchanging information with the occupants of the other vehicle. Mr. Cook says he had a legal obligation to "clear the intersection". In support of that position, he cites s. 187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Under s. 187(1), a person is not permitted to stop, park, or leave a vehicle either attended or unattended "on the roadway" if it is "practicable" to stop, park, or leave the vehicle off the roadway. Under s. 187(2), a person must not "park a vehicle so as to obstruct the free passage of traffic". Both of these provisions are subject to s. 187(3), which states that ss. (1) and (2) do not apply "when a vehicle is so disabled that it is not practicable" to avoid stopping or temporarily leaving it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It is noteworthy that s. 187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does not establish an absolute prohibition against parking or stopping a vehicle in a roadway, in that it is subject to a requirement of practicability. It is also important to interpret the obligations in s. 187 together with all the other provisions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Most relevant in the present context is s. 68(1)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which sets out the duties of a driver involved in an accident. Under this section, any "driver" or "other person in charge of" a vehicle involved in an accident on the highway is obliged to, among other things, "remain at or immediately return to the scene of the accident" (per s. 68(1)(a)), and "produce to any other driver involved in the accident" written verification of his or her name, address, and vehicle registration information (per s. 68(1)(b)). Thus, Mr. Cook and the other person involved in the collision were each subject to at least two separate sets of obligations under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First and foremost, they were each obliged to remain at the scene of the collision for the purpose of, among other things, exchanging information with each other (per s. 68(1)). Secondly, they were each obliged to clear the intersection when it was practicable to do so (per s. 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I accept the proposition advanced by Mr. Cook that in some instances, where it is practicable and safe to do so, it is reasonable and indeed legally obligated for motorists involved in a collision to remove their vehicles from the roadway to allow for the "free passage of traffic" as contemplated in s. 187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However, that obligation can only be said to arise at the point in time where the motorists involved in the collision have taken reasonable steps to meet their mutual obligations to remain at the scene to allow for the exchange of identity and registration information as contemplated in s. 68(1)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In some instances, the parties might discharge this obligation by communicating and mutually agreeing to reposition their vehicles to a safe location, to clear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In the case at bar, Mr. Cook left the collision scene before exchanging information with the driver of the other vehicle involved. I accept that Mr. Cook did so with the intention of "clearing the intersection" so as not to impede traffic. I also appreciate that Mr. Cook did not depart the area entirely, but merely "repositioned" his truck a short distance away from the collision scene. However, the fact remains that Mr. Cook left the scene without any apparent effort to communicate his intention to the other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Mr. Cook was not the victim of a conventional "hit and run", where the other driver involved in the collision fled the scene before Mr. Cook could determine his or her identity. I find as a fact that Mr. Cook drove away from the immediate scene of the collision before the other motorist. In doing so, without any effort to communicate his intention to "reposition" his truck, Mr. Cook may well have caused the other driver to believe that Mr. Cook himself did not intend to comply with his obligation to remain at the scene as required under s. 68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burden is on Mr. Cook to establish on a balance of probabilities that he took "all reasonable steps" to ascertain the identity of the driver and owner of the other vehicle involved in the collision. The standard is not one of perfection, but rather, what is reasonable in all the circumstances. I conclude that in removing his truck from the collision scene without making any apparent effort to communicate his intentions with the other party involved, Mr. Cook failed to meet that standard. Although Mr. Cook did not act dishonestly, he acted imprudently. Section 24(5) imposes an obligation on a person seeking to advance a claim against ICBC to act reasonably in his or her efforts to ascertain the identity of the other parties involved, and in this case Mr. Cook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For the sake of completeness, I will move on to consider the second time frame in the analysis, that is, the "days and weeks following the collision" as contemplated in </w:t>
      </w:r>
      <w:r>
        <w:rPr>
          <w:rFonts w:ascii="arial" w:eastAsia="arial" w:hAnsi="arial" w:cs="arial"/>
          <w:i/>
          <w:color w:val="000000"/>
          <w:sz w:val="20"/>
          <w:lang w:val="en-US" w:eastAsia="en-US" w:bidi="ar-SA"/>
        </w:rPr>
        <w:t>Ghuman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Rieveley</w:t>
      </w:r>
      <w:r>
        <w:rPr>
          <w:rFonts w:ascii="arial" w:eastAsia="arial" w:hAnsi="arial" w:cs="arial"/>
          <w:color w:val="000000"/>
          <w:sz w:val="20"/>
          <w:lang w:val="en-US" w:eastAsia="en-US" w:bidi="ar-SA"/>
        </w:rPr>
        <w:t>. I am satisfied that in the particular circumstances of this case, Mr. Cook took all reasonable steps that could be expected of him in the days and weeks after the collision to ascertain the identity of the other party involved. Having reported the incident to the police more or less immediately, Mr. Cook later arranged through his counsel for the posting of signs near the scene of the accident in an effort to locate witnesses who could assist in identifying the driver and owner of the other vehicle involved in the collision. He was not challenged on this point, and I accept that nothing more could reasonably have been expected of Mr. Cook to ascertain the other party's identity in the "days and weeks" after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My conclusions on the question of liability are as follows. First, Mr. Cook has established the liability of the defendants in respect of collisions #1, #3, and #4. Second, by virtue of Mr. Cook's failure to discharge the burden imposed on him under s. 24(5) of the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 the court cannot grant judgment against the defendant ICBC in connection with Collision #2.</w:t>
      </w:r>
      <w:r>
        <w:rPr>
          <w:rFonts w:ascii="arial" w:eastAsia="arial" w:hAnsi="arial" w:cs="arial"/>
          <w:sz w:val="20"/>
          <w:lang w:val="en-US" w:eastAsia="en-US" w:bidi="ar-SA"/>
        </w:rPr>
        <w:cr/>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Legal Principles of Causation and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There are in my view six points of law that serve to define the parameters of the legal analysis in this case, the first of which is the basic test for causation. To establish causation, the plaintiff must demonstrate on a balance of probabilities that "but for" the tortious conduct of each defendant, the injuries suffered by the plaintiff would not have occurred: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 21, 29;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The second point of law has to do with situations where there are multiple or competing causes at play. The law provides that where there are said to be causes for the plaintiff's injury other than the conduct of the defendants, including pre-existing conditions, the requirement for causation is made out where it is shown that the tortious conduct was a contributing cause to the plaintiff's injury. Thus although the "but for" analysis continues to apply in the sense that the plaintiff must show that he or she would not have suffered the injury "but for" the defendant's tortious conduct, the test can be met by proof that the defendant's tortious conduct was "a contributing cause" to the plaintiff's injury: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12, 17. To sum it up in one phrase, "a defendant is liable for any injuries caused or contributed to by his 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This leads to a third point, which has to do with pre-existing conditions. The law of causation provides that where the defendant's conduct is found to be a contributing cause of an injury, the defendant is liable and that liability is not reduced or apportioned due to the presence of other contributing causes. Thus, the defendant tortfeasor is liable for the plaintiff's injuries even if those injuries are unexpectedly severe due to a pre-existing condition: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The fourth point has to do with the legal distinction between causation and damages as discussed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 On the one hand, for the purpose of the causation analysis the tortfeasor must take the victim as is, such that the tortfeasor is liable for all of the plaintiff's injuries even if they are unexpectedly severe due to a pre-existing condition: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34. On the other hand, when it comes to assessment of damages the law requires the tortfeasor to restore the victim to his or her original position, but no better position. Thus in assessing damages, it is the difference between the victim's "original position" prior to the tortious conduct, including any pre-existing conditions, and the victim's "injured position" after the tort that is used to measure the loss: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A fifth point of law at play in this case is the manner in which "independent intervening events" are treated in the assessment of damages. The overarching objective of tort law is to place the victim in the position that he or she would have been in absent the defendant's tortious conduct: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32. Where the victim's position is altered by some intervening event that would have occurred independent of the defendant's tortious conduct, it is necessary to account for the effect of that event on the victim's position in assessing damages for the defendant's tortious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A sixth and final legal point at play in this case is the distinction between divisible and non-divisible injuries. In a case involving multiple tortfeasors, there may be debate as to which defendant is liable to compensate the victim for which injuries. On this point, the law holds that where the plaintiff suffers "separate and distinct" injuries from the tortious acts of two different defendants, then each defendant is liable only for the injury he or she caused: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24. By contrast, where the plaintiff's injuries are "indivisible", then each defendant found to have negligently caused or contributed to the plaintiff's injuries will be liable for those injuries: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(4.1) Conclusions on Causation, Divisibility, and Intervening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My conclusions with regard to causation, divisibility, and intervening events in respect of Mr. Cook's injuries are as follows:</w:t>
      </w:r>
      <w:r>
        <w:rPr>
          <w:rFonts w:ascii="arial" w:eastAsia="arial" w:hAnsi="arial" w:cs="arial"/>
          <w:sz w:val="20"/>
          <w:lang w:val="en-US" w:eastAsia="en-US" w:bidi="ar-SA"/>
        </w:rPr>
        <w:cr/>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Mr. Kang, Ms. Le, and Ms. Dempster are legally responsible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collisions #1, #3, and #4 respectively and are each liable for Mr. Cook's damages in respect of all injuries for which their conduct was a contributing cause.</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Collision #1, Mr. Cook had unresolved myofascial pain in his neck, shoulder, and back, and unresolved pain in his right knee.</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respect of Collision #1, Mr. Cook sustained (i) whiplash-type soft tissue injuries leading to myofascial pain with trigger points in his right neck and shoulder, (ii) soft tissue injury leading to back pain and right sided sciatica, and (iii) right knee pain. All of these injuries had the effect of aggravating Mr. Cook's pre-existing symptoms discussed in the preceding subparagraph.</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Cook's left knee condition, attributable to a torn meniscus that did not become symptomatic until more than two years after Collision #1, was not caused by Collision #1. For the purposes of the damages assessment, this is to be considered an independent intervening event.</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regard to Collision #2, Mr. Cook is not entitled to judgment against the defendant ICBC by virtue of a failure to meet his burden under s. 24(5) of the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 For the purposes of the damages assessment, Collision #2 is therefore also characterized as an independent intervening event.</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respect of collisions #3 and #4, Mr. Cook sustained further whiplash-type soft tissue injuries aggravating the unresolved symptoms from Collision #1 in relation to his neck, shoulder, back and right knee.</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injuries sustained by Mr. Cook in Collisions #1, #3, and #4 are indivisible. Accordingly, all three defendants, Mr. Kang, Ms. Le, and Ms. Dempster are jointly and severally liable for Mr. Cook's damages arising from the injuries sustained in these collisions.</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Cook's neck, right shoulder, and back symptoms, and his right-sided sciatica are all interrelated. The associated chronic myofascial pain caused Mr. Cook to adjust his posture, producing a "pelvic rotation" or "pelvic upslip". This pelvic upslip first emerged in November 2006 and was, I find, caused by the injuries sustained in Collision #1. The severity of the pelvic upslip and its effects have been aggravated by the injuries Mr. Cook sustained in collisions #3 and #4.</w:t>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pelvic upslip was not a pre-existing condition. However, Mr. Cook's unresolved soft tissue injuries preceding Collision #1 made him more susceptible to suffer postural problems in any subsequent injury, a factor that must be accounted for as a contingency in the assessment of damages.</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Cook's depression, which began in 2017 and has subsequently developed into a major depressive disorder, was the product of multiple factors, including the physical and psychological effects of Mr. Cook's collision-related injuries, Mr. Cook's separation from Ms. Behrenz, Mr. Cook's increasing financial difficulties, and Mr. Cook's fixation on or pre-occupation with perceived wrongs by various institutions including ICBC and various police agencies. Thus, the effects of Mr. Cook's collision-related injuries were one of a number of contributing causes for Mr. Cook's depression and major depressive disorder.</w:t>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terms of Mr. Cook's prognosis for recovery in relation to the major depressive disorder, there is uncontested evidence that this condition is treatable with anti-depressant medication.</w:t>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possible that even if Mr. Cook had not been involved in the collisions, he would have developed a major depressive disorder. There is evidence that Mr. Cook has a pre-disposition to disproportionate fixations on perceived wrongs by public institutions or bureaucracies, as evidenced by his 13 year battle with WCB, and his subsequent disproportionate responses to perceived wrongs by ICBC and the police, completely unrelated to Mr. Cook's collisions. This possibility must be accounted for through a contingent adjustment in the assessment of damages.</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Mr. Cook claims pecuniary damages for his out of pocket vehicle repair costs. With respect to his personal injuries, Mr. Cook advances a non-pecuniary damages claim, as well as a pecuniary damages claim for past and future loss of income earning capacity, special damages, and costs of future care. I will deal firstly with Mr. Cook's property damage claim, and then go on to consider each aspect of his personal injury damages claim.</w:t>
      </w:r>
      <w:r>
        <w:rPr>
          <w:rFonts w:ascii="arial" w:eastAsia="arial" w:hAnsi="arial" w:cs="arial"/>
          <w:sz w:val="20"/>
          <w:lang w:val="en-US" w:eastAsia="en-US" w:bidi="ar-SA"/>
        </w:rPr>
        <w:cr/>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Vehicle Damages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(5.1.1) Vehicle Damages in Relation to Collision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Recall that in Collision #1, which took place on King George Boulevard in Surrey on 24 September 2006, Mr. Cook's truck was rear-ended by Mr. Kang's van. Mr. Kang testified that the only point of impact on Mr. Cook's truck was the trailer hitch, and he saw no visual damage at the collision scene. It is in this context that the defendants dispute Mr. Cook's claim for vehicle repairs and rental of a replacement vehicle in connection with Collision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Mr. Cook testified that there was damage to his trailer hitch and he had to pay about $1,000 to have it replaced. His testimony was supported by a repair invoice in the amount of $1,056.67, and photographs of his truck. Mr. Cook also testified that he had to rent a vehicle while the repairs were carried out, at a cost of $1,440.85. He presented a vehicle rental invoice in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Mr. Cook was cross-examined at some length with respect to the extent of damage to his trailer hitch. In response to the suggestion that the hitch was fine and Mr. Cook paid to have it replaced for no reason, he testified that when he took his truck to the repair shop, the hitch was removed for examination, found to be slightly bent, and would not go back onto his truck, so he had to have it replaced. The photographs tendered by the plaintiff and additional photographs tendered by the defendants through Mr. West appear to me to show a slight bend in the trailer hitch. I accept, based on the testimony of Mr. Cook and the photographs that the hitch was damaged and had to be replaced. This conclusion is supported by common sense, which suggests that Mr. Cook would not have paid out of pocket to replace an undamaged hitch.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photographs of Mr. Cook's truck also show other damage, specifically to the back end, on and above the rear fender. This damage was clearly not caused by Mr. Kang's van, which only impacted Mr. Cook's trailer hitch. Mr. Cook agreed in cross-examination that this additional damage to his truck did not come from Collision #1. In fact, the invoice tendered by Mr. Cook indicates that the cost to remove and replace the trailer hitch was $261 plus tax. The same invoice includes some $675 plus tax for painting and body work associated with repairing and reinstalling the "right rail". The plaintiff is only entitled to damages in the amount of $292.32 for removal and replacement of the trailer hitch.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vehicle rental receipt indicates that Mr. Cook had use of a rental vehicle for 16 days at a total cost of $1,440.85. It seems to me that even without the repairs for vehicle damage unrelated to Collision #1, Mr. Cook would have had to rent a replacement vehicle while his truck was in the shop to remove and replace the trailer hitch. However, I find it hard to believe that would have taken 16 days. In the absence of any specific evidence from the plaintiff on this point, the only reasonable approach is to pro-rate the cost of the vehicle rental to accord with the cost of the collision-related repairs. Mr. Cook is thus entitled to $398.60 on account of vehicle rental costs pending the repair of his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In the net result, Mr. Cook is awarded $690.92 for the damage to his truck in Collision #1.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(5.1.2) Vehicle Damages in Relation to Collision #3 and Collision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Mr. Cook testified that as a result of Collision #3, the rear bumper of his truck was damaged and had to be replaced at a cost of $3,416. ICBC paid for those repairs, and Mr. Cook does not allege any further loss in connection with the damage to his truck in Collision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Mr. Cook testified that Collision #4 caused $3,000 to $4,000 in damage to his truck, but acknowledged that this was only a "guess". A vehicle repair estimate submitted to ICBC from a certified auto body shop estimates the cost of repairs at $2,020.46 was tendered in evidence. It appears that ICBC paid for the repairs, and Mr. Cook did not advance a claim for any additional amount in his closing argument.</w:t>
      </w:r>
      <w:r>
        <w:rPr>
          <w:rFonts w:ascii="arial" w:eastAsia="arial" w:hAnsi="arial" w:cs="arial"/>
          <w:sz w:val="20"/>
          <w:lang w:val="en-US" w:eastAsia="en-US" w:bidi="ar-SA"/>
        </w:rPr>
        <w:cr/>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The purpose of non-pecuniary damages is to compensate the plaintiff for pain and suffering, loss of amenities, or loss of enjoyment of life, recognizing the limitations inherent in trying to place a market value on such matters: </w:t>
      </w:r>
      <w:r>
        <w:rPr>
          <w:rFonts w:ascii="arial" w:eastAsia="arial" w:hAnsi="arial" w:cs="arial"/>
          <w:i/>
          <w:color w:val="000000"/>
          <w:sz w:val="20"/>
          <w:lang w:val="en-US" w:eastAsia="en-US" w:bidi="ar-SA"/>
        </w:rPr>
        <w:t>Gilliam v. Wiebe</w:t>
      </w:r>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2013 BCSC 565</w:t>
        </w:r>
      </w:hyperlink>
      <w:r>
        <w:rPr>
          <w:rFonts w:ascii="arial" w:eastAsia="arial" w:hAnsi="arial" w:cs="arial"/>
          <w:color w:val="000000"/>
          <w:sz w:val="20"/>
          <w:lang w:val="en-US" w:eastAsia="en-US" w:bidi="ar-SA"/>
        </w:rPr>
        <w:t xml:space="preserve"> at para. 68; </w:t>
      </w:r>
      <w:r>
        <w:rPr>
          <w:rFonts w:ascii="arial" w:eastAsia="arial" w:hAnsi="arial" w:cs="arial"/>
          <w:i/>
          <w:color w:val="000000"/>
          <w:sz w:val="20"/>
          <w:lang w:val="en-US" w:eastAsia="en-US" w:bidi="ar-SA"/>
        </w:rPr>
        <w:t>Pan v. Shihundu</w:t>
      </w:r>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2014 BCSC 504</w:t>
        </w:r>
      </w:hyperlink>
      <w:r>
        <w:rPr>
          <w:rFonts w:ascii="arial" w:eastAsia="arial" w:hAnsi="arial" w:cs="arial"/>
          <w:color w:val="000000"/>
          <w:sz w:val="20"/>
          <w:lang w:val="en-US" w:eastAsia="en-US" w:bidi="ar-SA"/>
        </w:rPr>
        <w:t xml:space="preserve"> at para. 109. The quantum of the award is determined not by reference to the nature of the particular injury in the abstract, but rather by the "ability to ameliorate the condition of the victim considering his or her particular situation":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Lindal</w:t>
      </w:r>
      <w:r>
        <w:rPr>
          <w:rFonts w:ascii="arial" w:eastAsia="arial" w:hAnsi="arial" w:cs="arial"/>
          <w:color w:val="000000"/>
          <w:sz w:val="20"/>
          <w:lang w:val="en-US" w:eastAsia="en-US" w:bidi="ar-SA"/>
        </w:rPr>
        <w:t>] at p. 637.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at para. 46 the Court provided a non-exhaustive list of factors to be taken into account in determining an appropriate award for non-pecuniary damages. These factors include the plaintiff's age, the nature of the injury, the severity and duration of the plaintiff's pain, emotional suffering, the extent of any disability, the effect on family and social relationships, impairment of the plaintiff's mental and physical abilities, the impact on the plaintiff's lifestyle, and any evidence of stoicism, with this last factor being a consideration which should not operate to penalize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The case at bar involves a claim for damages associated with what are commonly referred to as soft tissue injuries resulting in chronic pain. In this context, the defendants cite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in which McEachern C.J.S.C., as he then was, expressed concern at para. 4 that in cases of whiplash-type soft tissue injuries, the defendant "is often at the mercy of" the plaintiff because complaints of pain "cannot easily be disproved". The Chief Justice then quoted from an earlier undecided case in which he reasoned that "the court should be exceedingly careful when there is little or no objective evidence of continuing injury and when complaints of pain persist for long periods extending beyond the normal or usual recovery". Thus, the court should look for "evidence of a 'convincing' nature to overcome the improbability that pain will continue, in the absence of objective symptoms, well beyond the normal recovery period". Yet even with these concerns, "the plaintiff's own evidence, if consistent with the surrounding circumstances", may be taken as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 am mindful of the need for close scrutiny in assessing a claim for damage based on chronic pain where there is no objective evidence of a continuing injury. I am also cognizant of the credibility concerns with respect to the testimony of Mr. Cook. However, Mr. Cook's testimony about chronic pain does not stand on its own. There is objective evidence of ongoing injury or symptomology of a sort that is supportive of Mr. Cook's testimony. In particular, there is the evidence of Mr. Cook's treatment providers, Ms. Martens and Mr. Leyland-Harris, who gave similar descriptions of Mr. Cook's ongoing and recurring pelvic "rotation" or "upslip". This reliable and compelling objective evidence is entirely consistent with the expert opinion evidence of Dr. Kagan and Dr. Shuckett that Mr. Cook presents with right-sided "sciatic symptoms" or sciatica. All of this is supportive of Mr. Cook's testimony that he has suffered from and continues to suffer from neck, right shoulder, back, and leg pain significantly affecting his posture.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Still, I am mindful that Mr. Cook has been inclined to overstate the extent of his pain and, perhaps more significantly, the extent of disability or limitation flowing from his injuries. I have referred above to the issues with respect to Mr. Cook's credibility, and I note my earlier finding that Mr. Cook's physical limitations are not as significant as he claimed them to be in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Having regard to the factors listed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I would summarize the relevant circumstances of Mr. Cook's case as follows:</w:t>
      </w:r>
      <w:r>
        <w:rPr>
          <w:rFonts w:ascii="arial" w:eastAsia="arial" w:hAnsi="arial" w:cs="arial"/>
          <w:sz w:val="20"/>
          <w:lang w:val="en-US" w:eastAsia="en-US" w:bidi="ar-SA"/>
        </w:rPr>
        <w:cr/>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Cook was 38 years old when the first collision in issue in this proceeding occurred. At that time he was not an entirely healthy or injury-free person, having unresolved complaints of soft-tissue pain as reflected in entries within clinical records confirmed in cross-examination of Dr. Kagan.</w:t>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Collision #1, Mr. Cook suffered injuries that had the effect of aggravating his pre-existing conditions. He also, within a matter of months, developed postural problems associated with his whiplash-type injuries, the most significant physical manifestation of which is a notable pelvic "rotation" or "upslip". Since Collision #1, Mr. Cook has had chronic pain in his neck, right shoulder, back, and legs, as evidenced by the aforementioned pelvic upslip.</w:t>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continuing symptoms from Collision #1 have been exacerbated by Collision #3 (which occurred when Mr. Cook was 46 years old) and Collision #4 (which occurred when Mr. Cook was 48 years old).</w:t>
      </w:r>
    </w:p>
    <w:p>
      <w:pPr>
        <w:numPr>
          <w:numId w:val="1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Cook has also experienced a number of independent intervening events, including the effects of Collision #2, and left knee pain from a torn meniscus which was surgically repaired and is now resolved.</w:t>
      </w:r>
    </w:p>
    <w:p>
      <w:pPr>
        <w:numPr>
          <w:numId w:val="1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Cook is now 52 years old. He will likely continue to experience chronic pain for the indefinite future. He is able to obtain intermittent relief from his postural problems through passive physical therapies, although the postural problem is a recurring issue which can be expected to continue indefinitely.</w:t>
      </w:r>
    </w:p>
    <w:p>
      <w:pPr>
        <w:numPr>
          <w:numId w:val="1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terms of how the injuries have impacted on Mr. Cook's lifestyle, prior to the collisions Mr. Cook was a reasonably active person, though not entirely free from physical limitations. He was an avid golfer, and enjoyed attending live sporting events, although I find as a fact that Mr. Cook did have some pre-existing limitation on his ability to sit comfortably for prolonged periods of time. Since the collisions, Mr. Cook no longer enjoys playing golf and finds live sporting events less enjoyable. Mr. Cook is also limited in his ability to participate in various sporting and recreational pursuits with his son. Given that his son is now 10 years old, I would not understate the impact of this particular limitation on Mr. Cook and his relationship with his son.</w:t>
      </w:r>
    </w:p>
    <w:p>
      <w:pPr>
        <w:numPr>
          <w:numId w:val="1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Starting some time in 2017, Mr. Cook experienced depression which has since developed into a major depressive disorder. This condition is treatable with anti-depressant medication and could be expected to resolve within a reasonable period of time. There is some possibility that even in the absence of his collision-related injuries Mr. Cook would have experienced depression developing into a major depressive disorder.</w:t>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consequence of both his physical injuries and, more significantly, his depression, Mr. Cook's personal relationships have suffered and he has become socially isolated. There is some possibility or likelihood that even in the absence of the collision-related injuries and their effects, Mr. Cook's social life and relationships would have significantly deteriorated in any event, due to a predisposition to become disproportionately fixated on perceived wrongs at the hands of government agencies or bureaucratic institutions.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Counsel for Mr. Cook cited a collection of cases with inflation-adjusted non-pecuniary damage awards ranging from $86,000 to $200,000. See </w:t>
      </w:r>
      <w:r>
        <w:rPr>
          <w:rFonts w:ascii="arial" w:eastAsia="arial" w:hAnsi="arial" w:cs="arial"/>
          <w:i/>
          <w:color w:val="000000"/>
          <w:sz w:val="20"/>
          <w:lang w:val="en-US" w:eastAsia="en-US" w:bidi="ar-SA"/>
        </w:rPr>
        <w:t>Hubbs v. Escueta</w:t>
      </w:r>
      <w:r>
        <w:rPr>
          <w:rFonts w:ascii="arial" w:eastAsia="arial" w:hAnsi="arial" w:cs="arial"/>
          <w:color w:val="000000"/>
          <w:sz w:val="20"/>
          <w:lang w:val="en-US" w:eastAsia="en-US" w:bidi="ar-SA"/>
        </w:rPr>
        <w:t xml:space="preserve">, </w:t>
      </w:r>
      <w:hyperlink r:id="rId492" w:history="1">
        <w:r>
          <w:rPr>
            <w:rFonts w:ascii="arial" w:eastAsia="arial" w:hAnsi="arial" w:cs="arial"/>
            <w:i/>
            <w:color w:val="0077CC"/>
            <w:sz w:val="20"/>
            <w:u w:val="single"/>
            <w:shd w:val="clear" w:color="auto" w:fill="FFFFFF"/>
            <w:lang w:val="en-US" w:eastAsia="en-US" w:bidi="ar-SA"/>
          </w:rPr>
          <w:t>2013 BCSC 103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Easton v. Wolovets</w:t>
      </w:r>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2015 BCSC 210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Yannacopoulos v. Cronk</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2015 BCSC 1154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Jafferi v. Hardcastle</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2018 BCSC 486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McCann v. Anderson</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2019 BCSC 245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Gill v. Apeldoorn</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2019 BCSC 798</w:t>
        </w:r>
      </w:hyperlink>
      <w:r>
        <w:rPr>
          <w:rFonts w:ascii="arial" w:eastAsia="arial" w:hAnsi="arial" w:cs="arial"/>
          <w:color w:val="000000"/>
          <w:sz w:val="20"/>
          <w:lang w:val="en-US" w:eastAsia="en-US" w:bidi="ar-SA"/>
        </w:rPr>
        <w:t>. Mr. Cook argues that the circumstances in his case call for an award in the upper end of this range. He seeks non-pecuniary damages of $175,000.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Counsel for the defendants cited cases with inflation-adjusted awards ranging from $44,000 to $72,000. See </w:t>
      </w:r>
      <w:r>
        <w:rPr>
          <w:rFonts w:ascii="arial" w:eastAsia="arial" w:hAnsi="arial" w:cs="arial"/>
          <w:i/>
          <w:color w:val="000000"/>
          <w:sz w:val="20"/>
          <w:lang w:val="en-US" w:eastAsia="en-US" w:bidi="ar-SA"/>
        </w:rPr>
        <w:t>Pan v. Shihundu</w:t>
      </w:r>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2014 BCSC 504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Demidas v. Poinen</w:t>
      </w:r>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2012 BCSC 416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Keenan v. Fletcher</w:t>
      </w:r>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2011 BCSC 520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Saidy v. Louzado</w:t>
      </w:r>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2019 BCSC 281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Jiwani v. Borodi</w:t>
      </w:r>
      <w:r>
        <w:rPr>
          <w:rFonts w:ascii="arial" w:eastAsia="arial" w:hAnsi="arial" w:cs="arial"/>
          <w:color w:val="000000"/>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2014 BCSC 1164</w:t>
        </w:r>
      </w:hyperlink>
      <w:r>
        <w:rPr>
          <w:rFonts w:ascii="arial" w:eastAsia="arial" w:hAnsi="arial" w:cs="arial"/>
          <w:color w:val="000000"/>
          <w:sz w:val="20"/>
          <w:lang w:val="en-US" w:eastAsia="en-US" w:bidi="ar-SA"/>
        </w:rPr>
        <w:t>. The defendants take the position that Mr. Cook should receive non-pecuniary damages in that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While awards in other cases may be useful in gauging what is reasonable, the case law does not establish a tariff for any particular kind of injury, and the award must always be determined based on an individualized assessment of the plaintiff's loss: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at para. 45, citing </w:t>
      </w:r>
      <w:r>
        <w:rPr>
          <w:rFonts w:ascii="arial" w:eastAsia="arial" w:hAnsi="arial" w:cs="arial"/>
          <w:i/>
          <w:color w:val="000000"/>
          <w:sz w:val="20"/>
          <w:lang w:val="en-US" w:eastAsia="en-US" w:bidi="ar-SA"/>
        </w:rPr>
        <w:t>Lindal</w:t>
      </w:r>
      <w:r>
        <w:rPr>
          <w:rFonts w:ascii="arial" w:eastAsia="arial" w:hAnsi="arial" w:cs="arial"/>
          <w:color w:val="000000"/>
          <w:sz w:val="20"/>
          <w:lang w:val="en-US" w:eastAsia="en-US" w:bidi="ar-SA"/>
        </w:rPr>
        <w:t xml:space="preserve"> at p. 637. Awards in other cases can assist in identifying a "general range of damages". When considering awards made in other cases, the court must bear in mind the obvious reality that no two plaintiffs will ever be in exactly the same position, suffer the same kind of injury, have the same reaction, or respond to treatment in the same way: </w:t>
      </w:r>
      <w:r>
        <w:rPr>
          <w:rFonts w:ascii="arial" w:eastAsia="arial" w:hAnsi="arial" w:cs="arial"/>
          <w:i/>
          <w:color w:val="000000"/>
          <w:sz w:val="20"/>
          <w:lang w:val="en-US" w:eastAsia="en-US" w:bidi="ar-SA"/>
        </w:rPr>
        <w:t>Jones v. Davenport</w:t>
      </w:r>
      <w:r>
        <w:rPr>
          <w:rFonts w:ascii="arial" w:eastAsia="arial" w:hAnsi="arial" w:cs="arial"/>
          <w:color w:val="000000"/>
          <w:sz w:val="20"/>
          <w:lang w:val="en-US" w:eastAsia="en-US" w:bidi="ar-SA"/>
        </w:rPr>
        <w:t xml:space="preserve">, </w:t>
      </w:r>
      <w:hyperlink r:id="rId502" w:history="1">
        <w:r>
          <w:rPr>
            <w:rFonts w:ascii="arial" w:eastAsia="arial" w:hAnsi="arial" w:cs="arial"/>
            <w:i/>
            <w:color w:val="0077CC"/>
            <w:sz w:val="20"/>
            <w:u w:val="single"/>
            <w:shd w:val="clear" w:color="auto" w:fill="FFFFFF"/>
            <w:lang w:val="en-US" w:eastAsia="en-US" w:bidi="ar-SA"/>
          </w:rPr>
          <w:t>2008 BCSC 18</w:t>
        </w:r>
      </w:hyperlink>
      <w:r>
        <w:rPr>
          <w:rFonts w:ascii="arial" w:eastAsia="arial" w:hAnsi="arial" w:cs="arial"/>
          <w:color w:val="000000"/>
          <w:sz w:val="20"/>
          <w:lang w:val="en-US" w:eastAsia="en-US" w:bidi="ar-SA"/>
        </w:rPr>
        <w:t xml:space="preserve"> at para. 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In the case at bar, Mr. Cook's soft-tissue injuries are not insignificant and have obviously caused him considerable discomfort for a number of years. Mr. Cook is now 52 years old and there is no real prospect that his physical condition will improve. The injuries have had moderate impacts upon his lifestyle, although it must also be acknowledged that Mr. Cook was not entirely pain free prior to the collisions. Mr. Cook has also suffered depression, with physical symptoms and effects on his personal and social relationships, although the depression and its effects only emerged in the past several years and can be expected to resolve with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In my view an appropriate global award of damages for Mr. Cook's collision-related injuries is $110,000, subject to adjustments for certain contingencies as follows. I would reduce the award by 30% to address the contingency that Mr. Cook's pre-existing complaints would have developed into symptoms equal to or overlapping with his current condition, taking into account the impact of Collision #2 as an intervening event. I would also reduce the award by a further 10% for the contingency that Mr. Cook would have experienced a depressive disorder with physical and social effects equal to or overlapping with his current condition, keeping in mind my finding that the depression is likely to resolve with treatment. In the net result I would award Mr. Cook non-pecuniary damages of $66,000.</w:t>
      </w:r>
      <w:r>
        <w:rPr>
          <w:rFonts w:ascii="arial" w:eastAsia="arial" w:hAnsi="arial" w:cs="arial"/>
          <w:sz w:val="20"/>
          <w:lang w:val="en-US" w:eastAsia="en-US" w:bidi="ar-SA"/>
        </w:rPr>
        <w:cr/>
      </w:r>
    </w:p>
    <w:p>
      <w:pPr>
        <w:numPr>
          <w:numId w:val="17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Loss of Past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A claim for loss of past earnings may be a straightforward matter where it is based on a readily ascertainable "transparent income loss". However, where the claim involves an alleged loss of earning capacity that turns not only on "past facts" but also "hypothetical events", the analysis is more nuanced, as explained in </w:t>
      </w:r>
      <w:r>
        <w:rPr>
          <w:rFonts w:ascii="arial" w:eastAsia="arial" w:hAnsi="arial" w:cs="arial"/>
          <w:i/>
          <w:color w:val="000000"/>
          <w:sz w:val="20"/>
          <w:lang w:val="en-US" w:eastAsia="en-US" w:bidi="ar-SA"/>
        </w:rPr>
        <w:t>Gao v. Dietrich</w:t>
      </w:r>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2018 BCCA 372</w:t>
        </w:r>
      </w:hyperlink>
      <w:r>
        <w:rPr>
          <w:rFonts w:ascii="arial" w:eastAsia="arial" w:hAnsi="arial" w:cs="arial"/>
          <w:color w:val="000000"/>
          <w:sz w:val="20"/>
          <w:lang w:val="en-US" w:eastAsia="en-US" w:bidi="ar-SA"/>
        </w:rPr>
        <w:t xml:space="preserve"> at para. 32-36, applying, </w:t>
      </w:r>
      <w:r>
        <w:rPr>
          <w:rFonts w:ascii="arial" w:eastAsia="arial" w:hAnsi="arial" w:cs="arial"/>
          <w:i/>
          <w:color w:val="000000"/>
          <w:sz w:val="20"/>
          <w:lang w:val="en-US" w:eastAsia="en-US" w:bidi="ar-SA"/>
        </w:rPr>
        <w:t>inter alia, Grewal v. Naumann</w:t>
      </w:r>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 xml:space="preserve"> at para. 43-54 (per Goepel J.A. in dissent in the result, but with the concurrence of the majority on this point per D. Smith J.A. at para. 66), and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 would summarize the principles governing a claim for loss of past earning capacity based on what "might have happened" as follows:</w:t>
      </w:r>
      <w:r>
        <w:rPr>
          <w:rFonts w:ascii="arial" w:eastAsia="arial" w:hAnsi="arial" w:cs="arial"/>
          <w:sz w:val="20"/>
          <w:lang w:val="en-US" w:eastAsia="en-US" w:bidi="ar-SA"/>
        </w:rPr>
        <w:cr/>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establish the loss, the plaintiff must show (i) impairment of earning capacity, and (ii) a real and substantial possibility of an event resulting in a loss of earnings: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xml:space="preserve"> at para. 48.</w:t>
      </w:r>
    </w:p>
    <w:p>
      <w:pPr>
        <w:numPr>
          <w:numId w:val="1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analysis, past facts must be proven on a balance of probabilities. With respect to hypothetical events, the standard is not proof on a balance of probabilities but rather proof of a real and substantial possibility as opposed to mere speculation: </w:t>
      </w:r>
      <w:r>
        <w:rPr>
          <w:rFonts w:ascii="arial" w:eastAsia="arial" w:hAnsi="arial" w:cs="arial"/>
          <w:i/>
          <w:color w:val="000000"/>
          <w:sz w:val="20"/>
          <w:lang w:val="en-US" w:eastAsia="en-US" w:bidi="ar-SA"/>
        </w:rPr>
        <w:t>Gao</w:t>
      </w:r>
      <w:r>
        <w:rPr>
          <w:rFonts w:ascii="arial" w:eastAsia="arial" w:hAnsi="arial" w:cs="arial"/>
          <w:color w:val="000000"/>
          <w:sz w:val="20"/>
          <w:lang w:val="en-US" w:eastAsia="en-US" w:bidi="ar-SA"/>
        </w:rPr>
        <w:t xml:space="preserve"> at para. 34-40.</w:t>
      </w:r>
    </w:p>
    <w:p>
      <w:pPr>
        <w:numPr>
          <w:numId w:val="1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 loss is established, damages must then be assessed using either the "earnings approach" or the "capital asset approach":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xml:space="preserve"> at para.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In the case at bar, the plaintiff's written submission begins with a concession that it is "difficult to assess Mr. Cook's income loss". Plaintiff's counsel makes it clear that Mr. Cook is not asserting a loss of "gambling income", because the nature of gambling makes it "too speculative" and over the long run "the house always wins". Plaintiff's counsel further accepts that it would not be reasonable to base a claim of lost earning capacity on Mr. Cook's real estate development project, which might fairly have been regarded as a "one off" that may never have been repeated. Plaintiff's counsel ultimately rested Mr. Cook's claim for loss of past earning capacity on the assertion that if he had not been injured in the collisions, Mr. Cook would have continued to earn income of $56,667 per year, representing his average annual income from Edward's International over the three year period from 2004 to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Recall that Edward's International is a closely held corporation, owned by Mr. Cook, through which he ran two separate business lines. One line of business related to personal security and counter-surveillance services, and the other business line involved the sale of promotional items including t-shirts and other merchandise bearing luxury automobile logos. Mr. Cook earned T4 income of $60,000 in 2004, $60,000 in 2005, and $50,000 in 2006, in the form of a salary or management fees from Edward's International. Mr. Cook relies on this evidence to assert that if he had not been involved in the collisions, there is a realistic possibility that he would have earned an average salary of $56,667 per year from August of 2010 up to the date of trial in September of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 conclude that Mr. Cook's claim for loss of past earning capacity must fail due to an absence of proof that he suffered an actual loss capacity. There is no evidence that as a result of his injuries from Collisions #1, #3, and #4, Mr. Cook was physically limited in his ability to carry on either of the two lines of business that he previously conducted through Edward's International, or work in any other kind of occupation that would furnish him with a comparable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Mr. Lauder's opinion was that Cook is not physically capable of meeting some of the job demands of his stated pre-collision occupation as a "construction worker". Accepting that Mr. Cook was physically limited in his ability to perform some of the more physical aspects of construction work, the reality is that he was able to and did in fact continue to supervise the Gore Avenue construction project, seeing it through to its conclusion in 2010. None of this evidence advances Mr. Cook's position that he suffered a loss of capacity to carry on the kind of business that he had previously run through Edward's International.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In his testimony in chief, Mr. Cook did not say he was unable to work in any capacity at any particular point in time following the collisions. Mr. Cook testified that he wrapped up his residential construction project in 2010, estimating that he might have made about $1,000,000 in total profit from the sale of the three detached homes erected on Gore Avenue. He went on to describe his subsequent sources of income, his investments, and his financial situation, but gave no evidence about any effort to find work, or to pursue any particular occupation or career path subsequent to the residential construction undertaking that concluded almost ten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When asked in cross-examination why he was not presently looking for work, his two-pronged explanation was that the pain from the collisions has not yet gone away, and he was looking for something to do in life. He then added that he was waiting for doctors to tell him what he can and cannot do. I am not sure what to make of that particular remark, but I do not consider it supportive of the assertion that Mr. Cook suffered any actual loss of capacity to earn income. The part of Mr. Cook's answer that had the greatest ring of truth was his frank acknowledgment that he is 'looking for something to do in life', or words to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In the result, Mr. Cook has utterly failed to prove any material impairment of his earning capacity. There is therefore no need to undertake any valuation of loss. Mr. Cook's claim for loss of past earning capacity must fail.</w:t>
      </w:r>
      <w:r>
        <w:rPr>
          <w:rFonts w:ascii="arial" w:eastAsia="arial" w:hAnsi="arial" w:cs="arial"/>
          <w:sz w:val="20"/>
          <w:lang w:val="en-US" w:eastAsia="en-US" w:bidi="ar-SA"/>
        </w:rPr>
        <w:cr/>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Mr. Cook's claim for loss of future earning capacity rests on the same footing as his past earning capacity claim and it fails for the same reason.</w:t>
      </w:r>
      <w:r>
        <w:rPr>
          <w:rFonts w:ascii="arial" w:eastAsia="arial" w:hAnsi="arial" w:cs="arial"/>
          <w:sz w:val="20"/>
          <w:lang w:val="en-US" w:eastAsia="en-US" w:bidi="ar-SA"/>
        </w:rPr>
        <w:cr/>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A plaintiff is entitled to reasonable out-of-pocket expenses incurred as a result of the defendant's tortious conduct: </w:t>
      </w:r>
      <w:r>
        <w:rPr>
          <w:rFonts w:ascii="arial" w:eastAsia="arial" w:hAnsi="arial" w:cs="arial"/>
          <w:i/>
          <w:color w:val="000000"/>
          <w:sz w:val="20"/>
          <w:lang w:val="en-US" w:eastAsia="en-US" w:bidi="ar-SA"/>
        </w:rPr>
        <w:t>Hollyer v. Gaston</w:t>
      </w:r>
      <w:r>
        <w:rPr>
          <w:rFonts w:ascii="arial" w:eastAsia="arial" w:hAnsi="arial" w:cs="arial"/>
          <w:color w:val="000000"/>
          <w:sz w:val="20"/>
          <w:lang w:val="en-US" w:eastAsia="en-US" w:bidi="ar-SA"/>
        </w:rPr>
        <w:t xml:space="preserve">, </w:t>
      </w:r>
      <w:hyperlink r:id="rId506" w:history="1">
        <w:r>
          <w:rPr>
            <w:rFonts w:ascii="arial" w:eastAsia="arial" w:hAnsi="arial" w:cs="arial"/>
            <w:i/>
            <w:color w:val="0077CC"/>
            <w:sz w:val="20"/>
            <w:u w:val="single"/>
            <w:shd w:val="clear" w:color="auto" w:fill="FFFFFF"/>
            <w:lang w:val="en-US" w:eastAsia="en-US" w:bidi="ar-SA"/>
          </w:rPr>
          <w:t>2016 BCSC 1401</w:t>
        </w:r>
      </w:hyperlink>
      <w:r>
        <w:rPr>
          <w:rFonts w:ascii="arial" w:eastAsia="arial" w:hAnsi="arial" w:cs="arial"/>
          <w:color w:val="000000"/>
          <w:sz w:val="20"/>
          <w:lang w:val="en-US" w:eastAsia="en-US" w:bidi="ar-SA"/>
        </w:rPr>
        <w:t xml:space="preserve"> at para. 140, applying </w:t>
      </w:r>
      <w:r>
        <w:rPr>
          <w:rFonts w:ascii="arial" w:eastAsia="arial" w:hAnsi="arial" w:cs="arial"/>
          <w:i/>
          <w:color w:val="000000"/>
          <w:sz w:val="20"/>
          <w:lang w:val="en-US" w:eastAsia="en-US" w:bidi="ar-SA"/>
        </w:rPr>
        <w:t>Hill v. Murray</w:t>
      </w:r>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2014 BCSC 1528</w:t>
        </w:r>
      </w:hyperlink>
      <w:r>
        <w:rPr>
          <w:rFonts w:ascii="arial" w:eastAsia="arial" w:hAnsi="arial" w:cs="arial"/>
          <w:color w:val="000000"/>
          <w:sz w:val="20"/>
          <w:lang w:val="en-US" w:eastAsia="en-US" w:bidi="ar-SA"/>
        </w:rPr>
        <w:t xml:space="preserve"> at para. 213. For medical expenses, evidence of medical justification is a factor in determining reasonableness: </w:t>
      </w:r>
      <w:r>
        <w:rPr>
          <w:rFonts w:ascii="arial" w:eastAsia="arial" w:hAnsi="arial" w:cs="arial"/>
          <w:i/>
          <w:color w:val="000000"/>
          <w:sz w:val="20"/>
          <w:lang w:val="en-US" w:eastAsia="en-US" w:bidi="ar-SA"/>
        </w:rPr>
        <w:t>Redl v. Sellin</w:t>
      </w:r>
      <w:r>
        <w:rPr>
          <w:rFonts w:ascii="arial" w:eastAsia="arial" w:hAnsi="arial" w:cs="arial"/>
          <w:color w:val="000000"/>
          <w:sz w:val="20"/>
          <w:lang w:val="en-US" w:eastAsia="en-US" w:bidi="ar-SA"/>
        </w:rPr>
        <w:t xml:space="preserve">, </w:t>
      </w:r>
      <w:hyperlink r:id="rId508" w:history="1">
        <w:r>
          <w:rPr>
            <w:rFonts w:ascii="arial" w:eastAsia="arial" w:hAnsi="arial" w:cs="arial"/>
            <w:i/>
            <w:color w:val="0077CC"/>
            <w:sz w:val="20"/>
            <w:u w:val="single"/>
            <w:shd w:val="clear" w:color="auto" w:fill="FFFFFF"/>
            <w:lang w:val="en-US" w:eastAsia="en-US" w:bidi="ar-SA"/>
          </w:rPr>
          <w:t>2013 BCSC 581</w:t>
        </w:r>
      </w:hyperlink>
      <w:r>
        <w:rPr>
          <w:rFonts w:ascii="arial" w:eastAsia="arial" w:hAnsi="arial" w:cs="arial"/>
          <w:color w:val="000000"/>
          <w:sz w:val="20"/>
          <w:lang w:val="en-US" w:eastAsia="en-US" w:bidi="ar-SA"/>
        </w:rPr>
        <w:t xml:space="preserve"> at para.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Mr. Cook's claim for special damages is based on calculations in a collection of spreadsheets, namely spreadsheet #1 (exhibit 7A) and spreadsheet #2 (exhibit 7), both of which were supported by receipts. My analysis of the special damages claimed by Mr. Cook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(5.5.1) Prescription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Spreadsheet #1 (Ex. 7A) lists a total of $6,605.56 in prescription medications. This must be reduced by $469.09 for costs of Ramipril and Hydrochlorothiazide, two blood pressure medications not tied to Mr. Cook's collision-related injuries. This leaves $6,136.47. Of this subtotal, $1,875.73 relates to Zopiclone, Raberazole, and Oxycodone, three medications Mr. Cook had been taking before Collision #1. I would reduce the claim for these particular drugs by 30% to address the contingencies that Mr. Cook's pre-existing complaints would have required him to take these drugs anyway, or alternatively those complaints would have developed into symptoms equal to or overlapping with his current condition. This reduces the total by $562.71. This leaves a total of $5,573.76 in medication costs from spreadsheet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Spreadsheet #2 (Ex. 7) lists a total of $5,296.23 of out of pocket expenditures on medication. From this, I would deduct the following amounts:</w:t>
      </w:r>
      <w:r>
        <w:rPr>
          <w:rFonts w:ascii="arial" w:eastAsia="arial" w:hAnsi="arial" w:cs="arial"/>
          <w:sz w:val="20"/>
          <w:lang w:val="en-US" w:eastAsia="en-US" w:bidi="ar-SA"/>
        </w:rPr>
        <w:cr/>
      </w:r>
    </w:p>
    <w:p>
      <w:pPr>
        <w:numPr>
          <w:numId w:val="1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total of $608.53 for costs of Ramipril and Hydrochlorothiazide, drugs Mr. Cook used for treatment of a high blood pressure condition with no connection to his collision-related injuries.</w:t>
      </w:r>
    </w:p>
    <w:p>
      <w:pPr>
        <w:numPr>
          <w:numId w:val="1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total of $3,297.98, for Cialis and Testosterone. Mr. Cook testified that at a certain point he experienced reduced sex drive and suffered from the effects of low testosterone. Mr. Cook came to believe, based on a consultation with a specialist, Dr. Ur, that he had developed a low testosterone condition due to prolonged opiate use. The clinical records of Dr. Kagan contained correspondence from Dr. Ur, admissible under the document agreement to prove that Mr. Cook was prescribed testosterone injections and Cialis, but not admissible to prove the nature or cause of the underlying condition. Although Mr. Cook took oxycodone after Collision #1, there is also evidence that Mr. Cook had been taking prescription opiates for pre-existing complaints. On this record, it would not be fair to the defendants to allow the plaintiff to base his claim for recovery of these expenses on a hearsay expert opinion not placed before the court in an admissible expert report. Even if it were admissible, Dr. Ur's untested hearsay opinion - consisting of a single sentence in a letter to Dr. Kagan - would not provide the court with enough information on which to base a finding that collisions #1, #3 and #4 materially contributed to Mr. Cook's low testosterone condition.</w:t>
      </w:r>
    </w:p>
    <w:p>
      <w:pPr>
        <w:numPr>
          <w:numId w:val="1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further $174.26, representing 40% of the $580.87 which Mr. Cook spent on Zopiclone, Raberazole. This reduction is necessary to account for the contingencies discussed above, namely that even without collisions #1, #3, and #4, Mr. Cook's pre-existing complaints would have required him to take these drugs anyway, or alternatively would have developed into symptoms equal to or overlapping with his post-collision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leaves $1,215.46 in prescription medication costs from spreadsheet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allowable expenses for prescription medications can therefore be calculated as $5,573.76 from Spreadsheet #1 (Ex. 7A) and $1,215.46 from Spreadsheet #2 (Ex. 7A), for a total of $6,789.22.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(5.5.2) Physiotherapy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Spreadsheet #1 (Ex. 7A) lists $2,170 in physiotherapy costs. Spreadsheet #2 (Ex. 7) lists a further $60,400.86 in physiotherapy costs. I accept, based on the evidence of Mr. Cook and his two principal therapists, Ms. Martens and Mr. Leyland-Harris, that as a general rule and subject to the limitations discussed below, the amounts paid by Mr. Cook for physiotherapy treatments are reasonable expenses incurred to treat his injuries and associated chronic pain and postural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Counsel for the defendants submitted that Mr. Cook should not be compensated for these physiotherapy costs because the treatments were not "time limited and goal oriented". Counsel cites the evidence of Ms. Martens and Mr. Leyland-Harris that at the beginning of each session Mr. Cook would present with a pelvic rotation or upslip, which would dissipate by the end of the treatment, only to be present again at the beginning of the next treatment session. Thus, over a number of years, Mr. Cook's physiotherapy treatments have yielded no overall improvement in his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Despite this evidence, I do not agree with counsel's submission that Mr. Cook's physiotherapy treatments can be dismissed as "repetitive" and "unhelpful". The fact is, Mr. Cook's chronic pain has caused him to suffer from an objectively identifiable postural problem, referred to in the evidence as a pelvic rotation or pelvic upslip. The physiotherapy treatments have been effective in ameliorating that condition, albeit without making it go away. The fact that Mr. Cook's postural problem is recurrent or persistent does not mean that the physiotherapy he has received has served no point. As a general rule, and subject to the limitations below, I find that the physiotherapy treatments were in response to Mr. Cook's collision-related injuries and are reasonable expenses for which he should be compensated.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Of the $60,400.86 in physiotherapy costs listed in Spreadsheet #2, a total of $24,015.86 is for personal trainer expenses from 2011 to 2014. The evidence indicates that Mr. Cook paid these amounts for strength and conditioning training with a personal trainer, Mr. Bergstrom, as "part and parcel" of the physiotherapy program administered by Mr. Leyland-Harris.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defendants question whether it is reasonable to compensate Mr. Cook for his decision to pay roughly $8,000 per year for one-on-one personal training sessions with an elite professional trainer. The defendants point out that Mr. Lauder, who prepared Mr. Cook's cost of future care report, was not aware that Mr. Cook had incurred tens of thousand of dollars in personal trainer costs. Mr. Lauder testified in cross-examination that he did not support or recommend personal fitness training, and his costs of future care report only recommend six to eight weeks of treatment and instruction by a trained kinesiologist at a total cost of $1,300 to $1,700. Also recall the evidence of Ms. Martens, Mr. Cook's initial physiotherapist, who provided Mr. Cook with a home-based exercise and stretching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Taking into account all of this evidence, I agree with the defendants that Mr. Cook's decision to spend some $8,000 per year for one-on-one personal training sessions was extravagant, unreasonable, and disproportionate, having regard to the other courses of action open to him, including the option of home-based exercise and stretching, or the option of obtaining a gym pass to do self-directed fitness training with input from his two physiotherapists. I would therefore reduce the amount awarded for personal training by two-thirds. This reduces the allowable physiotherapy expenses to $46,570.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 defendants also submit that it was unreasonable for Mr. Cook to obtain treatment from two separate physiotherapists, Ms. Martens and Mr. Leyland-Harris for overlapping time periods. The period of overlap is between December 2013 (when Mr. Cook started receiving treatment from Mr. Leyland-Harris at Level 10) and June 2015 (when Mr. Cook stopped receiving treatment from Ms. Martens at Urban Active). The defendants say this was occurring during a time when Mr. Cook was under the care of Dr. Kagan, who "abdicated her responsibility" for overseeing Mr. Cook's physiotherapy treatment. Although I do not agree with that submission, I do accept the argument that it was not reasonable for Mr. Cook to be receiving treatments from two separate physiotherapy clinics over a period of some 18 months. Mr. Cook's list of physiotherapy expenses from Level 10 (Ex. 7D) indicates that during this time frame, Mr. Cook was seeing Mr. Leyland-Harris for treatment one or two times per week. The list of physiotherapy expenses from Urban Active (Ex. 7C) indicates that Mr. Cook was also seeing Ms. Martens, at less regular intervals, over this same time frame. I accept the submission that it would not be reasonable to require the defendants to compensate Mr. Cook for this redundancy in care. Using the figures from Urban Active (Ex. 7C), I calculate the value of the duplicate treatment as $3,530. I would deduct this amount, reducing the allowable physiotherapy expenses to $43,050.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Finally, I would reduce the allowable physiotherapy expenses of $43,050 by 30% on account of the contingency that Mr. Cook's pre-existing complaints would have developed into symptoms equal to or overlapping with his current condition, which contingency includes the effects of Collision #2 as an intervening event. In the net result, I would award Mr. Cook $30,135 for physiotherapy costs incurred to the date of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(5.5.3) Gym Passes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Spreadsheet #2 (Ex. 7) lists a total of $812.45 for gym fees incurred by Mr. Cook from December of 2017 to September of 2019. The defendants say Mr. Cook should not be compensated for this cost because, "Mr. Cook had for many years been involved in a regular gym routine". That may be true, but I accept Mr. Cook's testimony that his gym attendance has now become an important part of his treatment regimen. This is supported by the expert opinion evidence of Dr. Kagan, who agreed that Mr. Cook had in fact been going to gym before the collisions, but added that this might not have involved the same kind of activity as the post-collision strengthening exercises which she recommended and supported. I accept that Mr. Cook's gym fees between 2017 and 2019 were incurred to assist him in dealing with his collision-related injuries and that these expenses are reasonable. I would allow this amount.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(5.5.4) Travel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Spreadsheet #2 (Ex. 7) lists a total of $3,718.75 in travel expenses, calculated at a rate of $0.25 per km. I would allow 55% of these expenses, in proportion to the amounts allowed for all other categories of special expenses. I would thus award Mr. Cook $2,231.25 to compensate him for travel expenses incurred in connection with treatment of his collision-related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(5.5.5) </w:t>
      </w:r>
      <w:r>
        <w:rPr>
          <w:rFonts w:ascii="arial" w:eastAsia="arial" w:hAnsi="arial" w:cs="arial"/>
          <w:b/>
          <w:i/>
          <w:color w:val="000000"/>
          <w:sz w:val="20"/>
          <w:lang w:val="en-US" w:eastAsia="en-US" w:bidi="ar-SA"/>
        </w:rPr>
        <w:t>Miscellaneous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Spreadsheet #2 (Ex. 7) lists $359.54 in miscellaneous expenses. Of this, I would deduct $243.61 for syringes and swabs, which I infer were related to Mr. Cook's prescription testosterone injections. I also deduct $89.25 for a parking ticket. This leaves $26.64 in miscellaneous expenses (parking fees), which I would allow.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(5.5.6) </w:t>
      </w:r>
      <w:r>
        <w:rPr>
          <w:rFonts w:ascii="arial" w:eastAsia="arial" w:hAnsi="arial" w:cs="arial"/>
          <w:b/>
          <w:i/>
          <w:color w:val="000000"/>
          <w:sz w:val="20"/>
          <w:lang w:val="en-US" w:eastAsia="en-US" w:bidi="ar-SA"/>
        </w:rPr>
        <w:t>Total Allowable Special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Mr. Cook is awarded $39,995 for special expenses.</w:t>
      </w:r>
      <w:r>
        <w:rPr>
          <w:rFonts w:ascii="arial" w:eastAsia="arial" w:hAnsi="arial" w:cs="arial"/>
          <w:sz w:val="20"/>
          <w:lang w:val="en-US" w:eastAsia="en-US" w:bidi="ar-SA"/>
        </w:rPr>
        <w:cr/>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xml:space="preserve">  The objective of damages for costs of future care is to provide for care that would restore the plaintiff to his or her pre-accident condition, so far is that is possible: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 175. Damages are to be assessed based on what is shown to be reasonably necessary or justifiable on medical evidence to "preserve and promote the plaintiff's medical and physical health": </w:t>
      </w:r>
      <w:r>
        <w:rPr>
          <w:rFonts w:ascii="arial" w:eastAsia="arial" w:hAnsi="arial" w:cs="arial"/>
          <w:i/>
          <w:color w:val="000000"/>
          <w:sz w:val="20"/>
          <w:lang w:val="en-US" w:eastAsia="en-US" w:bidi="ar-SA"/>
        </w:rPr>
        <w:t>Sendher v. Wong</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2014 BCSC 140</w:t>
        </w:r>
      </w:hyperlink>
      <w:r>
        <w:rPr>
          <w:rFonts w:ascii="arial" w:eastAsia="arial" w:hAnsi="arial" w:cs="arial"/>
          <w:color w:val="000000"/>
          <w:sz w:val="20"/>
          <w:lang w:val="en-US" w:eastAsia="en-US" w:bidi="ar-SA"/>
        </w:rPr>
        <w:t xml:space="preserve"> at para. 192, applying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p. 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xml:space="preserve">  Thus, the test for determining an appropriate award for costs of future care is "an objective one", under which (i) "medical justification" must be shown for the items claimed, and (ii) the claims must be "reasonable": </w:t>
      </w:r>
      <w:r>
        <w:rPr>
          <w:rFonts w:ascii="arial" w:eastAsia="arial" w:hAnsi="arial" w:cs="arial"/>
          <w:i/>
          <w:color w:val="000000"/>
          <w:sz w:val="20"/>
          <w:lang w:val="en-US" w:eastAsia="en-US" w:bidi="ar-SA"/>
        </w:rPr>
        <w:t>Sendher</w:t>
      </w:r>
      <w:r>
        <w:rPr>
          <w:rFonts w:ascii="arial" w:eastAsia="arial" w:hAnsi="arial" w:cs="arial"/>
          <w:color w:val="000000"/>
          <w:sz w:val="20"/>
          <w:lang w:val="en-US" w:eastAsia="en-US" w:bidi="ar-SA"/>
        </w:rPr>
        <w:t xml:space="preserve"> at para. 193 citing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p. 84. In </w:t>
      </w:r>
      <w:r>
        <w:rPr>
          <w:rFonts w:ascii="arial" w:eastAsia="arial" w:hAnsi="arial" w:cs="arial"/>
          <w:i/>
          <w:color w:val="000000"/>
          <w:sz w:val="20"/>
          <w:lang w:val="en-US" w:eastAsia="en-US" w:bidi="ar-SA"/>
        </w:rPr>
        <w:t>Penner v. Insurance Corporation of British Columbia</w:t>
      </w:r>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2011 BCCA 135</w:t>
        </w:r>
      </w:hyperlink>
      <w:r>
        <w:rPr>
          <w:rFonts w:ascii="arial" w:eastAsia="arial" w:hAnsi="arial" w:cs="arial"/>
          <w:color w:val="000000"/>
          <w:sz w:val="20"/>
          <w:lang w:val="en-US" w:eastAsia="en-US" w:bidi="ar-SA"/>
        </w:rPr>
        <w:t xml:space="preserve"> at para. 13, Newbury J.A. encouraged trial judges not to lose sight of "common sense" in assessing claims under this head, "however much they may be recommended by experts in the field".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(5.6.1)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 would allow 60% of Mr. Cook's claims for Cyclobenzaprine, extra strength Tylenol, Rabeprazole, and Zopiclone. This accounts for the contingency that Mr. Cook's pre-existing complaints would have developed into symptoms equal to or overlapping with his current condition, including the effects of Collision #2 as an intervening event.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(5.6.2)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Mr. Cook seeks an award allowing for weekly physiotherapy treatments, at an annual cost of $4,080 per year, for an indefinite period. He relies on Mr. Lauder's costs of future care report, referencing Dr. Kagan's opinion that such treatment would be to Mr. Cook's benefit to "deal with acute spasm flares and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xml:space="preserve">  The defendants argue, based on the evidence Ms. Martens and Mr. Leyland-Harris, that Mr. Cook's physiotherapy treatments can be expected to provide only "temporary relief" with no prospect of "permanent improvement". Counsel relies on </w:t>
      </w:r>
      <w:r>
        <w:rPr>
          <w:rFonts w:ascii="arial" w:eastAsia="arial" w:hAnsi="arial" w:cs="arial"/>
          <w:i/>
          <w:color w:val="000000"/>
          <w:sz w:val="20"/>
          <w:lang w:val="en-US" w:eastAsia="en-US" w:bidi="ar-SA"/>
        </w:rPr>
        <w:t>Ho v. Dosanjh</w:t>
      </w:r>
      <w:r>
        <w:rPr>
          <w:rFonts w:ascii="arial" w:eastAsia="arial" w:hAnsi="arial" w:cs="arial"/>
          <w:color w:val="000000"/>
          <w:sz w:val="20"/>
          <w:lang w:val="en-US" w:eastAsia="en-US" w:bidi="ar-SA"/>
        </w:rPr>
        <w:t xml:space="preserve">, </w:t>
      </w:r>
      <w:hyperlink r:id="rId512" w:history="1">
        <w:r>
          <w:rPr>
            <w:rFonts w:ascii="arial" w:eastAsia="arial" w:hAnsi="arial" w:cs="arial"/>
            <w:i/>
            <w:color w:val="0077CC"/>
            <w:sz w:val="20"/>
            <w:u w:val="single"/>
            <w:shd w:val="clear" w:color="auto" w:fill="FFFFFF"/>
            <w:lang w:val="en-US" w:eastAsia="en-US" w:bidi="ar-SA"/>
          </w:rPr>
          <w:t>2010 BCSC 845</w:t>
        </w:r>
      </w:hyperlink>
      <w:r>
        <w:rPr>
          <w:rFonts w:ascii="arial" w:eastAsia="arial" w:hAnsi="arial" w:cs="arial"/>
          <w:color w:val="000000"/>
          <w:sz w:val="20"/>
          <w:lang w:val="en-US" w:eastAsia="en-US" w:bidi="ar-SA"/>
        </w:rPr>
        <w:t xml:space="preserve"> at para. 81 and </w:t>
      </w:r>
      <w:r>
        <w:rPr>
          <w:rFonts w:ascii="arial" w:eastAsia="arial" w:hAnsi="arial" w:cs="arial"/>
          <w:i/>
          <w:color w:val="000000"/>
          <w:sz w:val="20"/>
          <w:lang w:val="en-US" w:eastAsia="en-US" w:bidi="ar-SA"/>
        </w:rPr>
        <w:t>Hollyer v. Gaston</w:t>
      </w:r>
      <w:r>
        <w:rPr>
          <w:rFonts w:ascii="arial" w:eastAsia="arial" w:hAnsi="arial" w:cs="arial"/>
          <w:color w:val="000000"/>
          <w:sz w:val="20"/>
          <w:lang w:val="en-US" w:eastAsia="en-US" w:bidi="ar-SA"/>
        </w:rPr>
        <w:t xml:space="preserve">, </w:t>
      </w:r>
      <w:hyperlink r:id="rId506" w:history="1">
        <w:r>
          <w:rPr>
            <w:rFonts w:ascii="arial" w:eastAsia="arial" w:hAnsi="arial" w:cs="arial"/>
            <w:i/>
            <w:color w:val="0077CC"/>
            <w:sz w:val="20"/>
            <w:u w:val="single"/>
            <w:shd w:val="clear" w:color="auto" w:fill="FFFFFF"/>
            <w:lang w:val="en-US" w:eastAsia="en-US" w:bidi="ar-SA"/>
          </w:rPr>
          <w:t>2016 BCSC 1401</w:t>
        </w:r>
      </w:hyperlink>
      <w:r>
        <w:rPr>
          <w:rFonts w:ascii="arial" w:eastAsia="arial" w:hAnsi="arial" w:cs="arial"/>
          <w:color w:val="000000"/>
          <w:sz w:val="20"/>
          <w:lang w:val="en-US" w:eastAsia="en-US" w:bidi="ar-SA"/>
        </w:rPr>
        <w:t xml:space="preserve"> at para. 129 for the proposition that treatments providing a plaintiff with nothing more than "periodic temporary relief", with no hope of any "improvement", are not properly addressed by a cost of future care award. Under the reasoning in </w:t>
      </w:r>
      <w:r>
        <w:rPr>
          <w:rFonts w:ascii="arial" w:eastAsia="arial" w:hAnsi="arial" w:cs="arial"/>
          <w:i/>
          <w:color w:val="000000"/>
          <w:sz w:val="20"/>
          <w:lang w:val="en-US" w:eastAsia="en-US" w:bidi="ar-SA"/>
        </w:rPr>
        <w:t>Ho</w:t>
      </w:r>
      <w:r>
        <w:rPr>
          <w:rFonts w:ascii="arial" w:eastAsia="arial" w:hAnsi="arial" w:cs="arial"/>
          <w:color w:val="000000"/>
          <w:sz w:val="20"/>
          <w:lang w:val="en-US" w:eastAsia="en-US" w:bidi="ar-SA"/>
        </w:rPr>
        <w:t>, the plaintiff's inclination to obtain future treatments of this sort is best taken into account "as an aspect of the non-pecuniary damage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xml:space="preserve">  I accept the notion, reflected in </w:t>
      </w:r>
      <w:r>
        <w:rPr>
          <w:rFonts w:ascii="arial" w:eastAsia="arial" w:hAnsi="arial" w:cs="arial"/>
          <w:i/>
          <w:color w:val="000000"/>
          <w:sz w:val="20"/>
          <w:lang w:val="en-US" w:eastAsia="en-US" w:bidi="ar-SA"/>
        </w:rPr>
        <w:t>Ho</w:t>
      </w:r>
      <w:r>
        <w:rPr>
          <w:rFonts w:ascii="arial" w:eastAsia="arial" w:hAnsi="arial" w:cs="arial"/>
          <w:color w:val="000000"/>
          <w:sz w:val="20"/>
          <w:lang w:val="en-US" w:eastAsia="en-US" w:bidi="ar-SA"/>
        </w:rPr>
        <w:t>, that treatments providing the plaintiff with nothing more than solace for ongoing pain and suffering are properly accounted for under the rubric of non-pecuniary damages. However, on the evidence in this case I would not put Mr. Cook's physiotherapy treatments into this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xml:space="preserve">  As explained above, Mr. Cook's physiotherapy involves treatment for a specific postural problem, referred to by the witnesses as a pelvic rotation or pelvic upslip. The condition is persistent or recurrent, and the evidence of Mr. Leyland-Harris is that once-per-week physiotherapy sessions are effective in treating it. The physiotherapy sessions not only reduce Mr. Cook's pain, they also improve his posture. I would not characterize this as therapy affording mere "temporary relief" from pain and nothing more. I conclude that once per week physiotherapy sessions are a medically justified treatment, reasonably necessary to promote Mr. Cook's physical health as contemplated in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With regard to duration of treatment, Mr. Lauder agreed in cross-examination that Mr. Cook's physiotherapy should be goal-oriented and time-limited, but the costs of future care report does not propose any specific time frame. Mr. Lauder's physiotherapy recommendation was based upon the opinion of Dr. Kagan, who in turn proposed physiotherapy to help Mr. Cook manage "acute spasm flares and pain". Dr. Kagan's overall prognosis was that even with therapy, Mr. Cook would likely continue to experience ongoing sequelae and pain. On this basis, I conclude that Mr. Cook will require physiotherapy on an ongoing basis,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It is still necessary to adjust the physiotherapy award to account for the contingent possibility that even if Mr. Cook had not been involved in Collisions #1, #3, and #4, his pre-existing complaints would have developed into symptoms equal to or overlapping with his current condition. It is also necessary to take into account the effects of Collision #2 as an independent intervening event. I would reduce the physiotherapy component of the award by 30% on account of these possibilities, reducing the amount to $2,856 per year.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(5.6.3) Gym Membership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Mr. Cook says the future care award should provide for an annual gym membership, at a cost of $403.55 per year until the age of 65 and $302.70 per year thereafter. The defendants did not specifically address this request, but did argue against Mr. Cook's claim for recovery of gym fees as a special cost on the basis that he "had for many years been involved in a regular gym routine". I rejected that argument, relying upon the testimony of Mr. Cook and the expert opinion of Dr. Kagan that Mr. Cook would benefit from a specific fitness regime in response to his treatment-related injuries. Mr. Lauder's costs of future care report recommends that Mr. Cook should adhere to an exercise program to improve and maintain his physical strength, endurance, and range of motion. I accept this evidence and find that it meets the requirements of medical justification and reasonableness.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(5.6.4) Occupational Therapy and Home Therapy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Mr. Cook argues that the future care award should include $1,776 for an occupational therapy assessment and a further $222 for an at home assessment by a therapist. I found above that Mr. Cook's functional capacity has only been limited to the extent that he is unable to (i) perform some of the work responsibilities of a construction worker, and (ii) complete heavier or more arduous household tasks such as seasonal yard work and household maintenance and repair. On these findings, I am not satisfied that any assessment from an occupation therapist is justified or reasonable.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(5.6.5) Active Rehabilitation and Kinesiology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Mr. Cook says the future care award should include $1,752 to cover the cost of 24 kinesiology sessions. Mr. Lauder's cost of future care report states that Mr. Cook would benefit from "supervised active rehabilitation sessions in order to increase his overall level of function as well as his confidence with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The fact is that Mr. Cook has already had the benefit of some three years of one-on-one fitness training, as part of Mr. Leyland-Harris's treatment plan. Mr. Cook had the benefit of working with an elite personal trainer who has since gone on to join the training staff of a professional basketball team. I would not expect Mr. Cook to have any appreciable deficit in his "confidence with exercise". On this evidence, I am not satisfied that Mr. Cook reasonably requires 24 sessions or "supervised active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However, the evidence also indicates that Mr. Cook has not had the benefit of a personal trainer since 2014. I would thus consider it justifiable and reasonable for him to receive six kinesiology sessions, to get updated instruction or training concerning his collision-related exercise needs, at a total cost of $438.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(5.6.6) Conclusion Regarding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I conclude that Mr. Cook is entitled to $92,607 for costs of future care.</w:t>
      </w:r>
      <w:r>
        <w:rPr>
          <w:rFonts w:ascii="arial" w:eastAsia="arial" w:hAnsi="arial" w:cs="arial"/>
          <w:sz w:val="20"/>
          <w:lang w:val="en-US" w:eastAsia="en-US" w:bidi="ar-SA"/>
        </w:rPr>
        <w:cr/>
      </w:r>
    </w:p>
    <w:p>
      <w:pPr>
        <w:numPr>
          <w:numId w:val="18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In summary, I award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332"/>
        <w:gridCol w:w="40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Head of Damage</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Award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Vehicle Damage (Collision #1)</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$ 690.92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$ 66,000.00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Past Earning Capacity</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Earning Capacity</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$ 39,995.00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$ 92,607.00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2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$ 199,292.92</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18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If the parties are unable to agree on costs, they can file written submissions. Counsel for the plaintiff may file written submissions of four pages or less (plus an affidavit containing any supporting materials) within three weeks of the release of these reasons. Counsel for the defendants may file written submissions of four pages or less (plus an affidavit containing any supporting materials) within three weeks of receiving the plaintiff's written submissions. Counsel for the plaintiff may file a reply of two pages or less (plus any reply affidavit material) within one week of receiving the written submissions of the defendants. If either party takes the view that submissions on costs cannot effectively be dealt with in writing, that party may, within the time limits set out above, submit a request to schedule a further appearance for oral submissions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W.P. RILEY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9" style="position:absolute;z-index:251779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19" w:history="1">
        <w:r>
          <w:rPr>
            <w:rFonts w:ascii="arial" w:eastAsia="arial" w:hAnsi="arial" w:cs="arial"/>
            <w:b/>
            <w:bCs/>
            <w:i/>
            <w:color w:val="0077CC"/>
            <w:kern w:val="32"/>
            <w:sz w:val="28"/>
            <w:szCs w:val="32"/>
            <w:u w:val="single"/>
            <w:shd w:val="clear" w:color="auto" w:fill="FFFFFF"/>
            <w:lang w:val="en-US" w:eastAsia="en-US" w:bidi="ar-SA"/>
          </w:rPr>
          <w:t>Cunningham v. Slubowski, [2003] B.C.J. No. 3051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MacKenzie J.</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November 17, 2003.</w:t>
      </w:r>
    </w:p>
    <w:p>
      <w:pPr>
        <w:spacing w:before="120" w:line="260" w:lineRule="atLeast"/>
        <w:jc w:val="center"/>
        <w:rPr>
          <w:lang w:val="en-US" w:eastAsia="en-US" w:bidi="ar-SA"/>
        </w:rPr>
      </w:pPr>
      <w:r>
        <w:rPr>
          <w:rFonts w:ascii="arial" w:eastAsia="arial" w:hAnsi="arial" w:cs="arial"/>
          <w:color w:val="000000"/>
          <w:sz w:val="20"/>
          <w:lang w:val="en-US" w:eastAsia="en-US" w:bidi="ar-SA"/>
        </w:rPr>
        <w:t>New Westminster Registry No. S044301</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[2003] B.C.J. No. 3051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BCSC 1979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129 A.C.W.S. (3d) 62</w:t>
      </w:r>
    </w:p>
    <w:p>
      <w:pPr>
        <w:spacing w:before="120" w:line="260" w:lineRule="atLeast"/>
        <w:rPr>
          <w:lang w:val="en-US" w:eastAsia="en-US" w:bidi="ar-SA"/>
        </w:rPr>
      </w:pPr>
      <w:r>
        <w:rPr>
          <w:rFonts w:ascii="arial" w:eastAsia="arial" w:hAnsi="arial" w:cs="arial"/>
          <w:color w:val="000000"/>
          <w:sz w:val="20"/>
          <w:lang w:val="en-US" w:eastAsia="en-US" w:bidi="ar-SA"/>
        </w:rPr>
        <w:t>Between George Matthew Cunningham, plaintiff, and Richard Dale Slubowski, Arlene Joy Robertson also known as Arlene Joyce Robertson, John Doe, Richard Roe, and Insurance Corporation of British Columbia, defendants, and Insurance Corporation of British Columbia, third party</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(25 paras.)</w:t>
      </w:r>
    </w:p>
    <w:p>
      <w:pPr>
        <w:jc w:val="both"/>
        <w:rPr>
          <w:lang w:val="en-US" w:eastAsia="en-US" w:bidi="ar-SA"/>
        </w:rPr>
      </w:pPr>
      <w:bookmarkStart w:id="88" w:name="Counsel_18"/>
      <w:bookmarkEnd w:id="8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00" style="position:absolute;z-index:25167974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T. Spraggs Sr. and T. Spraggs Jr., for the plaintiff. D.W. Framingham, for the defendant, Arlene Joy Robertson a.k.a. Arlene Joyce Robertson and the third party. R.C. Hejka, for the defendant, Insurance Corporation of British Columbia.</w:t>
      </w:r>
      <w:r>
        <w:rPr>
          <w:lang w:val="en-US" w:eastAsia="en-US" w:bidi="ar-SA"/>
        </w:rPr>
        <w:cr/>
      </w:r>
    </w:p>
    <w:p>
      <w:pPr>
        <w:spacing w:after="240"/>
        <w:rPr>
          <w:lang w:val="en-US" w:eastAsia="en-US" w:bidi="ar-SA"/>
        </w:rPr>
      </w:pPr>
      <w:bookmarkStart w:id="89" w:name="Judgment_18"/>
      <w:bookmarkEnd w:id="89"/>
      <w:r>
        <w:pict>
          <v:line id="_x0000_s1101" style="position:absolute;z-index:25173094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90" w:name="MacKENZIE J. (orally)"/>
            <w:bookmarkEnd w:id="90"/>
            <w:r>
              <w:rPr>
                <w:rFonts w:ascii="arial" w:eastAsia="arial" w:hAnsi="arial" w:cs="arial"/>
                <w:b/>
                <w:color w:val="000000"/>
                <w:sz w:val="30"/>
                <w:lang w:val="en-US" w:eastAsia="en-US" w:bidi="ar-SA"/>
              </w:rPr>
              <w:t>MacKENZIE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Insurance Corporation of British Columbia ("ICBC") applies pursuant to Rule 40(8) to have the plaintiff's action against ICBC as nominal defendant dismissed on the ground that there is no evidence on an essential element of the plaintiff's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It is true that the plaintiff has failed to adduce any evidence to discharge the obligation imposed upon him under s. 24(5) of the Insurance (Motor Vehicle) Act to make all reasonable efforts to ascertain the identity of the unknown driver and owner. In fact, it does not appear that there was ever any indication of the involvement of such a person in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motor vehicle accident that is the subject of this action occurred January 3, 1997. The Writ and Statement of Claim were filed on December 23, 1997.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Arlene Robertson, filed an appearance July 3, 1998, with delay related to service and an issue of potential breach by the defendant, Mr. Slubowski.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Statement of Defence of the third party, ICBC, and a Statement of Defence on behalf of the defendant, Ms. Robertson, were filed August 18, 1998. Both parties denied liability for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brought a successful application on June 11, 1999, to add ICBC as nominal defendant under s. 24 of the Insurance (Motor Vehicle) 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the amended Statement of Claim filed on June 30, 1999, the plaintiff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an unidentified driver/owner described in the pleadings as "John Doe and Richard Roe."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An Appearance was filed on behalf of the nominal defendant on July 13, 1999, and the Statement of Defence was filed on September 9, 1999.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amended Statement of Defence, filed March 19, 2001, denies liability and raises a defence that the plaintiff has failed to comply with the statutory conditions imposed upon him under s. 24 of the Insurance (Motor Vehicle) Act, which include an obligation to make all reasonable efforts to ascertain the identity of the unknown driver and owner under s. 24(5) of the Insurance (Motor Vehicle) 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obtained an order for production of the complete police investigation file which contained witness statements. The plaintiff reviewed the contents of that file in mid-2000. A copy of the complete police investigation file was provided to defendants' counsel in December 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Notice of Trial was filed in 1999 by counsel for the defendant, Mr. Framingham, in which the trial was scheduled for May 28, 2001, for five days. It was adjourned at a pre-trial conference on April 3, 2001.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With the filing of the Notice of Trial, a notice requiring trial by jury was delivered to all parties of record. Two pre-trial conferences were held, one before Master Bolton, on October 16, 2003, the second before Master Donaldson, on October 21, 2003.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trial started on October 27, 2003. Mr. Spraggs, counsel for the plaintiff, advised the court then that he had reviewed witness statements in the police file which may have assisted him to ascertain the identity of the unidentified driver. He then stated he was not certain of his conclusions, but now retracted any statement that he had ascertained the unidentified driver. He had not, to this point, applied to substitute an identified party for the nominal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gave evidence at trial that he only had a fleeting glance of an unidentified before he was rear-ended by the named defendant, Slubowski. He did not see the driver of the unidentified vehicle, nor did he see the vehicle prior to his fleeting glance.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fleeting glance of the unidentified vehicle prior to the accident revealed that it was fully stopped in the left or passing lane. It was not breaking any rules of the road. The plaintiff said he did not see it make any lane change.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evidence at the examination for discovery was that he did see this unidentified vehicle make a lane change. However, at trial, the plaintiff retracted that statement. The plaintiff was clear throughout his direct and cross-examination at trial that he saw no lane change by that vehicle. He said there was nothing in the driver's actions, nor anything about the movement or operation of the vehicle to indicate it was involved in the accident. The plaintiff repeatedly said he never thought that the vehicle was at fault for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did not tell the police officers at the scene about an unidentified vehicle. He was taken away by ambulance, but he said it never occurred to him that there might have been an unidentified vehicle until the first examination for discovery in about March 2001. However, even then the plaintiff did not think that this particular vehicle was at fault in any way. The plaintiff reviewed the police file in mid-2000. Nothing in it caused him to change his view.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clearly said in cross-examination that he did not think the unidentified driver had any bearing on the accident. He thought that driver drove off in traffic. The plaintiff clearly said that he had not made any efforts to involve the owner or driver of that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made no efforts at the accident scene to identify or ascertain the identity of the owner or driver of this unidentified vehicle, or to obtain its licence plate number. After the accident, he did not put up posters or place ads in the newspapers. Nor did the plaintiff ever report to the police the potential involvement of an unidentified vehicle or driver. He certainly did not provide any notice to ICBC that there may have been an unidentified driver or owner involved.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test with respect to the "no evidence" motion is set out in Roberge v. Huberman </w:t>
      </w:r>
      <w:hyperlink r:id="rId520" w:history="1">
        <w:r>
          <w:rPr>
            <w:rFonts w:ascii="arial" w:eastAsia="arial" w:hAnsi="arial" w:cs="arial"/>
            <w:i/>
            <w:color w:val="0077CC"/>
            <w:sz w:val="20"/>
            <w:u w:val="single"/>
            <w:shd w:val="clear" w:color="auto" w:fill="FFFFFF"/>
            <w:lang w:val="en-US" w:eastAsia="en-US" w:bidi="ar-SA"/>
          </w:rPr>
          <w:t>(1999), 62 B.C.L.R. (3d) 385</w:t>
        </w:r>
      </w:hyperlink>
      <w:r>
        <w:rPr>
          <w:rFonts w:ascii="arial" w:eastAsia="arial" w:hAnsi="arial" w:cs="arial"/>
          <w:color w:val="000000"/>
          <w:sz w:val="20"/>
          <w:lang w:val="en-US" w:eastAsia="en-US" w:bidi="ar-SA"/>
        </w:rPr>
        <w:t xml:space="preserve"> (C.A.). Madam Justice Huddart for the court held at paras. 35 and 36:</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is for the judge to determine whether there is some evidence on each element of the cause of action required to be proved by the plaintiff; it is for the jury to determine whether that evidence is sufficient to justify a verdict for the plaintiff.</w:t>
      </w:r>
    </w:p>
    <w:p>
      <w:pPr>
        <w:spacing w:before="120" w:line="260" w:lineRule="atLeast"/>
        <w:ind w:left="720"/>
        <w:rPr>
          <w:lang w:val="en-US" w:eastAsia="en-US" w:bidi="ar-SA"/>
        </w:rPr>
      </w:pPr>
      <w:r>
        <w:rPr>
          <w:rFonts w:ascii="arial" w:eastAsia="arial" w:hAnsi="arial" w:cs="arial"/>
          <w:color w:val="000000"/>
          <w:sz w:val="20"/>
          <w:lang w:val="en-US" w:eastAsia="en-US" w:bidi="ar-SA"/>
        </w:rPr>
        <w:t>The question of whether there is any evidence on which a jury acting reasonably could find for the plaintiff is one of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bears the onus of establishing that pursuant to s. 24(5) of the Insurance (Motor Vehicle) Act, all reasonable efforts have been made to identify the unknown driver or owner involved in an accident. Failure to make reasonable efforts to identify the unknown motorist is an absolute defence or bar to the plaintiff's action. The obligation arises as soon as there has been an accident and extends beyond the date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word "parties" in s. 24(5) has been held not to include the defendant, ICBC: See Lock v. ICBC, </w:t>
      </w:r>
      <w:hyperlink r:id="rId521" w:history="1">
        <w:r>
          <w:rPr>
            <w:rFonts w:ascii="arial" w:eastAsia="arial" w:hAnsi="arial" w:cs="arial"/>
            <w:i/>
            <w:color w:val="0077CC"/>
            <w:sz w:val="20"/>
            <w:u w:val="single"/>
            <w:shd w:val="clear" w:color="auto" w:fill="FFFFFF"/>
            <w:lang w:val="en-US" w:eastAsia="en-US" w:bidi="ar-SA"/>
          </w:rPr>
          <w:t>[1990] B.C.J. No. 2971</w:t>
        </w:r>
      </w:hyperlink>
      <w:r>
        <w:rPr>
          <w:rFonts w:ascii="arial" w:eastAsia="arial" w:hAnsi="arial" w:cs="arial"/>
          <w:color w:val="000000"/>
          <w:sz w:val="20"/>
          <w:lang w:val="en-US" w:eastAsia="en-US" w:bidi="ar-SA"/>
        </w:rPr>
        <w:t xml:space="preserve"> (S.C.). Leggett v. ICBC, </w:t>
      </w:r>
      <w:hyperlink r:id="rId475" w:history="1">
        <w:r>
          <w:rPr>
            <w:rFonts w:ascii="arial" w:eastAsia="arial" w:hAnsi="arial" w:cs="arial"/>
            <w:i/>
            <w:color w:val="0077CC"/>
            <w:sz w:val="20"/>
            <w:u w:val="single"/>
            <w:shd w:val="clear" w:color="auto" w:fill="FFFFFF"/>
            <w:lang w:val="en-US" w:eastAsia="en-US" w:bidi="ar-SA"/>
          </w:rPr>
          <w:t>[1992] B.C.J. No. 2048</w:t>
        </w:r>
      </w:hyperlink>
      <w:r>
        <w:rPr>
          <w:rFonts w:ascii="arial" w:eastAsia="arial" w:hAnsi="arial" w:cs="arial"/>
          <w:color w:val="000000"/>
          <w:sz w:val="20"/>
          <w:lang w:val="en-US" w:eastAsia="en-US" w:bidi="ar-SA"/>
        </w:rPr>
        <w:t xml:space="preserve"> (C.A.) is authority for the proposition that s. 24(5) of the Insurance (Motor Vehicle) Act requires that the court be satisfied that all reasonable efforts have been made by the parties to ascertain the identity of the unknown driver before an award is made against ICBC.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application of all the principles in Leggett, ICBC succeeds in its application for dismissal of the plaintiff's action against ICBC as nominal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Costs will be addressed later.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Depending on the evidence, a question may be left with the jury with respect to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unidentified driver even though that alleged unidentified driver is no longer a party because the action has been dismissed against him. Counsel, of course, will be alive to the issue of whether there is any evidence at the end of the trial of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 non-party unidentified driver.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MacKENZIE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7800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22"/>
          <w:headerReference w:type="default" r:id="rId523"/>
          <w:footerReference w:type="even" r:id="rId524"/>
          <w:footerReference w:type="default" r:id="rId525"/>
          <w:headerReference w:type="first" r:id="rId526"/>
          <w:footerReference w:type="first" r:id="rId52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28" w:history="1">
        <w:r>
          <w:rPr>
            <w:rFonts w:ascii="arial" w:eastAsia="arial" w:hAnsi="arial" w:cs="arial"/>
            <w:b/>
            <w:bCs/>
            <w:i/>
            <w:color w:val="0077CC"/>
            <w:kern w:val="32"/>
            <w:sz w:val="28"/>
            <w:szCs w:val="32"/>
            <w:u w:val="single"/>
            <w:shd w:val="clear" w:color="auto" w:fill="FFFFFF"/>
            <w:lang w:val="en-US" w:eastAsia="en-US" w:bidi="ar-SA"/>
          </w:rPr>
          <w:t>Dorsey v. Bhindi, [2016] B.C.J. No. 575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 Warren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13-17, 30,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22,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M152276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575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499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Tammy Dorsey, Plaintiff, and Mamta Bhindi, Rita Warlow, and 476060 BC Ltd. dba Mercedez Benz Finance Service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(146 paras.)</w:t>
      </w:r>
    </w:p>
    <w:p>
      <w:pPr>
        <w:jc w:val="both"/>
        <w:rPr>
          <w:rFonts w:ascii="arial" w:eastAsia="arial" w:hAnsi="arial" w:cs="arial"/>
          <w:sz w:val="20"/>
          <w:lang w:val="en-US" w:eastAsia="en-US" w:bidi="ar-SA"/>
        </w:rPr>
      </w:pPr>
      <w:bookmarkStart w:id="91" w:name="Counsel_19"/>
      <w:bookmarkEnd w:id="9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3"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B.A. Edwards.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O.L. Wilson.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2" w:name="Judgment_19"/>
      <w:bookmarkEnd w:id="92"/>
      <w:r>
        <w:pict>
          <v:line id="_x0000_s1104" style="position:absolute;z-index:2517319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3" w:name="L.A. WARREN J."/>
            <w:bookmarkEnd w:id="93"/>
            <w:r>
              <w:rPr>
                <w:rFonts w:ascii="arial" w:eastAsia="arial" w:hAnsi="arial" w:cs="arial"/>
                <w:b/>
                <w:color w:val="000000"/>
                <w:sz w:val="30"/>
                <w:lang w:val="en-US" w:eastAsia="en-US" w:bidi="ar-SA"/>
              </w:rPr>
              <w:t>L.A. WARREN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Tammy Dorsey, seeks damages arising from a four-vehicle car accident on April 3, 2013. She was driving her Geo Tracker and was stopped at a red light behind other stationary vehicles. A Mercedes-Benz rear-ended the vehicle behind her, which hit the rear end of her vehicle pushing it into the vehicle in front of her. Liability is not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Dorsey was 49 years old at the time of the accident. She was employed as a social worker at Peace Arch Hospital and had just returned to full-time duties following an incident at work, in December 2012, during which she slipped and suffered injuries to her shoulders,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Dorsey testified that when her vehicle was struck she felt a severe force behind her; her body and her vehicle shifted to the left; her left shoulder hit the door of her vehicle; and then her vehicle hit the vehicle in front of her. She said there were three impacts, first when the rear of her vehicle was hit, second when her shoulder hit the door, and third when the front of her vehicle hit the vehicle in front of her. She got out of her vehicle after the accident. She then moved her vehicle off the road, exchanged information with the other drivers, and drove home. Her vehicle sustained damage to the front and back bumpers, the front licence plate, and the lower portion of the front grill. The estimate to repair her vehicle was $1,144.32.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Dorsey testified that she did not feel any symptoms immediately following the accident, but within approximately two hours she felt pain, tightness, stiffness, and tingling in her back, legs, and arms. She claims that while her symptoms have waxed and waned, and changed in nature to some extent, she continues to suffer from constant pain. In particular, she claims to suffer from constant low back pain and less severe but bothersome neck, mid-back, and upper back pain. Although she did not actually testify about having significant shoulder pain, she claims to have sustained a shoulder injury in the accident that has resulted in adhesive capsulitis, which is also known as frozen shoulder. She says these injuries have caused or contributed to psychological conditions including depressive symptoms and anxiety. She claims that her symptoms have left her permanently disabled from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Dorsey continued to work for approximately 18 months after the accident, although she took occasional days off due to pain. She stopped working completely in September 2014 following several stressful events at work that included a very strained interpersonal relationship with a co-worker, a complaint made against her by another co-worker, and a patient complaint that resulted in formal discipline. She has been receiving long-term disability benefits since April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dispute the nature and extent of the injuries Ms. Dorsey claims to have suffered in the accident and the effects that she says those injuries have had on her life. The defendants assert that Ms. Dorsey's claim depends on the credibility of her subjective reports of pain and that she is not credible. The defendants' position is that the accident caused a temporary aggravation of the injuries Ms. Dorsey suffered in the slip at work in December 2012. The defendants submit this aggravation lasted no longer than six months and that Ms. Dorsey had returned to her pre-accident condition by October 2, 2013, when she suffered another injury during a chiropractic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critical questions are what injuries were caused by the accident; whether Ms. Dorsey has any ongoing physical symptoms; if so, whether those symptoms were caused by the accident or whether they have other causes including pre-existing degenerative joint disease, the injury she suffered at work, and/or the subsequent chiropractic treatment; and, if her ongoing physical complaints were caused by the accident, whether those physical complaints interfere with her ability to work or whether she is unable to work for reasons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Dorsey called her family physician, Dr. David Zayonc, who testified about his treatment of her but who did not write an expert report and, accordingly, did not offer any opinion evidence. She also called her treating chiropractor, Dr. Grant O'Neill. Dr. O'Neill testified about his treatment of her and he wrote two expert reports in which he provided a diagnosis and prognosis, an opinion concerning the cause of her conditions, and an opinion concerning her requirements for future care. Ms. Dorsey called a co-worker named Carol Digby. Finally, she relied on the expert evidence of an economist named Howard Teasley.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Dr. Robin Rickards, a specialist in orthopaedics, was called by the defendants. Dr. Rickards wrote an expert report providing a diagnosis and prognosis and opinions concerning the cause of Ms. Dorsey's conditions. The defendants also called Ms. Dorsey's treating physiotherapist, Andrea Chen, and a counselor Ms. Dorsey saw in 2014 and 2015, Lorraine Klassen.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To the extent that Ms. Dorsey's claim involves subjective complaints of pain, it is particularly important to exercise caution about and examine her evidence carefully: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at 399 (S.C.). Among other things, if her account is not convincing, the hypothesis upon which her medical evidence rests may be undermined: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xml:space="preserve"> at paras. 15, 43-44.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factors to be considered when assessing credibility were summarized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aff'd </w:t>
      </w:r>
      <w:hyperlink r:id="rId473"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xml:space="preserve">, leave to appeal ref'd </w:t>
      </w:r>
      <w:hyperlink r:id="rId530" w:history="1">
        <w:r>
          <w:rPr>
            <w:rFonts w:ascii="arial" w:eastAsia="arial" w:hAnsi="arial" w:cs="arial"/>
            <w:i/>
            <w:color w:val="0077CC"/>
            <w:sz w:val="20"/>
            <w:u w:val="single"/>
            <w:shd w:val="clear" w:color="auto" w:fill="FFFFFF"/>
            <w:lang w:val="en-US" w:eastAsia="en-US" w:bidi="ar-SA"/>
          </w:rPr>
          <w:t>[2012] SCCA No. 392</w:t>
        </w:r>
      </w:hyperlink>
      <w:r>
        <w:rPr>
          <w:rFonts w:ascii="arial" w:eastAsia="arial" w:hAnsi="arial" w:cs="arial"/>
          <w:color w:val="000000"/>
          <w:sz w:val="20"/>
          <w:lang w:val="en-US" w:eastAsia="en-US" w:bidi="ar-SA"/>
        </w:rPr>
        <w:t>. They include the firmness of the witness's memory, the ability of the witness to resist the influence of interest in modifying her recollection, whether the witness's evidence harmonizes with independent evidence that has been accepted, whether the witness changes her evidence during direct examination and cross-examination (or between examination for discovery and trial) or is otherwise inconsistent in her recollections, the witness's demeanor, and whether the witness's evidence seems generally unreasonable, impossible, or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 consideration of these factors leaves me with grave concerns about Ms. Dorsey's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Her evidence about the nature and intensity of her symptoms, and their progression over time, was extremely vague and at times evasive. She testified in only very general terms about the pain and other symptoms she experienced after the accident. She said she could not recall how she was feeling six months after the accident, just prior to the incident on October 2, 2013 when her symptoms were exacerbated following a chiropractic session. In her direct examination, she did not mention having shoulder pain following the accident yet her frozen shoulder diagnosis appears to be central to her claim that she is permanently disabled from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When asked, in direct examination, about the injuries she suffered in the slip at work, Ms. Dorsey said that she "believes" she was injured around her neck area. In fact, she attended at the emergency department of Peace Arch Hospital (her workplace) following that incident, saw Dr. Zayonc on several occasions over the next few weeks, underwent regular physiotherapy and massage therapy treatments, and took several weeks off work after which she participated in a graduated return to work program, returning to full hours and duties just days before the accident. In the circumstances, it is implausible that she was unable to recall, in more detail, the nature of the injuries she sustained in the slip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Dorsey's testimony at trial was shown to be materially inconsistent with evidence she gave approximately 18 months earlier during an examination for discovery. As just noted, she initially testified at trial that she "believed" she suffered an injury around her neck area in the slip at work. In cross-examination, however, she acknowledged that she injured her shoulders in that incident. When asked in cross-examination whether she also injured her upper and mid-back in the slip she said she did not think so and then she said she could not recall. When asked in cross-examination whether she had tingling symptoms before the accident she said she did not. When asked in cross-examination whether she had difficulty sitting after the slip at work she said she did not recall. However, in her examination for discovery she said that she thinks her "upper and middle back got pulled, like, stretched" in the slip at work, that she was sore in that area, that she had tingling in her limbs immediately after the slip, that she reported to Dr. Zayonc that she was having difficulty sitting for more than half an hour due to the pulled muscles in her back, and that she had difficulty bending over after the slip.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evidence Ms. Dorsey gave at her examination for discovery about her symptoms following the slip at work was consistent with her contemporaneous report to her physiotherapist, Andrea Chen. Ms. Chen testified that when Ms. Dorsey first consulted her after the work injury in December 2012, she reported experiencing neck, upper back, and shoulder pain right away, and continuing constant pain, as well as pain with bending, leaning, reaching, and sitting or standing for too long. She also told Ms. Chen she had headaches in the forehead area and numbness and tingling in both hands, both hips, and the back of the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Similarly, the evidence Ms. Dorsey gave in her examination for discovery about her symptoms following the slip at work was consistent with her contemporaneous report to Dr. Zayonc. He testified that she reported having strained her neck, shoulders and back in a slip at work, and that she complained of tingling down her back and headaches after the slip. His observations initially included decreased range of motion and extension in the cervical and upper thoracic spine, mostly on the left side. He recommended analgesics, muscle relaxants, and anti-inflammatories. He also suggested she attend physiotherapy and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Some aspects of Ms. Dorsey's evidence were unreasonable. For example, she refused to acknowledge that her job as a hospital social worker could be stressful, even though she described her duties as including being present when patients are first informed that they have a terminal illness; grief counselling for those patients and their family members; counselling family members of patients who have died, including those who died unexpectedly in the emergency room; and counselling mothers whose newborn babies have been taken into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already discussed, at trial Ms. Dorsey claimed she could not clearly recall the injuries she suffered in the slip, but she insisted that she was certain she was symptom free by the time she returned to full-time duties just prior to the accident. She insisted that she would not have returned to work following the slip if she was still suffering symptoms but she also claimed that she went to work after the accident even though she was in significant pain. When asked, in cross-examination, whether her accident-related symptoms had improved by the fall of 2013, she said she was certain they had not improved by then because she would not have continued with therapy if the symptoms had improved. Yet, she maintained that she was symptom free in late March 2013 when she returned to work following the slip even though she was still attending physiotherapy and massage therapy for injuries suffered in the slip. She also claimed, in cross-examination, that the injuries she suffered in the slip were not similar to those she suffered in the accident even though she had already testified that she did not recall the injuries she suffered in the slip.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is no dispute that after the slip in December 2012, Ms. Dorsey was off work completely for several weeks and did not return to full-time duties until the end of March 2013. Yet when she was asked in cross-examination whether she returned to full-time duties a little more than three months after the slip she said, "I don't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Dorsey testified that she went to the emergency department of Peace Arch Hospital the morning after the accident, before reporting for work. She said she saw a female doctor there whose name she could not recall. She said the doctor gave her a prescription for medication. However, there is no record of Ms. Dorsey having attended at the emergency department that day. An MSP claims history report indicates that the only medical practitioner who billed for seeing Ms. Dorsey that day was Dr. Zayonc. This is in contrast to the documentation that exists with respect to Ms. Dorsey's slip at work on December 20, 2012. A document entitled "Emergency/Ambulatory Care Clinical Record" in Dr. Zayonc's clinical records indicates that Ms. Dorsey attended at the emergency department of Peace Arch Hospital on December 20, 2012 after slipping on a wet floor, that she saw a physician named Dr. Esther Grunau on that day, and that Dr. Grunau gave her a prescription for medication. The MSP claims history report indicates that Dr. Grunau billed for the services she provided to Ms. Dorsey on December 20, 2012. Of course, it is possible that Ms. Dorsey simply got mixed up about what she did following the two events. However, when presented with the documentary evidence that clearly indicates she went to the emergency department following the slip, but not following the accident, she would not concede the possibility of a mix up and continued to insist that she saw a doctor in the emergency department the day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Finally, and most concerning, I find that on several occasions, Ms. Dorsey attempted to mislead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cross-examination, Ms. Dorsey acknowledged that in March 2014 she joined a walking group at work but she said she did not actually participate in any walks. However, Ms. Dorsey's physiotherapist, Andrea Chen, testified that Ms. Dorsey told her that she had joined the walking club at work and was getting out walking as much as twice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June 2014, Ms. Dorsey started seeing a counselor named Lorraine Klassen. When she was asked, in cross-examination, to confirm that she initiated this counselling because of stress at work and resulting anxiety, she said the work issues were only part of the reason and that the symptoms she was continuing to experience as a result of the injuries she sustained in the motor vehicle accident were also part of the reason. However, Lorraine Klassen testified that the only issues they discussed during the counselling sessions were the work issues and they never discussed any of Ms. Dorsey's injuries or her physical health. Ms. Klassen did not recall discussing an accident with Ms. Dorsey. Ms. Klassen testified that at her first visit with Ms. Dorsey in June 2014, Ms. Dorsey was in a lot of distress as a result of changes in her workplace and particularly about an inappropriate comment she had made to a co-worker. She testified that in September 2014, Ms. Dorsey had "a meltdown" and was "unable to cope". She testified that Ms. Dorsey returned to see her in January 2015 and continued to complain about anxiety, panic attacks, and feeling overwhelmed.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Dorsey said she stopped seeing her chiropractor, Dr. O'Neill, in mid-September 2014 because by then she had stopped working and she could no longer afford the treatments. She resumed treatments with Dr. O'Neill in April 2015. Dr. O'Neill's records indicate that she did not pay for any treatments after September 11, 2014, including those she had after April 2015. When this was pointed out in cross-examination, Ms. Dorsey said that when she went back to Dr. O'Neill in April 2015, he asked why she had not been coming for treatment and when she told him she could not afford the treatment he reminded her that they had previously agreed that he would provide treatment pursuant to a "direction to pay" whereby he would be paid out of the proceeds of this action. At trial she claimed that she had forgotten about this arrangement and had therefore needlessly stopped going to chiropractic treatments. She referred to this as "funny" and "a great error on [her] part". It is implausible that Ms. Dorsey forgot that Dr. O'Neill had agreed to continue to treat her, without charge, particularly given she claims to have been in so much pain at the time that she had to stop working. It is much more likely that she stopped going for chiropractic treatments because she no longer needed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was particularly troubled by the evidence Ms. Dorsey gave in her direct examination concerning the reasons she stopped working in September 2014. This testimony clearly left the impression that she stopped working because of the severe pain she was continuing to experience as a result of the injuries she suffered in the accident. She testified that she was also suffering from depressive symptoms and lack of concentration but she attributed this to the pain she was continuing to suffer from the accident. It was not until cross-examination that she acknowledged having significant interpersonal issues at work, including an interaction with a co-worker, and a complaint from a patient that resulted in Ms. Dorsey being suspended. As already discussed, Ms. Klassen testified that she and Ms. Dorsey only discussed the work-related issues and that, in September 2014, Ms. Dorsey had a meltdown and was unable to cope. Shortly after Ms. Dorsey stopped working she applied for long-term disability benefits. A long-term disability claim form completed by Dr. Zayonc in January 2015, stated a primary diagnosis of anxiety, depression, and frozen shoulder with an onset of symptoms in September 2014, roughly 18 months after the accident. The long-term disability claim form did not mention the accident at all and noted neck and back pain as a secondary diagnosis that was not a contributing factor to the application for long-term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summary, in her testimony at trial, Ms. Dorsey understated the severity of the injuries she suffered in the slip at work and the work stress she was experiencing in 2014 and exaggerated the impact of the accident on her physical condition and her ability to work. I was left with a general concern that her testimony was motivated more by her interest in the outcome of this case than the desire to be candid. Accordingly, I am unable to give any weight to Ms. Dorsey's testimony unless it is corroborated by independent evidence that I do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Very little evidence was led about Ms. Dorsey's lifestyle prior to the accident. She testified that she used to do her own housecleaning and she worked as a social worker at Peace Arch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December 20, 2012, Ms. Dorsey slipped on a wet floor at work. She braced herself in the door jam with both arms and did not fall to the ground. As already noted, she initially testified that she "believed" she suffered an injury around her neck area. In cross-examination, however, she agreed that she injured her shoulders in this incident. As already noted, her evidence about the injuries she suffered in the slip at work was quite different during her examination for discovery. At that time, she said that she pulled or stretched her upper and middle back; that she was sore in that area; that she had tingling in her limbs after the slip; that she reported to Dr. Zayonc that she was having difficulty sitting for more than half an hour due to the pulled muscles in her back; and that she had difficulty bending over after the slip. The evidence she gave at her examination for discovery about her symptoms after the slip at work was consistent with her contemporaneous report to both Dr. Zayonc and to Ms. Chen. Both Dr. Zayonc and Ms. Chen testified that she also complained of shoulder pain following the slip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find that Ms. Dorsey injured her neck, back, and shoulders in the slip at work and that she subsequently suffered from pain in these areas as well as numbness and tingling in her hand, hips, neck, and back. I also find that these injuries significantly interfered with her ability to sit and to bend.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Zayonc recommended that Ms. Dorsey attend physiotherapy and massage therapy. By January 2013, she was attending regular physiotherapy sessions with Ms. Chen and by February 2013 she was also attending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Dorsey was off work completely for some time following the slip at work and she then participated in a gradual return to work program, returning to full hours and full duties at the end of March 2013, just a few days before the accident. Ms. Dorsey testified that she is not sure how long she was completely off work after the slip but she thought it was about a month or a month and a 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January 14, 2013 (about four weeks after the slip and about six weeks before the accident), Ms. Dorsey filled out questionnaires at Ms. Chen's request indicating that she was continuing to suffer significant back and neck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Zayonc testified that in February 2013, Ms. Dorsey was still reporting difficulty moving and he advised her to continue therapy and to increase the dosage of the muscle relaxants.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Chen testified that at a visit with Ms. Dorsey on March 20, 2013, she observed limited range of motion of the cervical and lumbar spine as well as the shoulders. Ms. Dorsey reported that she was able to sit for short durations and was sore by mid-day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last time Dr. Zayonc saw Ms. Dorsey before the accident was on March 22, 2013. In a report to WCB he advised that as of that date, she was "[g]etting better overall" but still had "some tightness and disco[m]fort" and "[h]ypertonic traps and rhomboids". In cross-examination, he confirmed that she was still symptomatic as of March 22, 2013. Ms. Dorsey did not deny telling Dr. Zayonc on that day that she was still suffering from tightness and discomfort and she said that if she told him that it was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Dorsey attended massage therapy and physiotherapy treatments regularly following the slip at work. The last massage therapy treatment prior to the accident was on March 27, 2013. The last physiotherapy appointment prior to the accident was also on March 27, 2013 and, at that time, Ms. Chen was recommending that Ms. Dorsey continue physiotherapy for the injuries suffered in the slip.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April 10, 2013 (after the accident), Ms. Chen submitted a request to WCB for funding for an additional six to eight physiotherapy visits. This request was based on Ms. Chen's March 20, 2013 assessment of Ms. Dorsey (prior to the accident). It documented continuing pain and some decrease in Ms. Dorsey's range of motion in the cervical and lumbar areas and shoulder, and reported functional limitations in sitting for more than short durations and soreness by mid-day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the basis of the forgoing, I find that Ms. Dorsey's symptoms from the injuries she suffered in the slip at work had improved enough by late March 2013 that she was able to return to full-time work, but she remained symptomatic. Specifically, she was continuing to experience pain and some limits in her range of motion in the areas of her cervical and lumbar spine, and in her shoulders, and although she was working she could sit for only short durations and was sore by mid-day. This was her condition at the time of the accident on April 3,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After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Physical symptoms and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already discussed, Ms. Dorsey testified that she went to the emergency department of Peace Arch Hospital the morning after the accident, then to work, and then to see Dr. Zayonc. For the reasons already discussed, I find that she did not do that. I find that she went to work and then she went to see Dr. Zayonc.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already noted, Ms. Dorsey testified that within about two hours of the accident she felt pain, tightness, stiffness, and tingling in her back, legs, and arms. She said the tingling stayed about the same for a week or two and then it would come and go in her legs, feet, arms, and hands. She did not mention feeling any shoulder pain immediately following the accident. She said she still feels some tingling in her hands and back but not so much in her legs and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Dorsey gave very little evidence about the ongoing nature of her symptoms or their progression since the accident. She said she continues to suffer from constant low back pain, less intense neck pain, and frequent but not constant mid-back pain and upper back pain. Ms. Dorsey said that she began to suffer from foot pain sometime after the accident, but it resolved about a year before the trial. In her direct evidence, she mentioned her shoulder only once and that was in response to a question about why she was approved for long-term disability benefits in early 2015. She said she was approved because of severe neck, shoulder, and back injuries that she suffered in the accident. However, as already noted, in January 2015, Dr. Zayonc filled in a report to support Ms. Dorsey's long-term disability claim. On that form he stated her "primary diagnosis" as "anxiety/depression, left adhesive capsulitis" with an onset of symptoms in September 2014. He also noted "mechanical back and neck pain" as a "secondary diagnosis" and he ticked a box on the form indicating that this was "not a contributing factor". Ms. Dorsey signed that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Zayonc testified that when he saw Ms. Dorsey on April 4, 2013, the day after the accident, her initial primary complaints were cervical stiffness, headache, and mobility. His clinical notes also record complaints of difficulty lifting arms and sore legs. In a CL 19 form that Dr. Zayonc completed for ICBC in late June 2013, he noted his initial objective findings as hypertonic cervical and thoracic spine and decreased range of motion. He testified that "hypertonic" means tighter, increased tone. He said he considers this to be an objective finding but acknowledged there is a subjective element to it. He initially prescribed a muscle relaxant and an anti-inflammatory, the same medication he had prescribed after the slip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Zayonc could not recall if he recommended Ms. Dorsey take any time off work after the accident. I will address the impact of her injuries on her work in more detail below. For now, it is sufficient to note that she did not immediately take any time off work. It is likely that during the 18 months after the accident she took occasional days off as a result of the injuries she suffered in the accident, but the evidence was not precise on that point. She continued to work until September 2014, but she has not worked since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Zayonc recommended chiropractic treatments, physiotherapy, and massage therapy. As already discussed, Ms. Dorsey had been attending physiotherapy and massage therapy following the slip at work, and she continued to attend without interruption.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Chen's records indicate that on Ms. Dorsey's first physiotherapy appointment following the accident she complained of headaches, difficulty lifting her arms, upper and lower back pain, pins and needles in her feet, and sore legs. Ms. Chen completed a form for ICBC on June 3, 2013 in which she noted reduced range of motion in the cervical and lumbar spine but made no mention of shoulder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Dorsey stopped attending physiotherapy with Ms. Chen in June 2013. She did not explain why she stopped attending.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the CL19 form, Dr. Zayonc stated that Ms. Dorsey's previous work injury "was back asymptomatic prior to collision". In cross-examination, he said that was based on what Ms. Dorsey told him at or around the time he filled out the form in June. However, as noted above, as of March 22, 2013, approximately two weeks prior to the accident, she was still reporting tightness and discomfort to Dr. Zayonc and he was still noting hypertonic traps and rhomboids. The CL19 form mentioned stiffness, pain on movement, and numbness into hands as Ms. Dorsey's current complaints. Dr. Zayonc listed "hypertonicity cervical, thoracic, lumbar, paraspinals" as his current objective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 are no notations in Dr. Zayonc's records, after the accident, specifically of left frozen shoulder symptoms, and very few notations that mention the shoulders at all. The shoulders were not mentioned on the CL 19 form. On April 9, 2013, Dr. Zayonc's clinical records note decreased range of motion "on shoulder abduction bilateral". In September 2013, he noted "shoulders sore" and pain in shoulders and neck. However, these references relate to both shoulders and, as already discussed, they are very similar to Ms. Dorsey's reports of shoulder pain after the slip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Dorsey started attending chiropractic treatments with a chiropractor named Dr. Herrewig on August 6, 2013. Between then and October 2, 2013 she had 11 chiropractic treatments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Zayonc testified that by September 2013, Ms. Dorsey was reporting feeling 50% better. In September 2013, Ms. Dorsey started taking a yoga class but she said she had to stop after two or three sessions because it caused her too much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Dorsey's last visit with Dr. Herrewig was October 2, 2013. She testified that "her body responded poorly" to that session. When pressed for details, she said that within two hours of the session she was unable to walk or stand, her legs were giving out, she was in pain, and suffering tingling sensations. She had to take three to five days off work. She said she did not go back to Dr. Herrewig because she thought he had done something to cause those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Zayonc testified that at a visit on October 17, 2013, Ms. Dorsey reported an exacerbation of symptoms following the chiropractic treatment on October 2, 2013. She told him that the chiropractor had manipulated her lower back "aggressively" and within two hours she was experiencing severe pain, difficulty walking, her legs were giving out, and she had to take a week off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November 4, 2013, Ms. Dorsey saw Ms. Chen for the first time since June 2013. She told Ms. Chen that she had been seeing a chiropractor once a week for a couple of months and that she had been feeling okay for the first time in a year. She then reported the incident in the chiropractor's office on October 2,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Zayonc testified that by February 6, 2014, Ms. Dorsey reported being able to do most activities. By June 2014 she was reporting to be 70% better but she also reported work stress and resulting anxiety. Dr. Zayonc recommended counselling for the work issues and in cross-examination he said this had nothing to do with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August 2014, Ms. Dorsey started attending chiropractic treatments with Dr. O'Neill. As already discussed, she testified that she stopped attending chiropractic treatments with Dr. O'Neill in September 2014 because she could not afford them. As already discussed, in fact Dr. O'Neill had offered to continue to treat her without charge provided he is paid out of the proceeds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Throughout the fall of 2014, Ms. Dorsey continued to report experiencing pain to Dr. Zayonc. However, the focus of her complaints was on her anxiety and depressive symptoms, and Dr. Zayonc recommended that she take time off work. As already noted, she ultimately did stop working in September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Dorsey continued to see Ms. Chen in September 2014 when she stopped working, but Ms. Chen's records do not contain any note indicating that she told Ms. Chen that she was going off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the fall of 2014, Ms. Dorsey consulted a rehabilitation specialist named Dr. Hershler. He did not testify at the trial and no expert report written by him was tendered by Ms. Dorsey. Ms. Dorsey testified that she went to see him about pain management because she did not like taking pain medication. After seeing him she began using a topical ointment called Voltaren and she no longer takes pain medication.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Dorsey's work and the decision to stop working in September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already noted, until September 2014, Ms. Dorsey worked as a social worker at Peace Arch Hospital. She testified that there is a lot of sitting and computer work associated with her job. She has to make a lot of phone calls and has to pick up charts, some of which are as big as a large binder. Sometimes she has to sit at a patient's bedside and sometimes she has to lean over while speaking to a patient who is hard of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Dorsey testified that during her first appointment with Dr. Zayonc after the accident, he gave her a note stating that she needed a few days off work. However, she did not take any time off immediately. Her evidence as to how much work she missed during the 18 months after the accident was vague. She said that she eventually took between three and five days off as a result of the injuries she suffered in the accident and that there were other occasions she took time off due to back pain and her inability to sleep, but she could not be more precise about when she missed work or how much time she missed. She also acknowledged that during the 18 months between the accident in April 2013 and when she stopped working completely in September 2014, she took time off work for reasons unrelated to the accident, including the sudden death of her brother-in-law.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Zayonc could not recall whether he recommended that Ms. Dorsey take time off work following the accident. There is a note in his clinical records indicating that Ms. Dorsey missed two to three weeks of work between the accident, in April 2013, and February 21, 2014, but the note does not indicate the reason(s) she missed that work. Another note in Dr. Zayonc's records indicates he recommended she take a week off work in May 2013 following the death of her brother-in-law. There is another note indicating that he recommended she take a few days off work, around June 12, 2014, due to stress and anxiety. As addressed in more detail below, by June 2014, Ms. Dorsey was suffering from significant work-related stress that was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Dorsey testified that she "soldiered on" at work after the accident. She said she felt duty-bound to go to work after the accident because she had missed a lot of work after the slip and had just returned to full duties. She testified that her employer was flexible and attempted to accommodate her. Her supervisor, Ms. Digby, facilitated the acquisition of a new chair and helped her set up her workspace to be more ergonomically sound. She was permitted to take "mini breaks", about once every 30 minutes, during which she would get up and walk around. She had the use of the nurses' staff room which she used a couple of times a month to lay down. She got a headset for her phone so that she could speak without holding the receiver and could stand and walk around while on the 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Digby was Ms. Dorsey's supervisor at the time of Ms. Dorsey's slip at work and she continued to be her practice leader until November 2013 when Ms. Digby transferred to a different position in another hospital. Ms. Digby testified that before the accident, Ms. Dorsey was a dedicated, empathetic, effective, and efficient social worker. After the accident, she said she noticed changes in Ms. Dorsey's work and, specifically, she observed Ms. Dorsey standing and re-adjusting her position frequently.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From about the fall of 2013, things began to deteriorate for Ms. Dorsey at work. In September 2013, she started working in a new area of the hospital, where she had to interact with an occupational therapist who she considered to be overstepping the bounds of his authority. This caused her considerable stress. In November 2013, Ms. Digby, who had been supportive of her, left to take a new job at another hospital. In the spring of 2014, Ms. Dorsey made a racially derogatory comment in a conversation with a co-worker that was reported by the co-worker to management. On June 10, 2014, a patient complained about Ms. Dorsey's conduct at work. As already discussed, on June 12, 2014, she initiated counselling with Lorraine Klassen for work-related stress. She underwent meetings with management as a result of the patient complaint and, on June 17, 2014, she received a half day suspension from work. She acknowledged that all of this caused her a lot of stress. She took some additional time off work after the suspension.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By about August 2014, Ms. Dorsey was moved to a new position at the hospital because of the conflict with the occupational therapist. By that time she had been working for nearly a year in a very high conflict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Dorsey testified that by September 2014, she was unable to continue working because the neck, shoulder, and back injuries she suffered in the accident prevented her from fulfilling her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March 2015, Ms. Dorsey's long-term disability insurance provider sent her to see a psychiatrist named Dr. Buchanan. Dr. Buchanan did not testify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April 2015, Ms. Dorsey was approved for long-term disability benefits. Since then she has been receiving disability benefits in the amount of approximately $3,000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Expert 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Grant O'Neill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only medical opinion evidence tendered by Ms. Dorsey was that of her treating chiropractor, Dr. Grant O'Neill. He authored two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Dr. O'Neill's first report, dated September 20, 2014, which was based on an assessment he conducted on August 19, 2014, he expressed the following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Dorsey presented with signs and symptoms consistent with an acceleration/deceleration syndrome and with the ongoing symptoms could be deemed late whiplash syndrome. Given the nature of the trauma that the patient sustained and the complaints subsequently arising, the motor vehicle collision on the above date is the logical medical etiology. She sustained injury to the left shoulder girdle, facet joints, muscles and ligaments of the predominantly the left cervical spine, upper back and shoulder. She currently has cervical facet syndrome, Cervicogenic headaches, frozen shoulder and myofascial pain. The left foot pain is likely idiopathic.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He referred to orthopaedic testing as indicating that "the pain is from injuries not merely arising from muscle strain or a so-called soft tissue injury, more so the deeper structure such as facet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O'Neill's prognosis was guarded. In his view, some permanent impairment is to be expected because the symptoms did not resolve within a reasonable period. He recommended a functional capacity evaluation and said Ms. Dorsey may require assistance for heavier cleaning, housework, and repair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Dr. O'Neill's second report dated April 17, 2015, which was based on a re-evaluation on April 7, 2015, he expressed the similar view that "[a]s a result of the MVC related injuries there is chronic pain, loss of range of motion and point tenderness". He commented that ongoing symptomology "2 years post injury is associated with negative outcomes". He made recommendations for future care including chiropractic treatments, an ObusForme or similar back support, home support care for cleaning and maintenance, the three-month kinesiology program, back/shoulder support wear, and ergonomic counselling and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found Dr. O'Neill's reports and his testimony at trial to be generally unhelpful. There are three reasons for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First, Dr. O'Neill did not specifically address, in his reports, the possibility that the injuries Ms. Dorsey suffered in the slip at work were contributing to the ongoing symptoms that she reported to him. This is because he was under the misapprehension that she was healthy and essentially asymptomatic prior to the accident. In this regard, his September 20, 2014 report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History Prior to MVC</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Dorsey was in generally good health. She worked full time as a Social Worker and enjoyed activities such as skiing, aerobics, snow shoeing, watersports, walking and dancing. She cared for her grandchildren and did activities with them including many of those listed as well as playing at the park and amusement park rides.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Dorsey had a prior work related injury December 20, 2012 where she slipped on the floor at work. She did physiotherapy until April 10, 2013 and was released with no reported factors delaying recovery. She was healthy and essentially asymptomatic, working full time and enjoying her activities of daily living prior to the MVC.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This presents an overly optimistic view of Ms. Dorsey's health just prior to the accident. At trial, Dr. O'Neill confirmed that his causation opinion was based on the temporal connection between the accident and his understanding of the onset of the symptoms and he emphasized that Ms. Dorsey was essentially asymptomatic prior to the accident. Accordingly, that she was in fact symptomatic prior to the accident undermines his causation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O'Neill testified that his assumption that Ms. Dorsey was essentially asymptomatic was based on Ms. Dorsey's self-report of her history, the WCB form filled out by Ms. Chen just before or around the time that Ms. Dorsey returned to work, and the CL 19 form filled out by Dr. Zayonc in June 2013. Ms. Chen's report, which was based on a reassessment on March 20, 2013--roughly two weeks before the accident--actually indicated that Ms. Dorsey continued to have limited range of motion with pain at the end of the ranges, was able to sit for short durations, and was sore by mid-day at work. Ms. Chen's report actually recommended a further six weeks of physiotherapy. The CL 19 form filled out by Dr. Zayonc did state that Ms. Dorsey "was back asymptomatic prior to collision" but, as already noted, Dr. Zayonc testified that the comment was based on what Ms. Dorsey told him when he filled out the report in late June 2013, nearly three months after the accident. In contrast, his clinical records indicate that she remained symptomatic, complaining of "some tightness and discomfort" as of March 22,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Second, Dr. O'Neill did not have the report of x-rays on Ms. Dorsey's lumbar spine taken before the accident, in February 2013, which Dr. Rickards did have and which he said showed pre-existing degenerative changes in her lumbar spine before the accident. That x-ray report noted unremarkable facet joints, but Dr. O'Neill testified that injury to the facet joints is often not apparent on an x-ray. The point is that the x-rays do indicate some pre-existing degenerative changes in the lumbar spine. This combined with Dr. O'Neill's mistaken understanding that Ms. Dorsey was asymptomatic prior to the accident significantly undermines his opinion about the cause of her current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Third, Dr. O'Neill's opinion concerning Ms. Dorsey's physical condition is heavily dependent on Ms. Dorsey's subjective reports of her symptoms and functionality. For the reasons already expressed, I have significant concerns about the credibility and reliability of her self-reports. Although Dr. O'Neill characterized at least some of the findings flowing from his orthopaedic testing as objective, having considered his evidence carefully, it is apparent that his findings depended very heavily on her reports of pain in response to his physical maneuvers such as palpitations or adjustments of her facet joints. He emphasized his ability to re-create or trigger pain but, as I understood his evidence, while a finding of hypertonicity or tight muscle tone might be accurately characterized as objective, Ms. Dorsey's self-reports of pain were fundamental to his conclusions. Further, his comments concerning Ms. Dorsey's functional limitations were based entirely on her self-reports.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O'Neill is entitled, and for all practical purposes required, to take Ms. Dorsey's complaints at face value. The court is required to take a more critical view. My concerns about Ms. Dorsey's credibility and reliability generally and her apparent failure to accurately inform Dr. O'Neill of her condition just prior to the accident significantly undermine Dr. O'Neill's opinions, as does the fact that he was apparently unaware of her pre-existing degenerative changes in her lumbar spine. In the result, I am unable to give his opinions much if any weight. Where his opinions differ from those of Dr. Rickards, I prefer Dr. Rickards'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There is one final aspect of Dr. Neill's reports that I wish to mention. Dr. O'Neill did not address, in his reports, the impact of the October 2, 2013 chiropractic incident. He was unaware that following that chiropractic treatment, Ms. Dorsey reported pain in her lower back so severe that she was losing sensation in her legs and falling down, and that she had to take a week off work. The defendants submit this undermines his opinions. I do not agree that this alone materially affects the weight to be given to his reports. The defendants' expert, Dr. Rickards, must have been aware of the exacerbation of her symptoms following the October 2, 2013 chiropractic treatment because it is referred to in Dr. Zayonc's clinical records which Dr. Rickards reviewed. Yet, Dr. Rickards did not consider the incident to merit any comment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Robin Rickards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defendants relied on the expert opinion evidence of Dr. Robin Rickards. Dr. Rickards is certified as an orthopaedic surgeon by the Royal College of Physicians and Surgeons of Canada. He practiced as an orthopaedic surgeon for over 20 years and he now focusses on non-surgical orthopaedic care and chronic pain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Rickards assessed Ms. Dorsey on May 22, 2015, and then prepared an expert report. No objection was made to his qualifications as an expert in orthopaedic surgery who is qualified to provide opinion evidence regarding the diagnosis, causation, prognosis, and treatment of musculoskeletal injuries and chronic pain. No objection was made to the admissibility of any portion of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Rickards took a history from Ms. Dorsey, reviewed reports of various diagnostic imaging (x-rays and MRI scans), and examined Ms. Dorsey. He diagnosed her as suffering from adhesive capsulitis or frozen shoulder in the left shoulder; degenerative joint disease of the cervical spine; and degenerative joint disease of the lumbar spine and probable lumbar facet joint syndrome. He expressed the following opinions with respect to the cause of these conditions:</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Dr. Rickards' opinion, the adhesive capsulitis or frozen shoulder was not caused by the accident. This opinion was based on the fact that Ms. Dorsey reported to him that the left frozen shoulder symptoms began approximately one year after the accident and that she had pain in both shoulders arising from the slip at work before the accident.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Rickards concluded that Ms. Dorsey had symptoms of mechanical pain in the neck region. He found no evidence to suggest the nerve roots being pinched or squeezed in the neck region and no hard evidence to suggest facet joints being irritated in that area. He noted that degenerative disease in the cervical spine was seen on an x-ray in May 2013 and an MRI scan in August 2013. He explained that these changes take years to develop and in his opinion they were present prior to the accident in April 2013. He noted that Ms. Dorsey had significant neck symptoms subsequent to the slip at work that persisted at least until March 27, 2013, which was her last documented massage therapy visit. He expressed the opinion that the accident "may have exacerbated these pre-existing symptoms" but that the accident "does not appear to be the primary cause of these neck symptoms nor the primary cause of their persistence". He expressed the opinion that the current symptoms were caused in major part by the slip at work and in part due to the pre-existing cervical degenerative changes.</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Rickards concluded that Ms. Dorsey had symptoms in her low back area suggestive of degenerative joint disease of the lumbar spine and probable lumbar facet joint syndrome. He said x-rays of the lumbar spine taken in February 2013 (before the accident), and an MRI scan of the lumbar spine taken in December 2013 (after the accident) showed evidence of arthritic changes in the low back which were present prior to the accident. It was his opinion that Ms. Dorsey had arthritic changes due to aging and natural wear and tear as well as probable lumbar facet syndrome associated with the slip at work and that these conditions may have been aggravated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the prognosis section of his report, Dr. Rickards stated that "[t]here is nothing to suggest that the motor vehicle accident of April 3, 2013 has significantly altered the natural history of this preexistent arthritic change in cervical and lumbar areas". At trial he clarified that this meant that by the time he assessed Ms. Dorsey in May 2015, she had returned to the same position she would have been in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Rickards' opinions were not undermined in cross-examination. To the contrary, in cross-examination he emphasized that Ms. Dorsey was still receiving massage therapy and physiotherapy treatments in late March 2013, days before the accident, as a result of the injuries she suffered in the slip. He acknowledged that although she had just returned to work at the time of the accident, she took no time off work immediately following the accident which suggested to him that the accident did not result in a significant setback.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injuries and conditions were caused or contributed to by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Ms. Dorsey must prove, on a balance of probabilities, that the accident caused her injuries. The test for causation, established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w:t>
      </w:r>
      <w:hyperlink r:id="rId440"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xml:space="preserve">, is the "but for" test. This requires Ms. Dorsey to establish that it is more likely than not that but for the accident she would not have suffered the injuries underlying her claim. Causation need not be determined by scientific precision and is best answered with ordinary common sense: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Ms. Dorsey does not have to establish that the accident is the sole cause of the injuries. If other potential causes exist, such as the chiropractic treatment in this case, the plaintiff will still establish cause in fact if she can prove a substantial connection between the injury and the defendants' conduct, beyond the </w:t>
      </w:r>
      <w:r>
        <w:rPr>
          <w:rFonts w:ascii="arial" w:eastAsia="arial" w:hAnsi="arial" w:cs="arial"/>
          <w:i/>
          <w:color w:val="000000"/>
          <w:sz w:val="20"/>
          <w:lang w:val="en-US" w:eastAsia="en-US" w:bidi="ar-SA"/>
        </w:rPr>
        <w:t>de minimu</w:t>
      </w:r>
      <w:r>
        <w:rPr>
          <w:rFonts w:ascii="arial" w:eastAsia="arial" w:hAnsi="arial" w:cs="arial"/>
          <w:color w:val="000000"/>
          <w:sz w:val="20"/>
          <w:lang w:val="en-US" w:eastAsia="en-US" w:bidi="ar-SA"/>
        </w:rPr>
        <w:t xml:space="preserve">s range. If she does so, the defendants will be fully liable for the harm suffered, even if other causal factors, which the defendants are not responsible for, contributed to the harm: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Where there are multiple potential causes of injury, the court must consider whether the injuries are divisible or indivisible. Indivisible injuries are those that cannot be separated or have liability attributed to the constituent causes whereas divisible injuries are those capable of being separated out and having their damages assessed independently: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 20. Whether damage is divisible or indivisible is a question of fact: </w:t>
      </w:r>
      <w:r>
        <w:rPr>
          <w:rFonts w:ascii="arial" w:eastAsia="arial" w:hAnsi="arial" w:cs="arial"/>
          <w:i/>
          <w:color w:val="000000"/>
          <w:sz w:val="20"/>
          <w:lang w:val="en-US" w:eastAsia="en-US" w:bidi="ar-SA"/>
        </w:rPr>
        <w:t>B.P.B. v. M.M.B.</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2009 BCCA 365</w:t>
        </w:r>
      </w:hyperlink>
      <w:r>
        <w:rPr>
          <w:rFonts w:ascii="arial" w:eastAsia="arial" w:hAnsi="arial" w:cs="arial"/>
          <w:color w:val="000000"/>
          <w:sz w:val="20"/>
          <w:lang w:val="en-US" w:eastAsia="en-US" w:bidi="ar-SA"/>
        </w:rPr>
        <w:t xml:space="preserve"> at para.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characterization of damage as divisible or indivisible is necessary to ensure that the defendant is not held liable for injuries not caused by his 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24-25. If an injury is indivisible, subject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is liable to the plaintiff for all damages attributable to that injury regardless of the contribution of other causes: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17-20.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Dorsey's complaints may be conveniently grouped into three categories:</w:t>
      </w:r>
      <w:r>
        <w:rPr>
          <w:rFonts w:ascii="arial" w:eastAsia="arial" w:hAnsi="arial" w:cs="arial"/>
          <w:sz w:val="20"/>
          <w:lang w:val="en-US" w:eastAsia="en-US" w:bidi="ar-SA"/>
        </w:rPr>
        <w:cr/>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frozen shoulder;</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neck and back pain with associated tingling sensations; and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anxiety and depressive symptoms.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Frozen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accept Dr. Rickards' opinion that Ms. Dorsey does have adhesive capsulitis or frozen shoulder on the left side. However, Ms. Dorsey has not established that the accident caused or materially contributed to that condition. Dr. Rickards has expressed the opinion that it did not. This was based on the fact that she had suffered a shoulder injury in the slip at work and that she told him that the frozen shoulder symptoms began approximately one year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Rickards' opinion is consistent with the long-term disability claim form completed by Dr. Zayonc that included adhesive capsulitis as a primary diagnosis but also indicated that the onset of the symptoms was September 25, 2014, nearly 18 months after the accident. Dr. Rickards' opinion is also consistent with the fact that Ms. Dorsey made few complaints of shoulder symptoms to Dr. Zayonc and Ms. Chen following the car accident and that she had complained of shoulder symptoms to both of them following the slip at work. Finally, Dr. Rickards' opinion is consistent with the fact that Ms. Dorsey did not testify to having exacerbated shoulder symptoms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For these reasons, I find that Ms. Dorsey's frozen shoulder was not caused by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Neck and back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have found that Ms. Dorsey injured her neck, back, and shoulders in the slip at work and that she subsequently suffered from pain in these areas as well as numbness and tingling in her hand, hips, neck, and back. I have also found that her symptoms improved during the approximately 3 and a half months between the slip and the accident but that at the time of the accident she remained somewhat symptomatic. Specifically, she was continuing to experience pain and some limits in her range of motion of her cervical and lumbar spine and her shoulders. Although she was working, she could only sit for short durations and was sore by mid-day.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For all the reasons I have outlined, I have serious concerns about the credibility of Ms. Dorsey's evidence. Nevertheless, Ms. Digby did corroborate, to some extent, Ms. Dorsey's claim of an exacerbation of her symptoms following the accident. Dr. O'Neill and Dr. Zayonc both noted hypertonicity in the neck and back areas and the inference from Dr. Rickards' opinion is that her complaints of pain following the accident are consistent with the pre-existing degenerative changes in her spine. Accordingly, despite my concerns about Ms. Dorsey's testimony, there is enough corroborating evidence that persuades me to accept that she did experience worsened pain in the neck and back areas and some tingling in those areas and her limbs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accept Dr. Rickards' opinion that Ms. Dorsey has ongoing symptoms of mechanical pain in the neck and pain in the back that probably involves lumbar facet joint syndrome, and that these conditions were initially caused by the slip at work and contributed to by pre-existing degenerative changes in her cervical and lumbar spine. I also accept his opinion that these symptoms were temporarily exacerbated or aggravated by the accident, but that by the time he assessed her in May 2015, she had returned to the same position she would have been in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defendants submitted that the treatment Ms. Dorsey received from Dr. Herrewig on October 2, 2013 was a subsequent intervening event that broke the chain of causation with the result that I should find that the accident caused a temporary aggravation that lasted no more than six months, until October 2,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 accept that Ms. Dorsey's symptoms were exacerbated on October 2, 2013 as a result of the chiropractic treatment. However, I do not agree that this broke the chain of causation. The chain of causation will be broken where an intervening event, rather than the defendants' conduct, is considered the proximate or legal cause of the subsequent injury. This principle, known as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 xml:space="preserve">, recognizes that defendants should not be held liable for objectively unforeseen consequences of their actions: </w:t>
      </w:r>
      <w:r>
        <w:rPr>
          <w:rFonts w:ascii="arial" w:eastAsia="arial" w:hAnsi="arial" w:cs="arial"/>
          <w:i/>
          <w:color w:val="000000"/>
          <w:sz w:val="20"/>
          <w:lang w:val="en-US" w:eastAsia="en-US" w:bidi="ar-SA"/>
        </w:rPr>
        <w:t>Hussack v. Chilliwack School District No. 33</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2011 BCCA 258</w:t>
        </w:r>
      </w:hyperlink>
      <w:r>
        <w:rPr>
          <w:rFonts w:ascii="arial" w:eastAsia="arial" w:hAnsi="arial" w:cs="arial"/>
          <w:color w:val="000000"/>
          <w:sz w:val="20"/>
          <w:lang w:val="en-US" w:eastAsia="en-US" w:bidi="ar-SA"/>
        </w:rPr>
        <w:t xml:space="preserve"> at para. 87;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[1996] 8 W.W.R. 239</w:t>
        </w:r>
      </w:hyperlink>
      <w:r>
        <w:rPr>
          <w:rFonts w:ascii="arial" w:eastAsia="arial" w:hAnsi="arial" w:cs="arial"/>
          <w:color w:val="000000"/>
          <w:sz w:val="20"/>
          <w:lang w:val="en-US" w:eastAsia="en-US" w:bidi="ar-SA"/>
        </w:rPr>
        <w:t xml:space="preserve"> at para. 21, </w:t>
      </w:r>
      <w:hyperlink r:id="rId535" w:history="1">
        <w:r>
          <w:rPr>
            <w:rFonts w:ascii="arial" w:eastAsia="arial" w:hAnsi="arial" w:cs="arial"/>
            <w:i/>
            <w:color w:val="0077CC"/>
            <w:sz w:val="20"/>
            <w:u w:val="single"/>
            <w:shd w:val="clear" w:color="auto" w:fill="FFFFFF"/>
            <w:lang w:val="en-US" w:eastAsia="en-US" w:bidi="ar-SA"/>
          </w:rPr>
          <w:t>21 B.C.L.R. (3d) 318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question of whether an intervening event breaks the chain of causation is a question of fact and it may depend on whether the plaintiff acted unreasonably: </w:t>
      </w:r>
      <w:r>
        <w:rPr>
          <w:rFonts w:ascii="arial" w:eastAsia="arial" w:hAnsi="arial" w:cs="arial"/>
          <w:i/>
          <w:color w:val="000000"/>
          <w:sz w:val="20"/>
          <w:lang w:val="en-US" w:eastAsia="en-US" w:bidi="ar-SA"/>
        </w:rPr>
        <w:t>Hussack</w:t>
      </w:r>
      <w:r>
        <w:rPr>
          <w:rFonts w:ascii="arial" w:eastAsia="arial" w:hAnsi="arial" w:cs="arial"/>
          <w:color w:val="000000"/>
          <w:sz w:val="20"/>
          <w:lang w:val="en-US" w:eastAsia="en-US" w:bidi="ar-SA"/>
        </w:rPr>
        <w:t xml:space="preserve">. As stated by Madam Justice Bennett in </w:t>
      </w:r>
      <w:r>
        <w:rPr>
          <w:rFonts w:ascii="arial" w:eastAsia="arial" w:hAnsi="arial" w:cs="arial"/>
          <w:i/>
          <w:color w:val="000000"/>
          <w:sz w:val="20"/>
          <w:lang w:val="en-US" w:eastAsia="en-US" w:bidi="ar-SA"/>
        </w:rPr>
        <w:t>Hussack</w:t>
      </w:r>
      <w:r>
        <w:rPr>
          <w:rFonts w:ascii="arial" w:eastAsia="arial" w:hAnsi="arial" w:cs="arial"/>
          <w:color w:val="000000"/>
          <w:sz w:val="20"/>
          <w:lang w:val="en-US" w:eastAsia="en-US" w:bidi="ar-SA"/>
        </w:rPr>
        <w:t xml:space="preserve"> at para. 82: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essence, the decisions say that if an injured party acts unreasonably and causes him or herself further injury, the tortfeasor is not responsible for injuries suffered as a result of the second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It cannot be said that Ms. Dorsey acted unreasonably in attending for chiropractic treatment. Dr. Zayonc recommended that she do so because of the injuries she suffered in the accident. The chiropractic treatment was another event that contributed, for some time, to an exacerbation of Ms. Dorsey's existing symptoms but that further exacerbation cannot be viewed as an unforeseen consequence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the contrary, any injury Ms. Dorsey suffered as a result of the chiropractic treatment was itself caused in part by the accident and was indivisible from the injuries she suffered in the accident. Accordingly, the defendants remain liable, regardless of the contribution of another cause: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24-25.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Ms. Dorsey was off work for at least several weeks following the slip at work and did not return to full-time duties for approximately 3 and a half months. In contrast, she returned to work immediately following the accident and, on the evidence before me, took no more than occasional days off work as a result of her exacerbated neck and back pain. This suggests that the exacerbation caused by the accident was not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By February 2014, Ms. Dorsey told Dr. Zayonc she was able to do most activities. By June 2014, she told him she was 70% better and he referred her to counselling for stress and anxiety that he said was unrelated to the accident. By late September 2014, Ms. Dorsey's primary complaints to Dr. Zayonc were anxiety and depressive symptoms related to her stress at work. She had stopped seeing Dr. O'Neill and had replaced her pain medication with Voltaren ointment. She was receiving counselling from Ms. Klassen and did not discuss any ongoing physical complaints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all the circumstances, I find that the accident caused a temporary and relatively minor exacerbation of Ms. Dorsey's pre-existing neck and back symptoms that gradually improved over about 18 months, and that by late September 2014 Ms. Dorsey's condition had returned to its pre-accident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Psychological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accept that by the spring of 2014, Ms. Dorsey was experiencing anxiety and depressive symptoms, but there is no expert evidence that suggests any link to the accident. The symptoms did not arise until approximately a year after the accident. The weight of the evidence suggests that they were related to significant stress at work caused primarily by a challenging interpersonal relationship and complaints about Ms. Dorsey by a co-worker and a patient that led to her suspension. As already noted, Dr. Zayonc's evidence was that when he referred Ms. Dorsey for counselling in the spring of 2014, he did not consider the anxiety and depressive symptoms to be related to the injuries she suffered in the accident. For these reasons, I find that Ms. Dorsey has failed to establish that the anxiety and depressive symptoms were caused or materially contributed to by the injuries she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foregoing is sufficient to dismiss any claim related to these particular symptoms but I also note that the notice of civil claim does not contain any allegation that Ms. Dorsey suffered psychological symptoms of any sort as a result of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summary, I make the following findings on causation:</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Dorsey injured her shoulders in the slip at work, but did not exacerbate that injury in the accident. She currently suffers from frozen shoulder on the left side, but I am not persuaded that the accident caused or materially contributed to that condition.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caused a temporary and relatively minor exacerbation of Ms. Dorsey's pre-existing neck and back symptoms that gradually improved over about 18 months, and by late September 2014 Ms. Dorsey's condition had returned to its pre-accident state.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Dorsey has suffered from some anxiety and depressive symptoms but I am not persuaded that the accident caused or materially contributed to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Assessment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An award of non-pecuniary damages is intended to compensate for pain and suffering, loss of enjoyment of life, and/or loss of amenities.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leave to appeal ref'd </w:t>
      </w:r>
      <w:hyperlink r:id="rId427"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the Court of Appeal set out a non-exhaustive list of factors to be considered in determining the amount of non-pecuniary damages to award. That list includes the age of the plaintiff, the nature of the injury, the severity and duration of the pain, the extent of disability, the existence of emotional suffering, the loss or impairment of life, the impairment of relationships, the impairment of physical and mental abilities, and the loss of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have found that the accident caused a temporary and relatively minor exacerbation of Ms. Dorsey's pre-existing neck and back symptoms that gradually improved over about 18 months, and by late September 2014 Ms. Dorsey's condition had returned to its pre-accident state. The exacerbation was not so significant as to interfere with her 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As already indicated, very little evidence was led as to Ms. Dorsey's pre-accident lifestyle or the impact of the accident-related injuries on her activities. Ms. Dorsey testified that her ability to do heavy housework was compromised because of the pain in her neck and her back. She said she continues to use Voltaren for pain and does not take pain medication. She continues to walk, to stay off work, and to avoid strenuous physical activities. She continues to visit her children and grandchild in Williams Lake. She did not provide many examples of the kinds of activities that she used to participate in but avoided after the accident, other than her job and heavy housework. In cross-examination, she said only that she has not been skiing since December 2012, which is when she suffered the slip at work. It was not made clear how often she skied prior to December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Counsel for Ms. Dorsey and counsel for the defendants have each provided me with a number of cases that they submit assist in determining the appropriate award of non-pecuniary damages. Counsel for Ms. Dorsey submits that the authorities support an award in the range of $200,000 to $235,000. Counsel for the defendants submit that the authorities support an award in the range of $8,000 to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cases referred to me by Ms. Dorsey's counsel are not at all helpful. They concern plaintiffs who sustained far more serious injuries and whose conditions impacted their lives to a much greater extent than I have found is the case for Ms. Dorsey. I will summarize three of them simply to demonstrate the very significant difference between the injuries suffered by the plaintiffs in those cases and the injuries I have found Ms. Dorsey suffered in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Harrington v. Sangha</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2011 BCSC 1035</w:t>
        </w:r>
      </w:hyperlink>
      <w:r>
        <w:rPr>
          <w:rFonts w:ascii="arial" w:eastAsia="arial" w:hAnsi="arial" w:cs="arial"/>
          <w:color w:val="000000"/>
          <w:sz w:val="20"/>
          <w:lang w:val="en-US" w:eastAsia="en-US" w:bidi="ar-SA"/>
        </w:rPr>
        <w:t>, the plaintiff suffered an injury to her left brachial plexus leaving her with little movement in her left shoulder. She also suffered a traumatic brain injury that affected her cognition and might have reduced her overall intelligence. She had chronic pain and was left unemployable. Non-pecuniary damages of $210,000 were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Felix v. Hearne</w:t>
      </w:r>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2011 BCSC 1236</w:t>
        </w:r>
      </w:hyperlink>
      <w:r>
        <w:rPr>
          <w:rFonts w:ascii="arial" w:eastAsia="arial" w:hAnsi="arial" w:cs="arial"/>
          <w:color w:val="000000"/>
          <w:sz w:val="20"/>
          <w:lang w:val="en-US" w:eastAsia="en-US" w:bidi="ar-SA"/>
        </w:rPr>
        <w:t>, the plaintiff suffered multiple injuries to her neck, back, left shoulder, elbow, wrist, pelvis, knee, and ankle which continued to affect her, were chronic, and were unlikely to improve. She also developed post-traumatic stress disorder and depression as a result of the accident. Non-pecuniary damages of $200,000 were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Roussin v. Bouzenad</w:t>
      </w:r>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2005 BCSC 1719</w:t>
        </w:r>
      </w:hyperlink>
      <w:r>
        <w:rPr>
          <w:rFonts w:ascii="arial" w:eastAsia="arial" w:hAnsi="arial" w:cs="arial"/>
          <w:color w:val="000000"/>
          <w:sz w:val="20"/>
          <w:lang w:val="en-US" w:eastAsia="en-US" w:bidi="ar-SA"/>
        </w:rPr>
        <w:t>, the plaintiff suffered a brain injury and fractured skull, facial lacerations and abrasions, a fractured left wrist, and soft tissue injuries to her left hip, back and neck. The physical injuries had mostly resolved but the brain injury, which was mild, nevertheless led to a loss of executive function, dizziness, vertigo, and other symptoms that prevented the plaintiff from working in her pre-accident field of broadcast journalism. Non-pecuniary damages of $200,000 were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Of the authorities cited by the defendants, </w:t>
      </w:r>
      <w:r>
        <w:rPr>
          <w:rFonts w:ascii="arial" w:eastAsia="arial" w:hAnsi="arial" w:cs="arial"/>
          <w:i/>
          <w:color w:val="000000"/>
          <w:sz w:val="20"/>
          <w:lang w:val="en-US" w:eastAsia="en-US" w:bidi="ar-SA"/>
        </w:rPr>
        <w:t>Kearns v. Marples</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2009 BCSC 802</w:t>
        </w:r>
      </w:hyperlink>
      <w:r>
        <w:rPr>
          <w:rFonts w:ascii="arial" w:eastAsia="arial" w:hAnsi="arial" w:cs="arial"/>
          <w:color w:val="000000"/>
          <w:sz w:val="20"/>
          <w:lang w:val="en-US" w:eastAsia="en-US" w:bidi="ar-SA"/>
        </w:rPr>
        <w:t xml:space="preserve">, bears the most similarity to this case. In that case damages were assessed on the basis that the 51-year-old plaintiff had suffered injuries to her shoulders, right elbow, and neck that largely resolved within about eight months, but for the right shoulder which remained injured and was predisposed to further injury which occurred in two subsequent motor vehicle accidents. These injuries were superimposed on pre-existing conditions. Non-pecuniary damages of $25,000 were awarded. In that case, Justice Verhoeven referred to </w:t>
      </w:r>
      <w:r>
        <w:rPr>
          <w:rFonts w:ascii="arial" w:eastAsia="arial" w:hAnsi="arial" w:cs="arial"/>
          <w:i/>
          <w:color w:val="000000"/>
          <w:sz w:val="20"/>
          <w:lang w:val="en-US" w:eastAsia="en-US" w:bidi="ar-SA"/>
        </w:rPr>
        <w:t>Job v. Van Blankers</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2009 BCSC 230</w:t>
        </w:r>
      </w:hyperlink>
      <w:r>
        <w:rPr>
          <w:rFonts w:ascii="arial" w:eastAsia="arial" w:hAnsi="arial" w:cs="arial"/>
          <w:color w:val="000000"/>
          <w:sz w:val="20"/>
          <w:lang w:val="en-US" w:eastAsia="en-US" w:bidi="ar-SA"/>
        </w:rPr>
        <w:t xml:space="preserve">, where Justice Ker awarded non-pecuniary damages of $25,000 to a plaintiff who had suffered a mild to moderate soft tissue injury that resulted in sustained disability, pain and suffering, and interfered with the plaintiff's life for about 14 months: </w:t>
      </w:r>
      <w:r>
        <w:rPr>
          <w:rFonts w:ascii="arial" w:eastAsia="arial" w:hAnsi="arial" w:cs="arial"/>
          <w:i/>
          <w:color w:val="000000"/>
          <w:sz w:val="20"/>
          <w:lang w:val="en-US" w:eastAsia="en-US" w:bidi="ar-SA"/>
        </w:rPr>
        <w:t>Kearns</w:t>
      </w:r>
      <w:r>
        <w:rPr>
          <w:rFonts w:ascii="arial" w:eastAsia="arial" w:hAnsi="arial" w:cs="arial"/>
          <w:color w:val="000000"/>
          <w:sz w:val="20"/>
          <w:lang w:val="en-US" w:eastAsia="en-US" w:bidi="ar-SA"/>
        </w:rPr>
        <w:t xml:space="preserve"> at para. 134.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Awards of damages in other cases provide a guideline only. Ultimately, each case turns on its own facts. I have found that the accident caused a temporary and relatively minor exacerbation of Ms. Dorsey's pre-existing neck and back symptoms that gradually improved over about 18 months. The exacerbation was not so significant as to materially interfere with her ability to work. There is very little evidence of any material impairment of her physical abilities or significant loss of lifestyle. Considering the principles discussed in the cases referred to me and the criteria considered in the assessment of damages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I assess Ms. Dorsey's non-pecuniary damages at $25,000.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the Court of Appeal confirmed the approach to be taken in determining whether a plaintiff has established a claim to past loss of earning capacity. A plaintiff must prove on a balance of probabilities that an injury caused an impairment to his earning capacity that has resulted in a pecuniary loss. A claim for past loss of income earning capacity is based on the value of the work that the injured plaintiff would have performed but was unable to perform because of the injury: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To establish a claim for future loss of income earning capacity, a plaintiff must first prove a real and substantial possibility of a future event leading to a loss of income, as opposed to a speculative loss: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If the plaintiff discharges that burden, then the loss must be assessed, taking into account all realistic positive and negative contingencies. The assessment may employ what has been referred to as an "earnings approach" or a "capital asset approach": </w:t>
      </w:r>
      <w:r>
        <w:rPr>
          <w:rFonts w:ascii="arial" w:eastAsia="arial" w:hAnsi="arial" w:cs="arial"/>
          <w:i/>
          <w:color w:val="000000"/>
          <w:sz w:val="20"/>
          <w:lang w:val="en-US" w:eastAsia="en-US" w:bidi="ar-SA"/>
        </w:rPr>
        <w:t>Schenker v. Scott</w:t>
      </w:r>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2014 BCCA 203</w:t>
        </w:r>
      </w:hyperlink>
      <w:r>
        <w:rPr>
          <w:rFonts w:ascii="arial" w:eastAsia="arial" w:hAnsi="arial" w:cs="arial"/>
          <w:color w:val="000000"/>
          <w:sz w:val="20"/>
          <w:lang w:val="en-US" w:eastAsia="en-US" w:bidi="ar-SA"/>
        </w:rPr>
        <w:t xml:space="preserve"> at paras. 50-51;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 53; and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Ms. Dorsey relied on an expert report prepared by an economist, Howard Teasley, who provided opinions with respect to the present value of Ms. Dorsey's claimed income loss. These opinions are of no assistance to me because they are based on assumptions that have not been established. I do not intend to address Mr. Teasley's opinions in detail. It is sufficient to note that he assumed that Ms. Dorsey missed 244.08 hours of work from the date of the accident until September 18, 2014, when she stopped working, and that since September 18, 2014, she has been unable to work as a result of the injuries from the accident. His calculations also assume that she will never work again as a result of the injuries she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evidence does not establish that Ms. Dorsey missed anywhere near 244 hours of work in the 18 months following the accident. The evidence does not establish that Ms. Dorsey has been unable to work since September 18, 2014 as a result of the injuries she suffered in the accident. There is no evidence establishing a real and substantial possibility of a future inability to work as a result of the injuries Ms. Dorsey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Ms. Dorsey testified that by September 2014, she was unable to continue working because the neck, shoulder, and back injuries she suffered in the accident prevented her from fulfilling her duties. I do not accept this evidence for the following reasons: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already discussed, I have grave concerns about her credibility and her claim that her physical injuries prevented her from working was not corroborated by any independent evidence that I do accept.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apparent from Ms. Digby's evidence that Ms. Dorsey was able to work following the accident albeit with some accommodations such as adjustments to her work station and equipment and extra breaks.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February 6, 2014, Ms. Dorsey told Dr. Zayonc that she was able to do most activities.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June 2014, Ms. Dorsey told Dr. Zayonc she was 70% better. By that time her work-related stress had become a considerable focus in his clinical records. He testified that in June 2014 he referred her for counselling and this had nothing to do with the accident.</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September 2014, Ms. Dorsey had stopped seeing Dr. O'Neill and she had replaced her pain medication with Voltaren ointment.</w:t>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notes dated September 25, 2014, October 27, 2014 and November 24, 2014, Dr. Zayonc recommended she remain off work, but these notes do not state the reason(s) she was unable to work. His clinical records for this time period record that she was reporting a lot of anxiety and that she seemed overwhelmed.</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Dorsey was continuing to attend physiotherapy sessions with Ms. Chen in the fall of 2014, but she did not advise Ms. Chen that her physical symptoms were preventing her from working. Ms. Chen had no notes in her records from this time period indicating Ms. Dorsey was taking time off work. If Ms. Dorsey's physical injuries were impeding her ability to work, she almost certainly would have told her physiotherapist that this was so.</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long-term disability claim form filled in by Dr. Zayonc in January 2015, reported her primary diagnosis as "anxiety/depression" and "adhesive capsulitis" (frozen shoulder). Dr. Zayonc also stated, on that form, that her condition was due to "injury or sickness arising out of [her] employment" and that the onset of the symptoms was September 25, 2014, nearly 18 months after the accident. He reported, as a secondary diagnosis, "mechanical back and neck pain" but checked a box indicating this was "not a contributing factor" to her inability to work.</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Finally, it is apparent from Ms. Klassen's evidence that Ms. Dorsey's primary issue at the time she stopped working was the work-related stress. She did not discuss her physical symptoms with Ms. Klassen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For these reasons, I find that Ms. Dorsey stopped working in September 2014 as a result of very significant anxiety and depressive symptoms caused by stress at work and her frozen shoulder. I have found that the accident did not cause or contribute to those conditions. In other words, the injuries she suffered in the accident did not contribute to her inability to work in September 2014 or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For the reasons already expressed, I have found that the injuries Ms. Dorsey suffered in the accident gradually improved over about 18 months, and by late September 2014 her condition had returned to its pre-accident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remaining question is whether there is evidence upon which I could find that Ms. Dorsey missed some work between the accident and September 18, 2014 as a result of the injuries she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As already discussed, Ms. Dorsey's evidence as to how much work she missed during the 18 months after the accident was extremely vague. It is clear that she did not take any time off immediately after the accident. She testified that she eventually took between three and five days off as a result of the injuries she suffered in the accident and that there were other occasions she took time off due to back pain and her inability to sleep, but she could not be more precise about when she missed work or how much time she missed. She also acknowledged that during the 18 months between the accident in April 2013 and when she stopped working completely in September 2014, she also took time off work for reasons unrelated to the accident, including the sudden death of her brother-in-law.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Ms. Digby testified that Ms. Dorsey did not take time off work immediately following the accident but that she recalls Ms. Dorsey did eventually take some time off work as a result of injuries she said she suffered in the accident. However, Ms. Digby did not quantify the time Ms. Dorsey took off work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Ms. Digby's evidence corroborates Ms. Dorsey's evidence on this point, to some extent. Accordingly, I am satisfied that Ms. Dorsey has established, on a balance of probabilities, that the injuries she suffered in the accident caused her to miss some work in the 18 months following the accident. In all the circumstances, I am satisfied that it is more likely than not that she missed ten days of work as a result of injuries suffered in the accident. It is possible that she missed more than ten days but, on the evidence before me, I cannot conclude that it is more likely than not that she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As noted above, a claim for past loss of income earning capacity is based on the value of the work that the injured plaintiff would have performed but was unable to perform because of the injury. At the time of the accident Ms. Dorsey was earning $34.56 per hour, which translated to about $1,600 every two weeks net of taxes and other deductions. I am satisfied she missed 10 days of work; in other words,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For the forgoing reasons, I assess Ms. Dorsey's past loss of income earning capacity in the amount of $1,600 net of taxes and other deductions. Ms. Dorsey has not established any future loss of income earning capacity. Accordingly, her claim for future loss of earning capacity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A plaintiff is entitled to be compensated for expenses reasonably necessary for the future medical treatment of injuries for which the defendant is liable. The test for assessing an appropriate award for the cost of future care is an objective one based on the medical evidence. It is twofold: first, there must be a medical justification for the cost; and second, the claim must be reasonable: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Ms. Dorsey submits that "she has ongoing symptoms, so it would be reasonable to infer the [sic] she will incur cost of future care and other expenses". She relies on Dr. O'Neill's recommendations for ongoing chiropractic treatment, an ObusForme or similar back support, home support care, a three-month program with a kinesiologist, back and shoulder support wear, and ergonomic counselling and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However, I have found that the accident caused only a temporary exacerbation of Ms. Dorsey's pre-existing symptoms that gradually improved over about 18 months and that she has returned to her pre-accident state. Any symptoms and limitations that she continues to experience are not caused or contributed to by the accident. Accordingly, her claim for cost of future care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Ms. Dorsey is entitled to be compensated for expenses she incurred as a result of the injuries she suffered in the accident, so long as the decision to incur them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Ms. Dorsey claims as special damages the cost of physiotherapy, massage therapy, chiropractic treatments, carpet and upholstery cleaning and yoga classes.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defendants submit that at the time of the accident, Ms. Dorsey was continuing to receive massage and physiotherapy for the December 2012 slip at work and that it is likely she would have continued receiving that treatment even if she had not been involved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agree that it is likely that Ms. Dorsey would have continued to receive some massage therapy and physiotherapy treatments even if the accident had not occurred. However, that does not disentitle her to compensation for the treatment she received after the accident. For the reasons already expressed, her injuries were exacerbated by the accident. Dr. Zayonc recommended that she attend massage therapy and physiotherapy as a result. Accordingly, the accident was at least part of the cause of Ms. Dorsey incurring massage therapy and physiotherapy expenses during the period between April 3, 2013 and the end of September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evidence establishes that Ms. Dorsey's first massage therapy appointment after the accident was on April 8, 2013. She paid $46 for that treatment. Between April 10, 2013 and June 19, 2013 she had 19 massage therapy treatments at a cost of $20 per treatment. She had a treatment on August 30, 2013 at a cost of $85, a treatment on September 13, 2013 at a cost of $90, a treatment on January 22, 2014 at a cost of $90, and between February 5, 2014 and the end of September 2014 she had 48 treatments at a cost of $50 each. This amounts to a total of $3,091. I am satisfied that she has established an entitlement to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evidence establishes that Ms. Dorsey's first physiotherapy appointment after the accident was on April 10, 2013. Between April 10, 2013 and June 19, 2013 she had 19 physiotherapy treatments at a cost of $25 each. Between November 4, 2013 and August 13, 2014 she had 56 physiotherapy treatments at a cost of $60 each. On August 27 and September 3, 2014 she had physiotherapy treatments at a cost of $67.50 each. Between September 8, 2014 and the end of September 2014 she had six physiotherapy treatments a cost of $65 each. This amounts to $4,360. I am satisfied that she has established an entitlement to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defendants accept that the cost of Ms. Dorsey's chiropractic treatments for the period between the accident and October 2, 2013 is properly recoverable as special damages. However, I have found that Ms. Dorsey did not return to her pre-accident status until the end of September 2014. Accordingly, she is entitled to the cost of her chiropractic treatments to then. This amounts to $470 for treatments by Dr. Herrewig between August 6, 2013 and October 2, 2013 and $420 for treatments by Dr. O'Neill between August 19, 2014 and September 18, 2014. I am satisfied that she has established an entitlement to those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Ms. Dorsey claims $91 for the cost of the yoga class she enrolled in on August 30, 2013. The defendants agree that this amount is properly recoverable as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Finally, Ms. Dorsey claims $231.41 for carpet and upholstery cleaning in June 2013. The defendants submit there is no medical opinion to the effect that she was unable to perform these tasks as a result of the injuries she sustained in the accident. However, I am satisfied that given the exacerbation of her symptoms following the accident it was reasonable for her to incur these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total award for special damages is, thus, $8,663.41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summary, the damages awarded to Ms. Dorsey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332"/>
        <w:gridCol w:w="40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$ 25,000.00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income earning capacity</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$ 1,600.00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income earning capacity</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Nil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Nil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$ 8,663.41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2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$ 35,263.41</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If the parties are unable to agree on costs, they may arrange to speak to that issue by contacting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 WARREN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5" style="position:absolute;z-index:251781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4"/>
          <w:headerReference w:type="default" r:id="rId545"/>
          <w:footerReference w:type="even" r:id="rId546"/>
          <w:footerReference w:type="default" r:id="rId547"/>
          <w:headerReference w:type="first" r:id="rId548"/>
          <w:footerReference w:type="first" r:id="rId5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50" w:history="1">
        <w:r>
          <w:rPr>
            <w:rFonts w:ascii="arial" w:eastAsia="arial" w:hAnsi="arial" w:cs="arial"/>
            <w:b/>
            <w:bCs/>
            <w:i/>
            <w:color w:val="0077CC"/>
            <w:kern w:val="32"/>
            <w:sz w:val="28"/>
            <w:szCs w:val="32"/>
            <w:u w:val="single"/>
            <w:shd w:val="clear" w:color="auto" w:fill="FFFFFF"/>
            <w:lang w:val="en-US" w:eastAsia="en-US" w:bidi="ar-SA"/>
          </w:rPr>
          <w:t>Felty v. Ernst &amp; Young LLP, [2013] B.C.J. No. 2512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J.D. Truscott J.</w:t>
      </w:r>
    </w:p>
    <w:p>
      <w:pPr>
        <w:spacing w:before="120" w:line="260" w:lineRule="atLeast"/>
        <w:jc w:val="center"/>
        <w:rPr>
          <w:lang w:val="en-US" w:eastAsia="en-US" w:bidi="ar-SA"/>
        </w:rPr>
      </w:pPr>
      <w:r>
        <w:rPr>
          <w:rFonts w:ascii="arial" w:eastAsia="arial" w:hAnsi="arial" w:cs="arial"/>
          <w:color w:val="000000"/>
          <w:sz w:val="20"/>
          <w:lang w:val="en-US" w:eastAsia="en-US" w:bidi="ar-SA"/>
        </w:rPr>
        <w:t>Heard: November 12, 2013.</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November 19, 2013.</w:t>
      </w:r>
    </w:p>
    <w:p>
      <w:pPr>
        <w:spacing w:before="120" w:line="260" w:lineRule="atLeast"/>
        <w:jc w:val="center"/>
        <w:rPr>
          <w:lang w:val="en-US" w:eastAsia="en-US" w:bidi="ar-SA"/>
        </w:rPr>
      </w:pPr>
      <w:r>
        <w:rPr>
          <w:rFonts w:ascii="arial" w:eastAsia="arial" w:hAnsi="arial" w:cs="arial"/>
          <w:color w:val="000000"/>
          <w:sz w:val="20"/>
          <w:lang w:val="en-US" w:eastAsia="en-US" w:bidi="ar-SA"/>
        </w:rPr>
        <w:t>Docket: S114999</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[2013] B.C.J. No. 2512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2013 BCSC 2083</w:t>
      </w:r>
    </w:p>
    <w:p>
      <w:pPr>
        <w:spacing w:before="120" w:line="260" w:lineRule="atLeast"/>
        <w:rPr>
          <w:lang w:val="en-US" w:eastAsia="en-US" w:bidi="ar-SA"/>
        </w:rPr>
      </w:pPr>
      <w:r>
        <w:rPr>
          <w:rFonts w:ascii="arial" w:eastAsia="arial" w:hAnsi="arial" w:cs="arial"/>
          <w:color w:val="000000"/>
          <w:sz w:val="20"/>
          <w:lang w:val="en-US" w:eastAsia="en-US" w:bidi="ar-SA"/>
        </w:rPr>
        <w:t>Between Anita Felty, Plaintiff, and Ernst &amp; Young LLP and Irene Jacob,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(15 paras.)</w:t>
      </w:r>
    </w:p>
    <w:p>
      <w:pPr>
        <w:jc w:val="both"/>
        <w:rPr>
          <w:lang w:val="en-US" w:eastAsia="en-US" w:bidi="ar-SA"/>
        </w:rPr>
      </w:pPr>
      <w:bookmarkStart w:id="94" w:name="Counsel_20"/>
      <w:bookmarkEnd w:id="9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06" style="position:absolute;z-index:25168179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B.G. Baynham, Q.C. and J.A. Morris.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D.R. Brown and M. Nied.</w:t>
      </w:r>
      <w:r>
        <w:rPr>
          <w:lang w:val="en-US" w:eastAsia="en-US" w:bidi="ar-SA"/>
        </w:rPr>
        <w:cr/>
      </w:r>
    </w:p>
    <w:p>
      <w:pPr>
        <w:spacing w:after="240"/>
        <w:rPr>
          <w:lang w:val="en-US" w:eastAsia="en-US" w:bidi="ar-SA"/>
        </w:rPr>
      </w:pPr>
      <w:bookmarkStart w:id="95" w:name="Judgment_20"/>
      <w:bookmarkEnd w:id="95"/>
      <w:r>
        <w:pict>
          <v:line id="_x0000_s1107" style="position:absolute;z-index:25173299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96" w:name="J.D. TRUSCOTT J."/>
            <w:bookmarkEnd w:id="96"/>
            <w:r>
              <w:rPr>
                <w:rFonts w:ascii="arial" w:eastAsia="arial" w:hAnsi="arial" w:cs="arial"/>
                <w:b/>
                <w:color w:val="000000"/>
                <w:sz w:val="30"/>
                <w:lang w:val="en-US" w:eastAsia="en-US" w:bidi="ar-SA"/>
              </w:rPr>
              <w:t>J.D. TRUSCOTT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parties come before me on an issue of the proper interpretation to be given to one of the findings I made in my reasons for judgment of May 9, 2013 [</w:t>
      </w:r>
      <w:hyperlink r:id="rId551" w:history="1">
        <w:r>
          <w:rPr>
            <w:rFonts w:ascii="arial" w:eastAsia="arial" w:hAnsi="arial" w:cs="arial"/>
            <w:i/>
            <w:color w:val="0077CC"/>
            <w:sz w:val="20"/>
            <w:u w:val="single"/>
            <w:shd w:val="clear" w:color="auto" w:fill="FFFFFF"/>
            <w:lang w:val="en-US" w:eastAsia="en-US" w:bidi="ar-SA"/>
          </w:rPr>
          <w:t>2013 BCSC 815</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It is submitted that a formal order reflecting my findings cannot be entered without this issue being resolved, because the Court of Appeal will not entertain any appeal without a formal order being entered.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my reasons for judgment, I said in the final paragraph that: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I must limit the plaintiff's claims to the amount of the fees paid to EY to [for] its services of $15,314.95.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Prior to that paragraph, nowhere in my reasons for judgment had I particularly stated the basis in law for the making of that statement.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Plaintiff's counsel submits that it is implicit in my statement in that final paragraph that I must have concluded Ernst &amp; Young LLP ("EY") was negligent in the provision of its services and the limitation of liability provision in the Engagement Agreement of March 2, 2005 with EY provided that EY remained liable for at least the amount of its fees.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Defence counsel submits that as I found that the plaintiff would not have resiled from the settlement proposed, even with knowledge of her actual US tax obligations, I must conclude that no causation has been established for any claim for damages against EY equal to its fees, and the claim against EY should be dismissed in its entirety.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this trial there was no issue that EY's US office in California had been negligent in the tax advice Mr. Hobson gave on April 5, 2005 that the plaintiff would have no US tax liability for the proposed settlement.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That was essentially conceded at the outset of the trial by EY and the real issue became whether any claim against EY by the plaintiff for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limited by the limitation of liability provision in the March 2, 2005 Engagement Agreement that confined: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EY's total liability for any claim arising out of the performance of the services (described in the agreement as tax advice concerning the Canada and US income tax implications to the plaintiff with respect to the proposed settlement and her interest in Delesalle Holdings Ltd.), regardless of the form of claim, shall in no event exceed an amount equal to the total fees paid to EY for the services.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para. 136 of my reasons, I set out part of the plaintiff's submission that the amount of fees charged by EY for Mr. Hobson's opinion was $15,314.95.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para. 203, I set out a submission by defence counsel that under the Engagement Agreement the plaintiff's only claim against EY was for its fees of $15,315.51.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is my conclusion that the amount I awarded to the plaintiff from EY of $15,314.95 constituted damages equal to the fees charged for the negligent services of Mr. Hobson at its California office.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Regardless of whether the plaintiff would not have achieved a better result even if she knew that she had to pay US taxes, she did suffer a loss from Mr. Hobson's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amount of EY's fees for his services of $15,314.95.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Accordingly I conclude it is Mr. Baynham's proposed order that should be entered as it was implicit in the final paragraph of my reasons that I was awarding the plaintiff this amount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am not aware what the parties intend to do with the fact that the issue of costs against EY and costs for Irene Jacob have yet to be resolved.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would appreciate receiving Mr. Baynham's version of the order again, for my signature, endorsed by both counsel, with or without costs provisions.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J.D. TRUSCOTT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7821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Fong v. British Columbia (Minister of Justice), [2019] B.C.J. No. 1098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M.B. Blok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31,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14,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S111826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1098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969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Michael Kwok Shuen Fong, Plaintiff, and Her Majesty the Queen in Right of British Columbia as represented by The Minister of Justice for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(55 paras.)</w:t>
      </w:r>
    </w:p>
    <w:p>
      <w:pPr>
        <w:jc w:val="both"/>
        <w:rPr>
          <w:rFonts w:ascii="arial" w:eastAsia="arial" w:hAnsi="arial" w:cs="arial"/>
          <w:sz w:val="20"/>
          <w:lang w:val="en-US" w:eastAsia="en-US" w:bidi="ar-SA"/>
        </w:rPr>
      </w:pPr>
      <w:bookmarkStart w:id="97" w:name="Counsel_21"/>
      <w:bookmarkEnd w:id="9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9"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P.G. Kent-Snowsell.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O. Kowarsky, A. Mallek.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8" w:name="Judgment_21"/>
      <w:bookmarkEnd w:id="98"/>
      <w:r>
        <w:pict>
          <v:line id="_x0000_s1110" style="position:absolute;z-index:2517340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on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9" w:name="M.B. BLOK J."/>
            <w:bookmarkEnd w:id="99"/>
            <w:r>
              <w:rPr>
                <w:rFonts w:ascii="arial" w:eastAsia="arial" w:hAnsi="arial" w:cs="arial"/>
                <w:b/>
                <w:color w:val="000000"/>
                <w:sz w:val="30"/>
                <w:lang w:val="en-US" w:eastAsia="en-US" w:bidi="ar-SA"/>
              </w:rPr>
              <w:t>M.B. BLOK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reasons address issues of costs following a judgment rendered on March 1,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is a personal injury case in which the plaintiff sought damages for injuries he suffered as a result of a "hard takedown" arrest by RCMP officers on March 11,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trial lasted 18 days. Both liability and damages were in issue. The plaintiff sought damages totalling about $1.3 million. In reasons for judgment indexed at </w:t>
      </w:r>
      <w:hyperlink r:id="rId559" w:history="1">
        <w:r>
          <w:rPr>
            <w:rFonts w:ascii="arial" w:eastAsia="arial" w:hAnsi="arial" w:cs="arial"/>
            <w:i/>
            <w:color w:val="0077CC"/>
            <w:sz w:val="20"/>
            <w:u w:val="single"/>
            <w:shd w:val="clear" w:color="auto" w:fill="FFFFFF"/>
            <w:lang w:val="en-US" w:eastAsia="en-US" w:bidi="ar-SA"/>
          </w:rPr>
          <w:t>2019 BCSC 263</w:t>
        </w:r>
      </w:hyperlink>
      <w:r>
        <w:rPr>
          <w:rFonts w:ascii="arial" w:eastAsia="arial" w:hAnsi="arial" w:cs="arial"/>
          <w:color w:val="000000"/>
          <w:sz w:val="20"/>
          <w:lang w:val="en-US" w:eastAsia="en-US" w:bidi="ar-SA"/>
        </w:rPr>
        <w:t>, I found in favour of the plaintiff on liability and awarded damages which, as a result of certain adjustments, the parties agree total $71,129.34.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para. 445 of that judgment I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[445] The plaintiff will have his costs on the ordinary scale unless there are matters which the parties wish to draw to my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subsequently presented a bill of costs totalling approximately $169,500, comprised of about $69,000 in tariff items and $100,000 in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seeks an order limiting or denying some of the costs sought by the plaintiff. The defendant's primary argument is that the plaintiff rendered the opinion evidence of his various experts valueless because he misled them through "serial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Positions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reviewed the trial judgment in some detail, noting that the evidence of each of the plaintiff's medical witnesses was not accepted by the Court because the plaintiff had not informed them of important matters relevant to his physical and mental health. This had a consequential negative impact on the usefulness of the five expert reports produced by the plaintiff's economist, who relied on assumptions that were rejected by the Court. The defendant noted that the economist's reports were not even mentioned in the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acknowledges its formal offer to settle of $25,000 did not exceed the judgment, but said its offer was much closer to the mark than the $1.3 million claimed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Although the defendant concedes that the fact that the plaintiff obtained a judgment in an amount significantly less than the amount sought is not, in itself, a reason to deprive him of costs, the defendant says the case authorities grant to the Court the discretion to deprive a plaintiff of costs where he is guilty of misconduct in the litigation or where he has been unsuccessful on discrete issues. The Court also may disallow all or part of disbursements that relate to claims or issues on which the plaintiff was unsuccessful. The defendant says all of these factors are present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put its main point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Plaintiff, through his ongoing misrepresentations and obfuscations, rendered his own testimony suspect, and his experts' reports or no value or of negligible value, then ... it is proper for the Court to exercise its discretion to have that fact ... reflected in the costs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also said it is open to the Court to find that if the damages awarded in a proceeding are so nominal as to be lower than assessable costs, a holistic reduction, either by percentage or lump sum figure, may be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also made submissions on some other aspects of the trial and the associated costs. These were:</w:t>
      </w:r>
      <w:r>
        <w:rPr>
          <w:rFonts w:ascii="arial" w:eastAsia="arial" w:hAnsi="arial" w:cs="arial"/>
          <w:sz w:val="20"/>
          <w:lang w:val="en-US" w:eastAsia="en-US" w:bidi="ar-SA"/>
        </w:rPr>
        <w:cr/>
      </w:r>
    </w:p>
    <w:p>
      <w:pPr>
        <w:numPr>
          <w:numId w:val="1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two days of court time was spent on applications or objections on which the plaintiff was unsuccessful;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failed to establish that the police used a police baton on him in effecting the arrest and he failed in his claim that a police officer repeatedly used a racist and homophobic slur against him;</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failed in his claims for (1) aggravated and punitive damages; (2) loss of pensionable earnings; and (3) damages for the cost of future care;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family physician and a chiropractor testified as lay witnesses, yet the plaintiff is seeking costs for those witnesses as though they were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a result of items (a) and (c) above, the defendant argues that the plaintiff should be deprived of costs and disbursements for three days of trial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submits that the appropriate order would be to: (1) disallow 2.5 days of tariff items, this being the trial time that was taken up with the plaintiff's experts; (2) disallow 6 units of tariff item 17 (process for retaining and consulting experts); and (3) disallow all disbursements relating to the plaintiff's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Additionally, the defendant submits that after those specific disallowances, the remaining costs and disbursements should be disallowed by 50 percent.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emphasized that he was successful in the action because he established liability and obtained a remedy in the form of damages. Accordingly, the usual rule should apply and he should be awarded costs. He submits the defendant has not met its onus of showing this case has exceptional circumstances which warrant a departure from that usual rule. This case was an ordinary personal injury case, and in such cases it is common that a plaintiff might fall short, even well short, of the amount claimed, but still be entitled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submits he acted reasonably in the matter of his experts, as evidenced by the fact that WorkSafeBC had accepted his psychological issues as a workplace injury. The case spanned a very long time frame and so there were a number of physicians involved with the plaintiff's care over the years, and the plaintiff might have been faced with arguments about adverse inferences if he had not submitted evidence from his treating physicians. In all cases, the defendant required the attendance of the expert at trial, which added to the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notes that the effect of the orders sought by the defendant would be that $36,000 in disbursements incurred for experts would be "wiped out". The overall effect would be to reduce the plaintiff's claimed costs by 58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argues that this case does not fall within any exception to the usual rule. There were no discrete issues in this case and no misconduct on the plaintiff's part. The objections and applications heard during the trial were part of the ordinary ebb and flow of a trial. As to the alleged misconduct on the part of the plaintiff, while he undoubtedly has some personality issues which affected his view of events, he did not proffer his evidence in order to hoodwink the Court. His version of events might not have been accepted, but he should not be punished for seeing things as he does.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Applicable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Costs are dealt with in Rule 14-1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The applicable subrules are (7), (9) and (15). Subrule (9) provides that costs must be awarded to the successful party unless the court otherwise orders. Subrule (7) grants to a judge or master the power to direct that any item of costs, including any item of disbursements, be allowed or disallowed. Subrule (15) allows the court to award or deny costs for a particular application, step or matter relating to the proceeding.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Applicable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was little disagreement between the parties on the applicable authorities. Both parties cited essentially the same cases and buttressed their arguments by relying on different aspects of those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two principal authorities referred to were </w:t>
      </w:r>
      <w:r>
        <w:rPr>
          <w:rFonts w:ascii="arial" w:eastAsia="arial" w:hAnsi="arial" w:cs="arial"/>
          <w:i/>
          <w:color w:val="000000"/>
          <w:sz w:val="20"/>
          <w:lang w:val="en-US" w:eastAsia="en-US" w:bidi="ar-SA"/>
        </w:rPr>
        <w:t>Loft v. Nat</w:t>
      </w:r>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2014 BCCA 108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Loft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Briante v. Vancouver Island Health Authority</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2017 BCCA 148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Briante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Loft</w:t>
      </w:r>
      <w:r>
        <w:rPr>
          <w:rFonts w:ascii="arial" w:eastAsia="arial" w:hAnsi="arial" w:cs="arial"/>
          <w:color w:val="000000"/>
          <w:sz w:val="20"/>
          <w:lang w:val="en-US" w:eastAsia="en-US" w:bidi="ar-SA"/>
        </w:rPr>
        <w:t>, a plaintiff in a personal injury case claimed damages totalling nearly $3 million, but recovered damages at trial of just $63,000. A psychiatrist testified at trial that the plaintiff had developed a somatoform pain disorder. He agreed in cross-examination that a diagnosis of antisocial disorder would also apply to the plaintiff, and he said it was very challenging to determine how much of the plaintiff's pain was really perceived as such by him or was just exaggerated for litigation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trial judge concluded that the plaintiff's injuries would have prevented him from working at his usual occupation for just six to seven months post-accident. He dismissed the plaintiff's claims for future loss of income and costs of future care. As the Court of Appeal noted, the trial judge's findings were largely grounded in the plaintiff's lack of credibility. He found that the plaintiff had not only grossly exaggerated his pain and suffering but he had tailored his evidence to suit the claimed he was advancing.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trial judge awarded costs to the defendants because they were largely successful in all areas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Court of Appeal dismissed the plaintiff's damages appeal but allowed his appeal on costs. On costs,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Pursuant to Rule 14-1(9), costs in a proceeding must be awarded to the successful party unless the court otherwise orders. At its most basic level the successful party is the plaintiff who establishes liability under a cause of action and obtains a remedy, or a defendant who obtains a dismissal of the plaintiff's case: </w:t>
      </w:r>
      <w:r>
        <w:rPr>
          <w:rFonts w:ascii="arial" w:eastAsia="arial" w:hAnsi="arial" w:cs="arial"/>
          <w:i/>
          <w:color w:val="000000"/>
          <w:sz w:val="20"/>
          <w:lang w:val="en-US" w:eastAsia="en-US" w:bidi="ar-SA"/>
        </w:rPr>
        <w:t>Service Corporation International (Canada) Ltd. (Graham Funeral Ltd.) v. Nunes-Pottinger Funeral Services &amp; Crematorium Ltd.</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2012 BCSC 1588</w:t>
        </w:r>
      </w:hyperlink>
      <w:r>
        <w:rPr>
          <w:rFonts w:ascii="arial" w:eastAsia="arial" w:hAnsi="arial" w:cs="arial"/>
          <w:color w:val="000000"/>
          <w:sz w:val="20"/>
          <w:lang w:val="en-US" w:eastAsia="en-US" w:bidi="ar-SA"/>
        </w:rPr>
        <w:t>, 42 C.P.C. (7th) 416.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 In this proceeding Mr. Loft was awarded damages for injuries he had suffered in the motor vehicle accident. The respondents had denied liability until shortly before trial. Although the damage award was far less than sought, Mr. Loft was the successful party. The fact that he obtained a judgment in an amount less than the amount sought is not, by itself, a proper reason for depriving him of costs</w:t>
      </w:r>
      <w:r>
        <w:rPr>
          <w:rFonts w:ascii="arial" w:eastAsia="arial" w:hAnsi="arial" w:cs="arial"/>
          <w:i/>
          <w:color w:val="000000"/>
          <w:sz w:val="20"/>
          <w:lang w:val="en-US" w:eastAsia="en-US" w:bidi="ar-SA"/>
        </w:rPr>
        <w:t>: 3464920 Canada Inc. v. Strother</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2010 BCCA 328</w:t>
        </w:r>
      </w:hyperlink>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320 D.L.R. (4th) 637</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The trial judge's stated reason for awarding costs to the respondents was that the respondents had been largely successful in all areas of the claim. With respect, that decision is wrong in principle and cannot stand. I note that on the hearing of the appeal the respondents did not suggest otherwise.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The fact that a party has been successful at trial does not however necessarily mean that the trial judge must award costs in its favour. The rule empowers the court to otherwise order. The court may make a contrary order for many reasons. One example is misconduct in the course of the litigation: </w:t>
      </w:r>
      <w:r>
        <w:rPr>
          <w:rFonts w:ascii="arial" w:eastAsia="arial" w:hAnsi="arial" w:cs="arial"/>
          <w:i/>
          <w:color w:val="000000"/>
          <w:sz w:val="20"/>
          <w:lang w:val="en-US" w:eastAsia="en-US" w:bidi="ar-SA"/>
        </w:rPr>
        <w:t>Brown v. Lowe</w:t>
      </w:r>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2002 BCCA 7</w:t>
        </w:r>
      </w:hyperlink>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97 B.C.L.R. (3d) 246</w:t>
        </w:r>
      </w:hyperlink>
      <w:r>
        <w:rPr>
          <w:rFonts w:ascii="arial" w:eastAsia="arial" w:hAnsi="arial" w:cs="arial"/>
          <w:color w:val="000000"/>
          <w:sz w:val="20"/>
          <w:lang w:val="en-US" w:eastAsia="en-US" w:bidi="ar-SA"/>
        </w:rPr>
        <w:t xml:space="preserve">. Another is a failure to accept an offer to settle under Rule 9-1. A third arises when the court rules against the successful party on one or more issues that took a discrete amount of time at trial. In such a case the judge may award costs in respect to those issues to the other party under Rule 14-1(15): </w:t>
      </w:r>
      <w:r>
        <w:rPr>
          <w:rFonts w:ascii="arial" w:eastAsia="arial" w:hAnsi="arial" w:cs="arial"/>
          <w:i/>
          <w:color w:val="000000"/>
          <w:sz w:val="20"/>
          <w:lang w:val="en-US" w:eastAsia="en-US" w:bidi="ar-SA"/>
        </w:rPr>
        <w:t>Lee v. Jarvie</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2013 BCCA 515</w:t>
        </w:r>
      </w:hyperlink>
      <w:r>
        <w:rPr>
          <w:rFonts w:ascii="arial" w:eastAsia="arial" w:hAnsi="arial" w:cs="arial"/>
          <w:color w:val="000000"/>
          <w:sz w:val="20"/>
          <w:lang w:val="en-US" w:eastAsia="en-US" w:bidi="ar-SA"/>
        </w:rPr>
        <w:t xml:space="preserve">. Such an order is not a regular part of litigation and should be confined to relatively rare cases: </w:t>
      </w:r>
      <w:r>
        <w:rPr>
          <w:rFonts w:ascii="arial" w:eastAsia="arial" w:hAnsi="arial" w:cs="arial"/>
          <w:i/>
          <w:color w:val="000000"/>
          <w:sz w:val="20"/>
          <w:lang w:val="en-US" w:eastAsia="en-US" w:bidi="ar-SA"/>
        </w:rPr>
        <w:t>Sutherland v. Canada (Attorney General)</w:t>
      </w:r>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2008 BCCA 27</w:t>
        </w:r>
      </w:hyperlink>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77 B.C.L.R. (4th) 142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Lewis v. Lehigh Northwest Cement Limited</w:t>
      </w:r>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2009 BCCA 424</w:t>
        </w:r>
      </w:hyperlink>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97 B.C.L.R. (4th) 256</w:t>
        </w:r>
      </w:hyperlink>
      <w:r>
        <w:rPr>
          <w:rFonts w:ascii="arial" w:eastAsia="arial" w:hAnsi="arial" w:cs="arial"/>
          <w:color w:val="000000"/>
          <w:sz w:val="20"/>
          <w:lang w:val="en-US" w:eastAsia="en-US" w:bidi="ar-SA"/>
        </w:rPr>
        <w:t>. Whether a judge will order otherwise in any particular case will be dependent upon the circumstances of that individual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Court of Appeal reiterated and expanded on these principles in </w:t>
      </w:r>
      <w:r>
        <w:rPr>
          <w:rFonts w:ascii="arial" w:eastAsia="arial" w:hAnsi="arial" w:cs="arial"/>
          <w:i/>
          <w:color w:val="000000"/>
          <w:sz w:val="20"/>
          <w:lang w:val="en-US" w:eastAsia="en-US" w:bidi="ar-SA"/>
        </w:rPr>
        <w:t>Briante</w:t>
      </w:r>
      <w:r>
        <w:rPr>
          <w:rFonts w:ascii="arial" w:eastAsia="arial" w:hAnsi="arial" w:cs="arial"/>
          <w:color w:val="000000"/>
          <w:sz w:val="20"/>
          <w:lang w:val="en-US" w:eastAsia="en-US" w:bidi="ar-SA"/>
        </w:rPr>
        <w:t xml:space="preserve">. In that case, the plaintiffs in two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established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failed on the issue of causation. In light of the result, the plaintiffs argued that each side ought to bear their own costs. The trial judge ordered that the plaintiffs pay the defendants' costs in relation to all issues other than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Court of Appeal set aside the trial judge's order.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[198] The usual rule is that, absent special considerations, costs follow the event; they must be awarded to the successful party unless the court orders otherwise. As Goepel J.A. observed in </w:t>
      </w:r>
      <w:r>
        <w:rPr>
          <w:rFonts w:ascii="arial" w:eastAsia="arial" w:hAnsi="arial" w:cs="arial"/>
          <w:i/>
          <w:color w:val="000000"/>
          <w:sz w:val="20"/>
          <w:lang w:val="en-US" w:eastAsia="en-US" w:bidi="ar-SA"/>
        </w:rPr>
        <w:t>Loft v. Nat</w:t>
      </w:r>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2014 BCCA 108</w:t>
        </w:r>
      </w:hyperlink>
      <w:r>
        <w:rPr>
          <w:rFonts w:ascii="arial" w:eastAsia="arial" w:hAnsi="arial" w:cs="arial"/>
          <w:color w:val="000000"/>
          <w:sz w:val="20"/>
          <w:lang w:val="en-US" w:eastAsia="en-US" w:bidi="ar-SA"/>
        </w:rPr>
        <w:t xml:space="preserve"> at para. 46, "[a]t its most basic level the successful party is the plaintiff who establishes liability under a cause of action and obtains a remedy, or a defendant who obtains a dismissal of the plaintiff's case". The onus is on the party seeking to have the court exercise its discretion to depart from the usual rule: </w:t>
      </w:r>
      <w:r>
        <w:rPr>
          <w:rFonts w:ascii="arial" w:eastAsia="arial" w:hAnsi="arial" w:cs="arial"/>
          <w:i/>
          <w:color w:val="000000"/>
          <w:sz w:val="20"/>
          <w:lang w:val="en-US" w:eastAsia="en-US" w:bidi="ar-SA"/>
        </w:rPr>
        <w:t>Gill v. Canada (Minister of Transport)</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2014 BCSC 2235</w:t>
        </w:r>
      </w:hyperlink>
      <w:r>
        <w:rPr>
          <w:rFonts w:ascii="arial" w:eastAsia="arial" w:hAnsi="arial" w:cs="arial"/>
          <w:color w:val="000000"/>
          <w:sz w:val="20"/>
          <w:lang w:val="en-US" w:eastAsia="en-US" w:bidi="ar-SA"/>
        </w:rPr>
        <w:t xml:space="preserve">. The onus is a substantial one. As noted in </w:t>
      </w:r>
      <w:r>
        <w:rPr>
          <w:rFonts w:ascii="arial" w:eastAsia="arial" w:hAnsi="arial" w:cs="arial"/>
          <w:i/>
          <w:color w:val="000000"/>
          <w:sz w:val="20"/>
          <w:lang w:val="en-US" w:eastAsia="en-US" w:bidi="ar-SA"/>
        </w:rPr>
        <w:t>Sutherland v. The Attorney General of Canada</w:t>
      </w:r>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2008 BCCA 27</w:t>
        </w:r>
      </w:hyperlink>
      <w:r>
        <w:rPr>
          <w:rFonts w:ascii="arial" w:eastAsia="arial" w:hAnsi="arial" w:cs="arial"/>
          <w:color w:val="000000"/>
          <w:sz w:val="20"/>
          <w:lang w:val="en-US" w:eastAsia="en-US" w:bidi="ar-SA"/>
        </w:rPr>
        <w:t xml:space="preserve"> at para. 26, "a successful litigant has a reasonable expectation of obtaining an order for the payment of his [or her]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court went on to discuss the discretion to depart from the usual rule, which is conferred on the court by Rule 14-1(15).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 The discretion embodied [in] Rule 14-1(15) must be exercised judicially in accordance with established principles: </w:t>
      </w:r>
      <w:r>
        <w:rPr>
          <w:rFonts w:ascii="arial" w:eastAsia="arial" w:hAnsi="arial" w:cs="arial"/>
          <w:i/>
          <w:color w:val="000000"/>
          <w:sz w:val="20"/>
          <w:lang w:val="en-US" w:eastAsia="en-US" w:bidi="ar-SA"/>
        </w:rPr>
        <w:t>British Columbia v. Worthington (Canada) Inc. et al</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(1988), 29 B.C.L.R. (2d) 145</w:t>
        </w:r>
      </w:hyperlink>
      <w:r>
        <w:rPr>
          <w:rFonts w:ascii="arial" w:eastAsia="arial" w:hAnsi="arial" w:cs="arial"/>
          <w:color w:val="000000"/>
          <w:sz w:val="20"/>
          <w:lang w:val="en-US" w:eastAsia="en-US" w:bidi="ar-SA"/>
        </w:rPr>
        <w:t xml:space="preserve"> (C.A.) per Esson J.A. at 165, Hutcheon J.A. at 162, Lambert J.A. (dissenting in the result) at 154; </w:t>
      </w:r>
      <w:r>
        <w:rPr>
          <w:rFonts w:ascii="arial" w:eastAsia="arial" w:hAnsi="arial" w:cs="arial"/>
          <w:i/>
          <w:color w:val="000000"/>
          <w:sz w:val="20"/>
          <w:lang w:val="en-US" w:eastAsia="en-US" w:bidi="ar-SA"/>
        </w:rPr>
        <w:t>Gichuru v. Smith</w:t>
      </w: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2014 BCCA 414</w:t>
        </w:r>
      </w:hyperlink>
      <w:r>
        <w:rPr>
          <w:rFonts w:ascii="arial" w:eastAsia="arial" w:hAnsi="arial" w:cs="arial"/>
          <w:color w:val="000000"/>
          <w:sz w:val="20"/>
          <w:lang w:val="en-US" w:eastAsia="en-US" w:bidi="ar-SA"/>
        </w:rPr>
        <w:t xml:space="preserve"> at para. 100. Such an order is not a regular part of litigation and should be confined to relatively rare cases: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xml:space="preserve"> at para. 43. One example is misconduct in the litigation as, for example, when a party deliberately misleads or "displays a light regard for the truth": </w:t>
      </w:r>
      <w:r>
        <w:rPr>
          <w:rFonts w:ascii="arial" w:eastAsia="arial" w:hAnsi="arial" w:cs="arial"/>
          <w:i/>
          <w:color w:val="000000"/>
          <w:sz w:val="20"/>
          <w:lang w:val="en-US" w:eastAsia="en-US" w:bidi="ar-SA"/>
        </w:rPr>
        <w:t>Brown v. Lowe</w:t>
      </w:r>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2002 BCCA 7</w:t>
        </w:r>
      </w:hyperlink>
      <w:r>
        <w:rPr>
          <w:rFonts w:ascii="arial" w:eastAsia="arial" w:hAnsi="arial" w:cs="arial"/>
          <w:color w:val="000000"/>
          <w:sz w:val="20"/>
          <w:lang w:val="en-US" w:eastAsia="en-US" w:bidi="ar-SA"/>
        </w:rPr>
        <w:t xml:space="preserve"> at para. 163. A second is when the court rules against the successful party on one or more of the issues that took a discrete amount of time at trial: </w:t>
      </w:r>
      <w:r>
        <w:rPr>
          <w:rFonts w:ascii="arial" w:eastAsia="arial" w:hAnsi="arial" w:cs="arial"/>
          <w:i/>
          <w:color w:val="000000"/>
          <w:sz w:val="20"/>
          <w:lang w:val="en-US" w:eastAsia="en-US" w:bidi="ar-SA"/>
        </w:rPr>
        <w:t>Loft</w:t>
      </w:r>
      <w:r>
        <w:rPr>
          <w:rFonts w:ascii="arial" w:eastAsia="arial" w:hAnsi="arial" w:cs="arial"/>
          <w:color w:val="000000"/>
          <w:sz w:val="20"/>
          <w:lang w:val="en-US" w:eastAsia="en-US" w:bidi="ar-SA"/>
        </w:rPr>
        <w:t xml:space="preserve"> at para. 49, citing </w:t>
      </w:r>
      <w:r>
        <w:rPr>
          <w:rFonts w:ascii="arial" w:eastAsia="arial" w:hAnsi="arial" w:cs="arial"/>
          <w:i/>
          <w:color w:val="000000"/>
          <w:sz w:val="20"/>
          <w:lang w:val="en-US" w:eastAsia="en-US" w:bidi="ar-SA"/>
        </w:rPr>
        <w:t>Lee v. Jarvie</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2013 BCCA 515</w:t>
        </w:r>
      </w:hyperlink>
      <w:r>
        <w:rPr>
          <w:rFonts w:ascii="arial" w:eastAsia="arial" w:hAnsi="arial" w:cs="arial"/>
          <w:color w:val="000000"/>
          <w:sz w:val="20"/>
          <w:lang w:val="en-US" w:eastAsia="en-US" w:bidi="ar-SA"/>
        </w:rPr>
        <w:t xml:space="preserve"> - a case in which liability was admitted and the various heads of damage under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were held to constitute the divisible issues for the purposes of determining the relative success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principles from </w:t>
      </w:r>
      <w:r>
        <w:rPr>
          <w:rFonts w:ascii="arial" w:eastAsia="arial" w:hAnsi="arial" w:cs="arial"/>
          <w:i/>
          <w:color w:val="000000"/>
          <w:sz w:val="20"/>
          <w:lang w:val="en-US" w:eastAsia="en-US" w:bidi="ar-SA"/>
        </w:rPr>
        <w:t>Loft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Briante</w:t>
      </w:r>
      <w:r>
        <w:rPr>
          <w:rFonts w:ascii="arial" w:eastAsia="arial" w:hAnsi="arial" w:cs="arial"/>
          <w:color w:val="000000"/>
          <w:sz w:val="20"/>
          <w:lang w:val="en-US" w:eastAsia="en-US" w:bidi="ar-SA"/>
        </w:rPr>
        <w:t xml:space="preserve"> may be summarized as follows:</w:t>
      </w:r>
      <w:r>
        <w:rPr>
          <w:rFonts w:ascii="arial" w:eastAsia="arial" w:hAnsi="arial" w:cs="arial"/>
          <w:sz w:val="20"/>
          <w:lang w:val="en-US" w:eastAsia="en-US" w:bidi="ar-SA"/>
        </w:rPr>
        <w:cr/>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usual rule is that, absent special considerations, costs follow the event; they must be awarded to the successful party unless the court orders otherwise;</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its most basic level the successful party is the plaintiff who establishes liability under a cause of action and obtains a remedy, or is the defendant who obtains a dismissal of the plaintiff's case;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onus is on the party seeking to have the court exercise its discretion to depart from the usual rule. That onus is a substantial one;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contrary to the usual may be made for a number of reasons, including misconduct in the course of the litigation (including when a party deliberately misleads or "displays a light regard for the truth"), the failure to accept an offer to settle, or when the court rules against the successful party on one or more issues that took a discrete amount of time at trial;</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discretion embodied in Rule 14-1(15) to award or deny costs of part of a proceeding must be exercised judicially in accordance with established principles. Such an order is not a regular part of litigation and should be confined to relatively rare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"Misconduct in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is true that I commented negatively on Mr. Fong's credibility in this case. In the witness box, Mr. Fong frequently wandered off-track and often had difficulty coming to the point. His evidence about the actual assault was elaborately detailed, "improbably so", as I found. He was selective in the information he provided to his family doctors. He had experienced a lot of negative events in his life, including his approximately year-long use of crack cocaine, being fired from his job as hotel manager and the loss of $800,000 in family money in a failed investment, but he either failed to tell his physicians and experts about those other stressors or he minimized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However, I am not satisfied he did these things deliberately, in the fullest sense of that word.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three psychological or psychiatric witnesses who gave evidence in this case all remarked on Mr. Fong's psychological issues, and two of them commented on Mr. Fong's pre-existing problematic personality traits.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Hendre Viljoen, a psychologist called by the plaintiff, noted Mr. Fong showed indications of a number of problematic personality traits, including being emotionally labile and reactive, with angry acting-out behaviour, feelings of mistrust and hypervigilance as to the motives of people around him. He also noted Mr. Fong showed a negative self-perception, dwelling on previous failures and prone to harsh self-criticism and a pessimistic outlook. Among other things, these manifested themselves through Mr. Fong's significant preoccupation with pain and likely over-reporting or exaggeration of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Stephen Fitzpatrick, a defence psychiatrist, concluded Mr. Fong has, at minimum, "personality traits of the Cluster B type with narcissistic and antisocial traits". These personality traits cause marked functional impairment and/or subjective distress in relationships, employment and day-to-day social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Although I found that Mr. Fong was not a credible witness, I do not conclude he was lying to the Court. I also do not conclude that Mr. Fong's failure to tell physicians and experts about other negative events in his life was a deliberate scheme on his part to enhance his personal injury claim or that he displayed "a light regard for the truth". Instead, I conclude that Mr. Fong likely believed (and may still believe) that all of his troubles were and are fully attributable to the police arrest and assault of March 11, 2006. His focus on that arrest and his minimization of other negative life stressors must be viewed in that light, particularly given the expert evidence about his problematic personality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Had I concluded that Mr. Fong had no genuine subjective belief in the things he said, or that he deliberately withheld or minimized information with full knowledge that it was relevant to the damages claimed, then I might well have acceded to the defendant's submission that the plaintiff had deliberately misled the Court and his experts. As it is, this case is no different than any other personal injury case where some of the injuries or damages claimed have not been proven. Accordingly, the defendant has failed to meet its substantial onus of showing there was misconduct in the course of the litigation or that the plaintiff displayed a "light regard for the truth".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Costs for Discrete Aspects or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While that conclusion effectively disposes of the defendant's central argument, out of an abundance of caution I will also address the "discrete issue"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 observe, first of all, that the case authorities emphasize apportionment of costs on this basis is reserved to rare or special cases: </w:t>
      </w:r>
      <w:r>
        <w:rPr>
          <w:rFonts w:ascii="arial" w:eastAsia="arial" w:hAnsi="arial" w:cs="arial"/>
          <w:i/>
          <w:color w:val="000000"/>
          <w:sz w:val="20"/>
          <w:lang w:val="en-US" w:eastAsia="en-US" w:bidi="ar-SA"/>
        </w:rPr>
        <w:t>Sutherland v. The Attorney General of Canada</w:t>
      </w:r>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2008 BCCA 27</w:t>
        </w:r>
      </w:hyperlink>
      <w:r>
        <w:rPr>
          <w:rFonts w:ascii="arial" w:eastAsia="arial" w:hAnsi="arial" w:cs="arial"/>
          <w:color w:val="000000"/>
          <w:sz w:val="20"/>
          <w:lang w:val="en-US" w:eastAsia="en-US" w:bidi="ar-SA"/>
        </w:rPr>
        <w:t>, at para. 43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xml:space="preserve"> set out the following test for apportionment of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The test for the apportionment of costs under Rule 57(15) can be set out as follows: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seeking apportionment must establish that there are separate and discrete issues upon which the ultimately unsuccessful party succeeded at trial;</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basis on which the trial judge can identify the time attributable to the trial of these separate issues;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be shown that apportionment would effect a just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xml:space="preserve"> involved a claim in nuisance arising out of the construction and operation of the north runway at Vancouver International Airport. The plaintiffs were nearby landowners. The trial judge found the defendants liable in nuisance and he rejected the defence of statutory authority. The finding of nuisance was upheld on appeal, but the Court of Appeal also found that the defendants had established the defence of statutory authority and so the appeal was allowed. Trial costs were remitted to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his ensuing costs ruling, the trial judge concluded, among other things, that the plaintiffs were entitled to 25/39ths of all their properly assessable costs and the defendants were each entitled to 14/39ths of all their respective properly assessable costs. He arrived at this conclusion on the basis that the trial lasted 39 days, 25 of which were occupied with the issue of nuisance, on which the plaintiffs ultimately succeeded, and 14 of which were occupied with the defence of statutory authority, the issue on which the defendants succeeded in having the action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xml:space="preserve"> found that the first and second branches of the test for apportionment were satisfied, but not the third.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However, in my respectful opinion, the trial judge erred in determining that the plaintiffs satisfied the third branch of the test for apportionment. In the circumstances of this case, it would not be manifestly just or fair to apportion costs as did the trial judge. There was no basis for denying the defendants their costs on the issue of nuisance and, even more clearly, no basis for awarding costs on that issue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the present case, there are difficulties with all three branches of the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xml:space="preserve"> test. Mr. Fong's physical injuries were inextricably bound together with the psychological components of his case. Each affected the other. They were not separate and discrete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Mr. Fong failed on some aspects of his claim, but he succeeded insofar as he was awarded: (a) non-pecuniary damages; (b) damages for past loss of income and past loss of capacity; (c) loss of future income-earning capacity; and (d) special damages. He was also awarded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but that award was modified post-trial by consent for reasons that will be the subject of separate reasons for judgment, yet to be issued. Mr. Fong failed in his claims for aggravated and punitive damages, loss of pensionable earnings and cost of future care, but these issues were entirely, or at least largely, subsumed within issues on which he was successful. In my view, despite the fact that the total damages award was far less than the damages claimed, all of the damages issues were part of an essentially indivisible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For the same reasons, I conclude it is not reasonably possible to identify the trial time attributable to those unsuccessful aspects of the plaintiff's case. All three of Mr. Fong's family physicians (he had several over the years) testified about both the physical and psychological components of Mr. Fong's case, and his treating psychiatrist (Dr. Mallavarapu) testified about how Mr. Fong's symptoms of depression related to his pain symptoms. Accordingly, there is no obvious line of demarcation between the issues on which Mr. Fong was successful and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Finally, even if the first two branches of the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xml:space="preserve"> test had been met, for the reasons already reviewed I do not consider it "manifestly just or fair" (see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xml:space="preserve"> at para. 33) that costs be apportioned. As well, I note the defendant availed itself of the option of making a formal offer to settle, the usual or typical process for managing the risk of costs in a personal injury case, and the fact that its formal offer fell short does not mean that the plaintiff's recovery of costs is an unfair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 accept that in </w:t>
      </w:r>
      <w:r>
        <w:rPr>
          <w:rFonts w:ascii="arial" w:eastAsia="arial" w:hAnsi="arial" w:cs="arial"/>
          <w:i/>
          <w:color w:val="000000"/>
          <w:sz w:val="20"/>
          <w:lang w:val="en-US" w:eastAsia="en-US" w:bidi="ar-SA"/>
        </w:rPr>
        <w:t>Lee v. Jarvie</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2013 BCCA 515</w:t>
        </w:r>
      </w:hyperlink>
      <w:r>
        <w:rPr>
          <w:rFonts w:ascii="arial" w:eastAsia="arial" w:hAnsi="arial" w:cs="arial"/>
          <w:color w:val="000000"/>
          <w:sz w:val="20"/>
          <w:lang w:val="en-US" w:eastAsia="en-US" w:bidi="ar-SA"/>
        </w:rPr>
        <w:t xml:space="preserve">, the Court of Appeal upheld a trial judge's apportionment of costs in a personal injury case. There, the trial judge, in reasons indexed at </w:t>
      </w:r>
      <w:hyperlink r:id="rId571" w:history="1">
        <w:r>
          <w:rPr>
            <w:rFonts w:ascii="arial" w:eastAsia="arial" w:hAnsi="arial" w:cs="arial"/>
            <w:i/>
            <w:color w:val="0077CC"/>
            <w:sz w:val="20"/>
            <w:u w:val="single"/>
            <w:shd w:val="clear" w:color="auto" w:fill="FFFFFF"/>
            <w:lang w:val="en-US" w:eastAsia="en-US" w:bidi="ar-SA"/>
          </w:rPr>
          <w:t>2012 BCSC 1521</w:t>
        </w:r>
      </w:hyperlink>
      <w:r>
        <w:rPr>
          <w:rFonts w:ascii="arial" w:eastAsia="arial" w:hAnsi="arial" w:cs="arial"/>
          <w:color w:val="000000"/>
          <w:sz w:val="20"/>
          <w:lang w:val="en-US" w:eastAsia="en-US" w:bidi="ar-SA"/>
        </w:rPr>
        <w:t>, concluded that: (a) the trial was prolonged by the claimant's pursuit of claims that were unsupported by the evidence; and (b) the issues on which the plaintiff was successful and unsuccessful were "clearly distinguishable". He also said (at para. 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should have been a reasonably straight forward claim for personal injury damages was made complex and time consuming by the nature, quantity and poor quality of the evidence the plaintiff attempted to adduce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These features were not present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For these reasons, I am not satisfied the defendant has met its burden of showing this is the kind of rare case warranting a denial of costs for some discrete aspect or aspects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Finally, I do not consider the damages recovered by the plaintiff to be "nominal", and so the cases awarding or denying costs on that basis are not applicable here. The plaintiff succeeded in obtaining an award totalling about $71,000, and although that sum is less than the amount claimed in his bill of costs, I do not consider that this makes the award "nominal" in the sense used in the authorities.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Specific Costs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There were several specific costs issues. I deal with these as follows: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Applications and objections: the defendant listed three events of this nature, amounting to one and a half days of court time. Two were evidentiary objections by the defendant on which the plaintiff was unsuccessful. I agree with the plaintiff that these sorts of events are part and parcel of many trials. They are not discrete events warranting apportionment.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third event stands on different ground. This was an application by the Attorney General of British Columbia, made on the first day of trial, to have a subpoena to a Crown counsel set aside. The application was successful and the subpoena was set aside with costs awarded to the Attorney General against the plaintiff. The plaintiff cannot claim costs for this event as costs were dealt with and, indeed, were ordered </w:t>
      </w:r>
      <w:r>
        <w:rPr>
          <w:rFonts w:ascii="arial" w:eastAsia="arial" w:hAnsi="arial" w:cs="arial"/>
          <w:i/>
          <w:color w:val="000000"/>
          <w:sz w:val="20"/>
          <w:lang w:val="en-US" w:eastAsia="en-US" w:bidi="ar-SA"/>
        </w:rPr>
        <w:t>against</w:t>
      </w:r>
      <w:r>
        <w:rPr>
          <w:rFonts w:ascii="arial" w:eastAsia="arial" w:hAnsi="arial" w:cs="arial"/>
          <w:color w:val="000000"/>
          <w:sz w:val="20"/>
          <w:lang w:val="en-US" w:eastAsia="en-US" w:bidi="ar-SA"/>
        </w:rPr>
        <w:t xml:space="preserve"> the plaintiff. I would disallow any costs associated with this application and, for clarity, I note that submissions and judgment on this issue took about a half-day in total.</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grounded in status as an expert: The defendant notes that two witnesses, Dr. Yang (a family doctor) and Mr. Yan (a chiropractor) testified as lay witnesses, yet the plaintiff is claiming costs as if they were experts. I agree that any costs claimed for these witnesses on the basis that they were experts ought to be disallowed.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directions I have made on these specific items are made pursuant to Rule 14-1(7).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defendant's application for an order limiting or apportioning the plaintiff's costs generally is dismissed. Certain specific items of costs are disallowed as outlined in para.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Costs of this application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M.B. BLOK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1" style="position:absolute;z-index:2517831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8" w:history="1">
        <w:r>
          <w:rPr>
            <w:rFonts w:ascii="arial" w:eastAsia="arial" w:hAnsi="arial" w:cs="arial"/>
            <w:b/>
            <w:bCs/>
            <w:i/>
            <w:color w:val="0077CC"/>
            <w:kern w:val="32"/>
            <w:sz w:val="28"/>
            <w:szCs w:val="32"/>
            <w:u w:val="single"/>
            <w:shd w:val="clear" w:color="auto" w:fill="FFFFFF"/>
            <w:lang w:val="en-US" w:eastAsia="en-US" w:bidi="ar-SA"/>
          </w:rPr>
          <w:t>Gregg v. Ralen, [2018] B.C.J. No. 187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G.B. Butler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29-31, June 1, 2, 5, 6, 16 and 20,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5,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M135927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187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171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Cody Allan Gregg, Plaintiff, and Gurdip S. Ralen and Gosal Trucking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(158 paras.)</w:t>
      </w:r>
    </w:p>
    <w:p>
      <w:pPr>
        <w:jc w:val="both"/>
        <w:rPr>
          <w:rFonts w:ascii="arial" w:eastAsia="arial" w:hAnsi="arial" w:cs="arial"/>
          <w:sz w:val="20"/>
          <w:lang w:val="en-US" w:eastAsia="en-US" w:bidi="ar-SA"/>
        </w:rPr>
      </w:pPr>
      <w:bookmarkStart w:id="100" w:name="Counsel_22"/>
      <w:bookmarkEnd w:id="10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2"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 Anderson, A. James.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 Kandola Dhami, S. Walsh, 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1" w:name="Judgment_22"/>
      <w:bookmarkEnd w:id="101"/>
      <w:r>
        <w:pict>
          <v:line id="_x0000_s1113" style="position:absolute;z-index:2517350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2" w:name="G.B. BUTLER J."/>
            <w:bookmarkEnd w:id="102"/>
            <w:r>
              <w:rPr>
                <w:rFonts w:ascii="arial" w:eastAsia="arial" w:hAnsi="arial" w:cs="arial"/>
                <w:b/>
                <w:color w:val="000000"/>
                <w:sz w:val="30"/>
                <w:lang w:val="en-US" w:eastAsia="en-US" w:bidi="ar-SA"/>
              </w:rPr>
              <w:t>G.B. BUTLER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Cody Gregg, the plaintiff, was injured in a motor vehicle accident that occurred at the intersection of Clark Drive and 1st Avenue in Vancouver on September 21, 2011. He was riding as a passenger in a van driven by his uncle, Wayne Gregg. The van was pulling an old flatbed trailer that held the plaintiff's scooter. The trailer was struck from behind by a fully loaded semi-trailer truck weighing 65,000 pounds. The truck was owned by the defendant Gosal Trucking Ltd. and driven by the defendant Gurdip Ralen. The defendants admitted liability prior to trial and the case proceeded for an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24 years old at the time of the accident and was working as a chef. He was planning on returning to school to upgrade his high school classes and become a Registered Nurse ("RN"). He says that he suffered soft tissue injuries in the accident as well as a Mild Traumatic Brain Injury ("MTBI") that has had a devastating impact on his ability to function at work and at home, and has detrimentally affected his enjoyment of life. While the plaintiff returned to school as he planned, he struggled to complete the program to become a Licensed Practical Nurse ("LPN"). He says the injuries have prevented him from pursuing his goal of becoming a RN, which, unlike the LPN program, requires a university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admit the plaintiff suffered mild soft tissue injuries and headaches as a result of the accident, but say those injuries and related symptoms should have resolved in the ordinary course within several months. They deny that the plaintiff suffered a MTBI or any serious and persisting injuries as a result of the accident. The defendants rely on the fact that the truck was moving slowly at the time of the accident and the impact was so minor that there was no damage to the van in which the plaintiff was riding. The defendants also say the plaintiff is not a reliable witness and that much of his evidence cannot be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These circumstances and the positions of the parties require the Court to determine the nature and extent of the injuries caused by the accident. This involves consideration of the evidence presented by the plaintiff to support the claims and assessment of all of the medical evidence. In the reasons that follow, I explain why I generally accept the plaintiff's evidence and have concluded that he suffered soft tissue injuries, as well as a MTBI in the accident. Having arrived at those conclusions, I also set out my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Nature and Extent of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maintains that before the accident he was athletic, hardworking, social and outgoing. He was able to function well in work situations and had good organizational skills. He says that since the accident, he has been depressed and has lost his self-confidence. He has tremendous difficulties with memory, which make it difficult for him to complete his schooling and limit his ability to function at a high level at work. He does not have the same amount of energy that he did before the accident and cannot engage in the level of physical activity that he could in the past. He is also much less engaged socially than he was prior to his injuries. In addition, he suffers from sexual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says he suffered soft tissue injuries, including an injury to his left eye, which resolved within about 18 months. The more significant injury is the MTBI and the associated pain, anxiety, mood, and neurocognitive disorders. He argues that these disorders are now chronic and says it is unlikely that his symptoms will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say it is important for the Court to consider the circumstances of the accident. It was a low velocity impact accident with minimal damage to both vehicles. While it is possible for injuries to be suffered in such accidents, the defendants assert that it is extremely unlikely the plaintiff could have suffered the extent of damages he is alleging from such a seemingly harmless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admit the plaintiff suffered headaches and soft tissue injuries as a result of the accident, but say those should have resolved after several months in the normal course of recovery. They deny that the plaintiff suffered a MTBI or that he has any persistent psychological injuries or cognitive difficulties that are related to the accident. The defendants also deny that the left eye injury was caused by the accident. The defendants say that the plaintiff is an unreliable witness who has been grossly disingenuous with respect to the extent of his injuries and resulting limitations. Further, they deny that he is limited in any way in his ability to pursue his nursing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grew up in North Vancouver. His mother passed away when he was 13 years old and so he was raised, along with his two siblings, by his father. His uncle, Wayne Gregg, also lived with the family. The plaintiff was very active in sports during high school. In grade 12, he was the captain of the football team and was selected as a provincial all-star football player. He also played on and captained the rugby team. He was popular with a large group of friends from the football team and had a steady girlfriend. He was elected president of the student council in grade 12. By all accounts, he was a highly confident, and perhaps arrogant, young man. His friend, Scott Oerlemans, describes the plaintiff's favourite catchphrase: "Cody Gregg rules - tell your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said he had no difficulties academically in school and his father described him as a good student. However, those assessments are somewhat overstated. His performance was likely impacted by the dyslexia he was diagnosed with at a young age. His transcripts for grades 11 and 12 show that he took very few core academic courses and achieved grades of C or C- in academic classes. Contrary to his recollection, his high school performance would be characterized as low average. He graduated from grade 12 in June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father was involved in the construction industry, and after high school it appeared that the plaintiff would follow a similar career. He worked for companies that did carpentry work and decided to enroll in BCIT to pursue a carpentry apprenticeship. He left BCIT after one or two semesters and went to work for his father's construction business. However, he soon decided that he did not like working in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With the assistance of Mr. Oerlemans, the plaintiff was hired to work in a restaurant kitchen. After about six months, they both took positions as sous-chefs at Seymour's Pub near Capilano College. The two men renewed their high school friendship and spent considerable time together both at and outside of work. During this period of time, Mr. Oerlemans described the plaintiff as a workhorse who regularly worked double shifts. He often covered shifts for colleagues on short notice. The restaurant work was high pressure and required a good memory and strong organizational skills. Mr. Oerlemans said that the plaintiff had no difficulty in performing at a high level. The two men socialized frequently with other employees of the restaurant. They often went out for drinks. According to Mr. Oerlemans, the plaintiff was not dating but was frequently "on the prowl". He described the plaintiff as charismatic and outgoing.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had been out of high school for six years when the accident happened. Before the accident, he decided that he wanted to return to school to upgrade his high school classes so that he could get into a nursing program. The plaintiff had provided considerable assistance to his uncle who was obese and unhealthy. In doing so, he realized there was likely a need for strong male nurses. He had also considered massage therapy as an occupation but decided he wanted to become a RN. Part of the reason for taking the job at Seymour's Pub was its proximity to Capilano College where he could upgrade his education. He had researched the courses he needed to be eligible to get into a nursing program. At the time of the accident, the plaintiff was planning on registering for courses in January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Circumstances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accident occurred at the corner of Clark Drive and 1st Avenue, in Vancouver, B.C. The Gregg vehicle, an older van, was stopped at the traffic signal. The van was pulling an old flatbed trailer. The plaintiff's motor scooter was fastened to the trailer. The truck driven by Mr. Ralen was immediately behind the Gregg vehicle. Mr. Ralen says he came to a complete stop about five to nine feet behind the trailer. His memory of the accident is not good, but he says it was his habit to leave that much room for a vehicle. He says he released the clutch when the light turned green and the truck rolled into the rear of the trailer. He allowed the truck to roll forward because he could not see the trailer from his elevated seat in the cab of the truck. In other words, he momentarily forgot about the trailer. He says that when he struck the trailer his truck speed was less than five km/h. He believes the collision pushed the van forward about four or five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discussed later in these reasons, the plaintiff's memory is generally very poor. However, he displayed a reasonable recollection of the events of the accident, although it is likely that this is because he has seen the clinical records and doctors' reports that set out his description of the accident. In any event, his evidence was consistent with those records. The plaintiff said he turned his head to speak to his uncle when Mr. Ralen's truck struck the trailer. He described the impact as a jolt and said it was shocking. He struck the side of his head against the headrest of his seat. He remembers being "dazed" and felt lightheaded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got out of the van and spoke to Mr. Ralen. They exchanged information about the vehicles. The plaintiff recalls being shocked by Mr. Ralen's statement that he did not see the plaintiff's vehicle. Mr. Ralen did not think that the plaintiff seemed injured or confused.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argue that the minor damage to the vehicles is a highly significant fact that should lead to the inference that the plaintiff could not have suffered a brain injury. The only damage to Mr. Ralen's truck was a small mark on the licence plate holder. The flatbed trailer, which was quite rusted, was written off as a total loss by ICBC and valued at $600. The plaintiff's motor scooter was also found to be a total loss and valued at $1,200. It fell over and was dented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Stephen Hamilton, the ICBC estimator found no damage to Mr. Gregg's van. He believed that there was also no damage to the trailer hitch, although in cross-examination said it was possible that the unusual angle of the trailer hitch shown in photographs may have been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challenges Mr. Ralen's version of the accident and says it is likely that Mr. Ralen drove directly into the trailer without stopping. I need not resolve that issue. Whether the truck came to a stop before driving into the trailer or not, the accident took place at a relatively low speed. The trailer was struck with sufficient force to damage it, knock over the scooter and suddenly push the van forward. Given the size of Mr. Ralen's loaded truck, the collision must have occurred with considerable momentum. The van received a sudden and strong thrust forward. The plaintiff was in a somewhat vulnerable position having turned toward his uncle, which caused him to strike his head on the headrest of the seat before he was thrown forward in a whiplash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do not accept the defendants' suggestion that I should draw an inference about the nature of the plaintiff's injuries from the mechanics of the accident. The defendants did not present accident reconstruction evidence to support this inference. The argument suggests there is some kind of common sense inference that I can make. I disagree. The accident took place with some force. There is no question that the plaintiff struck his head, was somewhat dazed and experienced a lightheaded sensation. There is also no doubt that he sustained soft tissue injuries. The plaintiff experienced these symptoms right after the accident. I must arrive at conclusions regarding the nature and extent of his injuries based on all of the evidence. The mechanics of the accident are a small part of the total evidence. In isolation, those mechanics do not lead to any reliable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Symptoms and Course of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the day of the accident, the plaintiff went to work as scheduled. However, he was feeling lightheaded and dizzy and left work after a short time to go to a walk-in medical clinic. He was prescribed anti-inflammatory medication and went home. His left eye was red and irritated and he returned to the walk-in clinic on September 23 reporting that he had a "chunk of rust" in his eye. The following day he spent several hours at Lions Gate Hospital Emergency where he complained of neck pain, left frontal headaches, and a swollen neck, as well as the left eye problem. A CT scan of his brain was taken. The radiologist's report says the image is suggestive of a subarachnoid hemorrhage. The plaintiff was told he had a sprained neck and bleeding in his brain. He was told he may have been concussed and that he should return to the hospital immediately if his condition deteriorated.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After the day of the accident, the plaintiff did not return to work. He was experiencing dizziness, headaches, neck pain and blurred vision in his left eye. He recalls feeling like he was in a daze and that he lacked motivation.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was asked questions both in chief and in cross-examination designed to elicit a concrete history of the development of his symptoms following the accident. However, he was generally unable to do so and was certainly unable to provide a useful chronology as to how his symptoms developed. I agree with the defendants' assertion that he was an unreliable witness about the progress of his symptoms. As the defendants note, he often gave imprecise responses to inquiries about his symptoms such as "I think so, probably", or "I guess so". Equally often he said he could not recall or "I don't really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also conclude that the plaintiff's affect was somewhat unusual. He seemed disengaged more that he should have been given what was at stake for him. His affect could be described as "flat" or "off". In spite of his somewhat unusual affect and the fact that he could not provide a helpful chronology, the plaintiff appeared at all times to be attempting to provide truthful answers to assist the court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While the plaintiff was unable to provide a useful history, he confirmed experiencing the symptoms set out in the clinical records. He described the ongoing headaches, fatigue, low exercise tolerance, dizziness and poor memory. He described the depression he felt after the accident; he felt "weak, pathetic and useless". He described a reduction in his self-esteem and his withdrawal from his social group. In part, this occurred because he lost his "filter" and said inappropriate things. His friends would suggest that something was wrong with him and this caused him to withdraw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While the plaintiff was not able to provide a useful chronology, he says that he always provided honest responses to his doctors when asked to describe the symptoms he was experiencing at the time. If anything, he believes he tended to understate his symptoms and concerns. As the plaintiff was such a poor historian, I have summarized the progress of his symptoms later in these reasons as reported to his family physician, Dr. Chalmers.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was referred by Dr. Chalmers to the Lions Gate Hospital Neurological Outpatient Rehabilitation Program ("NORP") in December 2011. He attended at the program for some time and found the techniques he was taught to be of great assistance in dealing with his cognitive problems. He was also referred to physiotherapy and psychotherapy, and prescribed numerous medications. He was always compliant with his doctors'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also described his educational and vocational progression since the accident. He registered at Capilano College to upgrade his high school courses as planned in 2012. He attended for "two or more" semesters. He says he was able to do the work but that it took a tremendous amount of effort and he required assistance from his father. His struggle to perform academically was a constant theme as he described the course of his education post-accident. He used techniques he learned to overcome his deficient memory. His room was plastered with reminder notes that allowed him to study and pass the required exams. He says that he struggled in the courses in a way that he had never experienced in high school. As a result of the effort required and his ongoing symptoms from the accident, he was unable to work while upgrading his grade 12 or attending the LPN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entered the LPN program in the fall of 2013. While he struggled to complete the courses, he managed to graduate in November 2015. The program is a one-and-a-half-year course but the plaintiff took two years. He failed three courses during that period and one of the failing grades was because he plagiarised another student's work. He said this was done because of the stress he was under in attempting to pass the courses. He was not expelled but had to redo the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After graduation, the plaintiff was hired as a casual employee at the Louis Brier Home and Hospital care facility. He has since been hired as a permanent employee in the hospital wing. He currently works a .89 position rather than full time. He thoroughly enjoys the work but finds the patient charting difficult. He is able to catch up with his charting when he works nights. The plaintiff believes he is performing well and was recently asked to assist in leadership courses for the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Rebecca Fernandez, a registered nurse and the Clinical Nurse Leader at Louis Brier, was called as a witness by the defendants. She testified that the plaintiff was performing well at work and was popular with the staff, residents and their families. He is responsible for 24 residents of the facility with the assistance of care aids. She is not aware of whether the plaintiff has any memory problems at work. She says he uses a cheat sheet to record information and she described his charting as "pretty good". She does not interact with him daily but sees him three or four times per week, usually when he has a question about one of the residents. She said he is careful and diligent in his work and is one of the better LPNs.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would still like to attempt to become a RN. This requires a bridging program and two to three years of university courses. He is not yet ready to attempt it and has concerns that he may not be able to do so given his struggles to finish the LPN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says he socializes infrequently with work colleagues. He does socialize with his former friends on occasion. He spends a lot of time gardening and bee-keeping. He started these activities after the accident and finds them very peaceful.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has tried to date since the accident but has had difficulty with intimacy. He is now trying to date online and hopes that he will be able to establish an intimate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continues to suffer from headaches. He gets them weekly and usually manages to work through them. He experiences a bad headache about once a month. They are brought on by stress. He has learned to go to a dark quiet place and use a cold pack. They usually occur after work and so he is able to deal with them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continues to exercise but cannot tolerate anything close to the level of exercise he took part in prior to the accident. He does about 10 to 15 minutes of light cardio work and then does a lot of stretching. He can also do light weights and often follows that with a swim. Recently he has gone for workouts about five times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father and Mr. Oerlemans also gave evidence about the differences they observed in the plaintiff after the accident. Their evidence supports the plaintiff's claim that the accident has dramatically affected his ability to perform at school, at home and in social situations. They both remarked on changes in his personality and affect.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plaintiff's father was at the hospital with the plaintiff on September 24th. He was extremely alarmed about the plaintiff's well-being, probably because they were told about the "brain bleed". The plaintiff's father recounted how the plaintiff was disoriented, dizzy, complained of headaches and wore sunglasses; all the plaintiff wanted to do was lie down. The plaintiff's father also dramatized the situation by suggesting that the plaintiff had the world's worst nightmares, that he almost died and that his life was torn apart.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father confirmed the changes observed in the plaintiff after the accident. He gained considerable weight and could not run or work out the way he used to. He described the plaintiff as a "shell of what he used to be" and noted the considerable reduction in his son's social activities. He said that the plaintiff's circle of friends had been reduced from 30 or 40 to a small group. He said the plaintiff went from being a friendly, happy-go-lucky young man to being quiet, sullen, serious and depressed.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Oerlemans became friends with the plaintiff in grade 10 and so had known him for 15 years by the time he gave evidence. In high school, the plaintiff was extremely popular; the president of the student council and the captain of the football team. The friendship that started in high school diminished when they graduated and each went their separate ways. However, they renewed the friendship when they starting working in restaurants together. They socialized together almost every night. Mr. Oerlemans described the plaintiff as bubbly and outgoing without any social inhibitions. He confirmed that the plaintiff often worked double shifts at Seymour's Pub and described him as a "workhorse".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After the accident, the picture painted by Mr. Oerlemans is very different. While the two men remained friends after the accident, the plaintiff's behaviour was very different and they were not able to do the same things they used to do. The plaintiff seemed distant and quiet. Mr. Oerlemans also described the plaintiff's unusual behaviour. He would blurt out inappropriate statements and did not seem to understand that he was acting inappropriately. This caused problems within the group of friends. Mr. Oerlemans also described how the plaintiff became more withdrawn. As an example of this, he described a trip to Las Vegas in July 2012 with friends. The plaintiff spent most of his time in the hotel room lying down with the drapes closed rather than going out to the music festival as planned.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Oerlemans also described the plaintiff's inability to perform work as he had done before the accident. Prior to the accident, Mr. Oerlemans and the plaintiff agreed to cater a friend's wedding. After the accident, the plaintiff was disorganized, had trouble planning for the event, and had difficulty executing the tasks necessary at the wedding. Mr. Oerlemans described the event as a disaster; the plaintiff forgot recipes, burned some of the dishes and acted inappropriately. He was asked to leave when he stripped down to his underwear to change while he was in the kitchen and in front of wedding guests. Mr. Oerlemans contrasted this with the abilities that the plaintiff displayed when working at Seymour's Pub. The work was stressful and required a good memory and organizational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time went on, Mr. Oerlemans become uncomfortable around and distanced himself from the plaintiff. The plaintiff seemed to be depressed and was very anxious around women. He put on considerable weight and his sense of humour seemed very dark. He was no longer somewhat arrogant; indeed, he was self-deprecating. The plaintiff also said inappropriate things to Mr. Oerlemans' girlfriend. Mr. Oerlemans felt that it was more trouble than it was worth to spend time with the plaintiff because he had to babysit him. As a result, they grew apart.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By 2013, the two men had drifted apart and only remained in contact through text messages. The plaintiff sent texts suggesting that he had no friends. Mr. Oerlemans found this behaviour strange and continued to stay away from the plaintiff. This changed in early 2016. Mr. Oerlemans attended the funeral of the plaintiff's uncle. The two men reconnected at that stage when Mr. Oerlemans and three or four other friends tried to bring the plaintiff back into their social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Oerlemans now sees the plaintiff about once every two to three weeks. He says that the plaintiff is doing better than he was. He is not as unpredictable as he used to be, although he still says inappropriate things. He says that the plaintiff often seems anxious and frequently apologizes unnecessarily. Compared to his former self, the plaintiff has lower levels of energy and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Oerlemans was an excellent witness. I see no reason to question his evidence and I accept his description of the changes he saw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Dr. George Chalmers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Chalmers was the plaintiff's family physician from the time he was born until shortly before trial when Dr. Chalmers passed away. I ruled that his report of February 18, 2017 (with some minor redactions) was admissible in evidence, even though he could not be cross-examined. The report contains a lengthy summary of the plaintiff's visits to Dr. Chalmers' office. His summary includes the history taken, findings on examination, treatment recommended and diagnosis. Given the plaintiff's poor memory and inability to provide a detailed history of the progression of his symptoms, I have set out an abbreviated summary of Dr. Chalmers' notes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As set out above, the plaintiff went to walk-in clinics twice after the accident: once on the day of the accident and again on September 23, 2011. On September 24, 2011, he presented at Lions Gate Hospital Emergency complaining of headaches, unsteadiness, slight hand paresthesia and the left eye irritation. A CT scan of the plaintiff's head was "suspicious for a small focus of the right subarachnoid hemorrhage". The plaintiff was told he had a small brain bleed. As noted below, the doctors now accept that it is unlikely that he had such a hemorrhage.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Chalmers first saw the plaintiff on September 28, 2011. He complained of headaches, dizziness, nausea and weakness. He had blurry vision in his left eye. He also had neck and mid-back pain with a limited range of motion. Dr. Chalmers considered him unable to work and prescribed Tylenol 3 for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October 12, 2011, the plaintiff was complaining of daily headaches, anxiety, diminished memory, irritability and numbness in his right hand. He continued to have back pain and was taking medication for the irritation in his left eye and impaired vision. He was prescribed Dilaudid for pain control. Dr. Chalmers considered him to be totally disabled.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October 26, 2011, the plaintiff complained of severe headaches, dizziness and cognitive impairment. The complaints of neck and back pain continued and he was still found to have a diminished range of motion. Dr. Chalmers considered him to be totally disabled from work and leisure activities "by skeletal pain and headache, poor concentration, impaired vision and (limited) exercise tolerance...".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November 9, 2011, the plaintiff continued to express similar complaints. In addition, he was found to be depressed from chronic pain and lifestyle restrictions. Dr. Chalmers recommended the plaintiff start physiotherapy. On November 24, he was continuing to complain of headaches twice daily that could be triggered by exercise. He was referred to a neurologist. His neck and back pain persisted but his range of motion had improved. He was depressed "with the decreased activity, insomnia, social withdrawal, and lack of motivation".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December 14, 2011, the plaintiff complained of constant headaches with dizziness, decreased memory and impaired cognitive function. The neck and back pain persisted, even though he was attending physiotherapy frequently. His depression also persisted. He was referred to NORP. On January 11, 2012, the plaintiff had returned to school and had attempted jogging. However, he continued to report being symptomatic in the areas previously described. His symptoms were aggravated if he worked more than an hour at his academics.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February 15, 2012, the plaintiff reported constant and occasionally severe headaches. These were aggravated by studying and running. His depression was improved. He had missed some days of school. On March 14, 2012, the plaintiff reported improved neck and back symptoms, although he continued to suffer daily headaches. He was totally disabled from work and strenuous exercise but was continuing to attend school for upgrading with some difficulty. Dr. Chalmers noted that he was still depressed.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May 16, 2012, the plaintiff reported that he was improving. He continued to experience constant daily headaches and the vision in his left eye remained blurry. He was still experiencing depression and neck pain. Dr. Chalmers remained of the view that he was totally disabled from work and unable to play sports.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July 4, 2012, the plaintiff reported continued memory impairment, intolerance to noise and depression. He was socially withdrawn and unable to tolerate bars or alcohol. He continued to be disabled from work and active exercise. He was attending rehabilitation at Lions Gate NORP twice weekly and was undergoing physiotherapy for his neck and back pain. He continued to take Tylenol 3 and other medications. His status and complaints remained unchanged on subsequent office visits on August 15, September 26 and November 7, 2012. Dr. Chalmers referred the plaintiff to see Dr. William Hay, a psychiatrist, given the nature of his ongoing psychological and cognitive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December 19, 2012, the plaintiff continued to complain of daily headaches, neck and back pain. He said he was unable to run, lift weights, drive, concentrate, or tolerate loud music. He also complained of erectile dysfunction. On the next visit on January 30, 2013, there was little change in his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March 25, 2013, the plaintiff complained of constant headaches, dizziness, decreased memory, and fatigue. He had a migraine once weekly. He complained of anxiety and that his emotional buffer was poor; he would say what was on his mind. He continued to have difficulty playing sports or running, but did low-level 15-minute training sessions. He continued to take Tylenol 3 and Celexa. He was also taking Ritalin which was prescribed by Dr. Hay.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April 23, 2013, the plaintiff reported that his neck and back pain had improved. He was seeing Dr. Hay and was less depressed. He was unable to work but was attempting to be a full-time student. On June 4, 2013, he reported that he had finished school but was still unable to work. His complaints were unchanged. He continued to see Dr. Hay and attend at the NORP. He reported that his condition was similar on August 20,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October 1, 2013, the plaintiff reported continuing complaints of headaches, dizziness and neck stiffness. He had started full-time LPN studies. On November 26, 2013, he was continuing his studies but complained of diminished memory and headaches. He said he was still unable to do heavy physical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next saw Dr. Chalmers on April 11, 2014 and reported that he was barely coping with his studies due to cognitive and memory impairment. He complained of headaches, photophobia and noise intolerance. His depression persisted. He continued to take Ritalin. He was unable to run or do sports.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June 6, 2014, the plaintiff reported that he had not had successful sexual intercourse since the accident. On July 24, 2015, the plaintiff reported he was still having migraines once a month. He also reported a continuing memory problem. This was his last visit to Dr. Chalmers. At the time, he still complained of dizziness with exercise, fatigue and occasional cognitive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Chalmers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his MVA, [the plaintiff] suffered a traumatic brain injury, which included a small subdural hematoma of the left parietal region of the brain, concussion, and post-concussion syndrome. These injuries resulted in headaches, dizziness, photophobia, noise intolerance, memory loss, decreased cognitive function, poor concentration, fatigue, and physical exercise intolerance. He was totally disabled by this injury from September 21, 2011 until October 2013, when he became a fulltime LPN student. When last seen on July 24, 2015, he remained partially disabled due to impaired cognition, and dizziness with strenuous exercise. He will likely suffer some permanent cognitive impairment, and it is uncertain as to whether he will ever regain his physical conditioning to his pre-accident level.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Gregg suffered moderate Cervical and Thoracolumbar soft tissue ligamentous strains. This injury resulted in painful restricted neck and back movement for 18 months with persisting occasional stiffness. He should be fully recovered from this injury with little chance of permanent sequelae.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Cody Gregg suffered from severe anxiety and depression after his MVA due to his brain injury, medication, and severe restriction of his activities. He has required long term psychotherapy, antidepressant medication, hypnotics and Ritalin to control his symptoms. He had not returned to his pre-accident state when last seen and he may suffer from ongoing indefinite emotional problems.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Gregg has had ongoing sexual dysfunction since his MVA, which had not resolved when he was last seen in 2015. The prognosis for this condition is uncertain as it is a composite of his physical and emotional well-being.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Dr. William Hay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Hay is the plaintiff's treating psychiatrist. He first saw the plaintiff in November 2012 on a referral from Dr. Chalmers. He last saw the plaintiff on August 19, 2014. Dr. Hay saw the patient frequently for lengthy sessions of 60 to 90 minutes, where he obtained additional psychiatric history, provided psychotherapy and trials of psychopharmacology. He changed the plaintiff's medications a number of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Hay's working diagnosis on the patient's first visit was: mood disorder, anxiety disorder and pain disorder, all secondary to a Traumatic Brain Injury ("TBI"). Dr. Hay was aware that the plaintiff had been referred to the Lions Gate Hospital NORP by Dr. Chalmers because of "ongoing symptoms related to his concussion and parietal subarachnoid hemorrhage, including: forgetfulness, decreased concentration, poor memory and depression related to his decreased function." In cross-examination, Dr. Hay maintained that this information did not influence his diagnosis; he arrived at the diagnosis based on his assessment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Hay agreed that a diagnosis of a TBI requires a finding that the patient experienced a change in mental state at the time of the accident. He concluded that this was satisfied here because the plaintiff described the impact of hitting his head and said that he was dazed and quickly developed a headache. He went on to develop dizziness and memory loss. While most MTBI injuries get better in a few months, the plaintiff's injuries have persisted, suggesting that he sustained a 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Hay sent a formal psychiatric evaluation to Dr. Chalmers in January 2013 in which he made a formal diagnosis of mood, anxiety and pain disorders secondary to a TBI as well as the Axis III diagnosis of 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his report of February 28, 2017, under the heading "Formulation", Dr. Hay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MVA with head injury and subsequent neurocognitive, emotional, mood disorder, anxiety disorder, organic personality disorder changes and pain disorder with major stress and suffering and disability were the precipitating factor for his psychiatric disability. It also remains the persisting factor for this patient's mental illness and psychiatric disabilities. He has reduced cognitive function that he has only overcome through positive character traits of motivation and resilience and long hard work. His prognosis is for continued risk of further increased disability with subsequent head injury, risk for future depression and anxiety symptoms, risk for earlier brain deterioration with aging.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Hay recommended that the plaintiff have ongoing psychiatric care every 6 to 12 months. He also recommended periodic counselling given the plaintiff's reduced ability to address stress. He said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This [counselling] would be in the form of psychological, sociological or occupational therapy. The number of these visits in the range of 40 to 60 projected over a lifetime can not be ascertained at this time but in my experience patients with this burden of illness have needed several episodes of 10 to 12 psychotherapy sessions on three or more occasions in their lifetime...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cross-examination, he said the plaintiff would benefit from counselling provided by a psychologist rather than an occupational therapist given the extent of his disabilities. Dr. Hay also recommended ongoing medications, including Ritalin and at least one antidepressant.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Under the heading "Prognosis", Dr. Hay emphasized that the plaintiff was once "confident with his capabilities and learning but now must struggle daily spending onerous amounts of time to achieve relatively minor advances." The plaintiff has had to forgo recreational activities and he has withdrawn from friends and his former active social life. Dr. Hay opines that the plaintiff's "social status and lifelong prospects have been seriously affected". Further, the psychiatric sequelae from the accident has caused a "developmental set back that can't be regained." Dr. Hay also opines that the plaintiff is at risk for future relapses and for decreased capacity to work in later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Hay's opinions were vigorously challenged in cross-examination. In particular, counsel suggested there was no basis for a diagnosis of any form of brain injury other than the radiologist's report suggesting the plaintiff sustained a parietal subarachnoid hemorrhage in the accident. However, Dr. Hay opined that his diagnosis and prognosis would be unchanged even if the plaintiff did not sustain a subarachnoid hemorrhage in the accident. The only change to his opinion would be that the brain injury should be categorized as "Mild". Dr. Hay agreed that most MTBIs will resolve in 6 to 12 months, but disagreed with the suggestion that a patient's symptoms are normally worse in the first few days after sustaining such an injury. Dr. Hay stood by the balance of his report, including the prognosis and recommendations for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Dr. Larry Krywaniuk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was referred by counsel to Dr. Krywaniuk for a neuropsychological assessment in November 2016. Dr. Krywaniuk administered a series of psychological and neuropsychological tests that lasted almost two days. He also conducted a lengthy interview about the plaintiff's historical and current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Krywaniuk explained that he used the battery of tests along with other records showing educational, social and vocational functioning to attempt to compare what the plaintiff was like before the injury, to what he is like at present. Four or five of the tests used allow assessment of whether the patient is being straightforward. Dr. Krywaniuk found no indication that the plaintiff was not performing the tests to the best of his ability and in a reasonable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test results place the plaintiff's intellectual ability scores in the upper part of the average range. He had a particularly low score for working memory: 8th percentile. In cross-examination, Dr. Krywaniuk said that it is very unlikely for someone with the plaintiff's IQ to have a memory score that low. He is of the opinion that the plaintiff's memory score was affected by the motor vehicle accident and that it consequently reduced his Full Scale IQ by at least a couple of points. He found the scores to be consistent with his academic results in the public school system, although the plaintiff's learning disability may have had the effect of reducing his academic achievement levels, which, in turn, might result in underestimation of his pre-accident IQ levels by at least a few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test results indicate that the plaintiff's central cognitive abilities are at least at the top of the average range. Individuals in that range can usually pursue post-secondary studies. His memory functions were "substantially lower than would be predicted from IQ levels, strongly suggesting a loss of ability in the memory area, especially for verbal recall." This was consistent with the plaintiff's observation of his reduced verbal functioning and verbal recall and was noted in the medical documentation.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testing also showed "a pattern that is associated with impaired impulse control, which may also be present in a behavioural sense in the form of anger, irritability or low frustration tolerance." Dr. Krywaniuk described the behavioural effect of those test results: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behavioural terms, this can be reflected in emotional lability. His error pattern reflects difficulty maintaining consistency and reliability in his responses, giving his work an uneven quality. Largely, this is due to his impulsivity, over reactivity and difficulty inhibiting his responses to distracting stimuli. These types of difficulties are frequently found after a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Krywaniuk found that while the plaintiff's information processing was within normal limits for simple variables, it rapidly deteriorated when information had some complexity to it. The testing also showed that the plaintiff had difficulty in emotional areas: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showed] relatively high levels of general and phobic anxiety that he tries to control through extra care and attention and strategies that compensate for weak short-term recall and indecisiveness. He showed a mild obsessive-compulsive quality in the way that he has reacted to these problems. There was also an indication of reduced levels of self-confidence and increased self-consciousness.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Krywaniuk opines that the plaintiff has the intellectual ability to pursue a RN university degree and that he likely could have compensated for his learning disability prior to the accident. However, he concludes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in my opinion, the results of the motor vehicle accident have compromised his potential for achieving his goal of obtaining certification as an RN an extra amount, putting the likelihood of achieving this goal considerably more in question than it had been before. From a neuropsychological perspective, the main factors in this are his difficulties with attention, concentration, working memory that result in reduced information processing capacity and speed and therefore compromises his opportunity to use his cognitive skills to their full potential. Perhaps in statistical terms, I would have considered his pre-accident potential for achieving an RN degree at higher than 50% but that is now substantially below this level as the results of the effect of his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Krywaniuk opined that the plaintiff is well beyond the point where further recovery from the brain injury is anticipated. His neuropsychological profile is stable and he will be left with the pattern of difficulties that he currently experiences. Dr. Krywaniuk believes that he will be confined to his current vocational level and that the motor vehicle accident "has substantially and permanently limited and reduced his potential for further success in his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Krywaniuk recommends that the plaintiff have psychological counselling to deal with his emotional adjustment and an occupational therapist to help him identify alternative leisure and recreational pursuits. In the event that the plaintiff wants to attempt further schooling, he recommends a full vocational assessment to help him identify appropriate goals and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cross-examination, Dr. Krywaniuk acknowledged that he was aware of the clinical records showing the presence of a subarachnoid hemorrhage but denied that he prepared his testing and report with the assumption that the plaintiff had suffered a TBI. He explained that the test results are stand-alone facts used to form his opinion. He cannot and was not purporting to diagnose a TBI. However, Dr. Krywaniuk concluded that the pattern of the test results is consistent with the existence of a MTBI. At the same time, it is consistent with the pre-existing learning disability. He was clear that his opinion would not change regardless of whether or not the plaintiff suffered a subarachnoid hemorrhage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Krywaniuk agreed that the plaintiff focuses on his difficulties in almost an obsessive fashion. The plaintiff "doubles down" in time and effort in order to accomplish things. He believes this has been an effective strategy for managing his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When it was suggested in cross-examination that the plaintiff may have been manipulating the results of the testing by minimizing pre-existing cognitive difficulties, Dr. Krywaniuk said it would have been "essentially impossible" for the plaintiff to artificially manufacture a profile that is reliable and does not violate "validity norms." In other words, it would be evident if the plaintiff was attempting to manipulate his test results.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Dr. Rehan Dost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Dost is a neurologist who saw the plaintiff for an independent medical examination in August 2016. He spent a very short period of time with the plaintiff: 37 minutes. His report of August 19, 2016 succinctly sets out his opinion: the plaintiff did not suffer a MTBI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Dost's conclusion is based on the history he took from the plaintiff and his examination of the clinical records. The plaintiff did not suffer a loss of consciousness, has no amnesia, and was not in a confusional state at the time of the accident. He says there is nothing in the clinical records to satisfy the inclusionary criteria for a MTBI. According to the World Health Organization ("WHO"), the possible clinical markers to support a diagnosis of a MTBI are: loss of consciousness, amnesia, disorientation or confusional state immediately post-trauma.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Dost is aware that the plaintiff reported to Dr. Hay that he was "dazed" at the time of the accident. However, Dr. Dost is of the view that the fact that the plaintiff was "dazed" does not satisfy the WHO criteria for a diagnosis of a MTBI. The reason that "dazed" is no longer considered to be a clinical marker is that being dazed can mean something other than an alteration in mental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Dost notes that the plaintiff reports a variety of cognitive symptoms, including headaches, poor sleep patterns, depressed mood, and decreased memory and focus. However, he opines that the plaintiff does not have brain damage because:</w:t>
      </w:r>
      <w:r>
        <w:rPr>
          <w:rFonts w:ascii="arial" w:eastAsia="arial" w:hAnsi="arial" w:cs="arial"/>
          <w:sz w:val="20"/>
          <w:lang w:val="en-US" w:eastAsia="en-US" w:bidi="ar-SA"/>
        </w:rPr>
        <w:cr/>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sustain a traumatic brain injury;</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MRI of his brain is normal;</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most patients with subarachnoid hemorrhage recover without permanent brain damage;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"non-brain" injury factors more than explain his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Dost is "concerned" that the plaintiff's non-brain factors include an undiagnosed sleep disorder. He believes that sleep apnea is the most likely etiology for his symptoms and that it is strongly associated with cognitive problems. Accordingly, he recommends a sleep study.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Dost also notes that the literature suggests that 95% of MTBIs resolve within three months. However, he agrees that patients who develop post-concussion syndrome can have persisting cognitive symptoms. These symptoms are usually due to psychiatric factors and chronic pain rather than TBI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cross-examination, Dr. Dost agreed that other definitions of the clinical markers for diagnosis of MBTI are widely used and accepted. He acknowledged that the 2013 edition of Brain Injury Medicine indicates there is "no universally accepted definition" of MBTI markers. Further, he acknowledged that the American Congress of Rehabilitation Medicine accepts a finding that a patient is "dazed" as satisfying the inclusionary criteria for a diagnosis of MTBI. He also acknowledged that medical imaging cannot be used to diagnose a MTBI; rather, it is a clinical diagnosis.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Dr. William Siu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Sui is a radiologist with a sub-specialty in neuroradiology. He provided opinion evidence based on reviewing three imaging studies of the plaintiff's brain:</w:t>
      </w:r>
      <w:r>
        <w:rPr>
          <w:rFonts w:ascii="arial" w:eastAsia="arial" w:hAnsi="arial" w:cs="arial"/>
          <w:sz w:val="20"/>
          <w:lang w:val="en-US" w:eastAsia="en-US" w:bidi="ar-SA"/>
        </w:rPr>
        <w:cr/>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CT head and cervical spine scan dated September 24, 2011;</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CT angiogram dated September 25, 2011;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MRI brain scan dated May 24,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Sui opined that "there was no evidence of any brain contusion injury or post traumatic encephalomalacia in [the plaintiff's] brain on the CT and MRI scans." The CT scan taken on September 24, 2011 has a small focal density that was read by the hospital radiologist as a subarachnoid hemorrhage. Dr. Sui is of the view that it was an "artifact" rather than a real finding. This is confirmed by the fact that it is not seen on the CT angiogram taken one day later. Further, there was no evidence of a hemorrhage on the MRI study. In other words, Dr. Sui is of the view that the radiologist misread the first CT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cross-examination, Dr. Sui agreed that he is unable to offer any opinion as to whether or not the plaintiff suffered a MTBI. It is well recognized that patients with normal imaging can have a MTBI.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Dr. Donald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Cameron, a neurologist at Lions Gate Hospital, provided a rebuttal report to the reports of Dr. Sui and Dr. Dost. He did not examine the plaintiff. The essence of his opinion regarding Dr. Sui's report can be succinctly stated: 1) he does not question Dr. Sui's opinion; it is possible but unlikely that the plaintiff suffered a small subarachnoid hemorrhage; and 2) the presence of a hemorrhage has little bearing on the diagnosis of MTBI because 80% of patients with MTBIs have normal CTs, and 90% have normal MRIs. The injury that occurs in a MTBI is microscopic and is not detected on the imaging.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Cameron also disagreed with Dr. Dost's opinion regarding the clinical criteria for a diagnosis of MTBI. He is of the view that the finding that the plaintiff was "dazed" after the accident does satisfy the criteria. Dr. Cameron assumes that Dr. Hay (who took the history), was satisfied that the plaintiff had a sufficiently altered consciousness for the diagnosis. The words "dazed" and "confused" are used interchangeably by neurologists.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his report, Dr. Cameron highlighted other reasons for disagreeing with Dr. Dost. These include:</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Dost's statement that the plaintiff "does not have brain damage" because "he did not sustain a primary traumatic brain injury" is unhelpful and not an argument against a brain injury.</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Dost's opinion does not take account of the plaintiff's early development of cognitive issues. The clinical records document cognitive complaints within days of the accident. Dr. Dost's suggestion that the cognitive problems were caused by psychological problems that were caused by a sleep disorder does not accord with the chronology. Dr. Cameron does agree with Dr. Hay that "the psychological problems were probably subsequently contributing to or aggravating the cognitive problems which predated the onset of the depression."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Dost's suggestion that the plaintiff's cognitive problems were caused by an undiagnosed sleep disorder is purely speculation. The plaintiff has never been diagnosed with a sleep disorder. Further, the cognitive problems experienced by the plaintiff could not have been associated with a sleep disorder because they could not have developed overnight immediately following an accident as they did. Dr. Cameron states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Also, Mr. Gregg was documented to have a disturbed sleep pattern also within a day or two of the accident, long before he developed the symptoms of depression. The problems with his sleep were caused by the injuries that he sustained at the time of this accident. He had difficulty sleeping within a couple of days of accident. This is in part due to Mr. Gregg developing symptoms of post traumatic brain injury syndrome following this accident. The majority of patients who develop symptoms of post traumatic brain injury syndrome report disrupted sleep.</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Dost concludes that the plaintiff does not have any specific disability. This ignores almost all of the clinical records that document significant disabilities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cross-examination, Dr. Cameron agreed that cognitive difficulties associated with a MTBI usually develop within 72 hours to two weeks. Here, Dr. Chalmers' clinical records note that the plaintiff's dizziness and poor concentration is still going on as of October 12, 2011; in other words, it started soon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As I noted in </w:t>
      </w:r>
      <w:r>
        <w:rPr>
          <w:rFonts w:ascii="arial" w:eastAsia="arial" w:hAnsi="arial" w:cs="arial"/>
          <w:i/>
          <w:color w:val="000000"/>
          <w:sz w:val="20"/>
          <w:lang w:val="en-US" w:eastAsia="en-US" w:bidi="ar-SA"/>
        </w:rPr>
        <w:t>Ponsart v. Kong</w:t>
      </w:r>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2017 BCSC 1126</w:t>
        </w:r>
      </w:hyperlink>
      <w:r>
        <w:rPr>
          <w:rFonts w:ascii="arial" w:eastAsia="arial" w:hAnsi="arial" w:cs="arial"/>
          <w:color w:val="000000"/>
          <w:sz w:val="20"/>
          <w:lang w:val="en-US" w:eastAsia="en-US" w:bidi="ar-SA"/>
        </w:rPr>
        <w:t xml:space="preserve"> at para. 26, credibility has two distinct meanings: honesty and reliability. There is no question that the plaintiff's evidence here is not reliable; he could not give a good history of the progression of his symptoms. He described his condition generally rather than with any precision. However, the defendants say that the plaintiff was not merely unreliable. They argue that he was "grossly disingenuous" about his injuries and physical and mental limitations. I reject that argument. While I cannot rely on the plaintiff's chronology of the progression of the symptoms caused by the accident, there is ample credible evidence that I accept which persuades me that the plaintiff has suffered the reported psychological and cognitive disorders as well as physical injuries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Leaving aside the medical evidence, the evidence of the lay witnesses strongly supports the plaintiff's claim. In particular, I found Mr. Oerlemans to be a credible and compelling witness. He described the significant changes he saw in the plaintiff. He was in an excellent position to do so. He was a very good friend before the accident and has spent a lot of time with the plaintiff since the accident. He described in some detail how the plaintiff acted at work, in social situations and at school before the accident. He described and gave concrete examples of how the plaintiff has acted since the accident. His evidence was not challenged in any serious way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do not have the same degree of confidence in the plaintiff's father's evidence. He was clearly incorrect on dates and time sequences. Further, he had a tendency to overstate his observations and viewpoints. He had a strong bias towards saying what he thought was best for his son. Nevertheless, I accept his general observations about the difficulties suffered by the plaintiff since the accident. The plaintiff is less outgoing, has little confidence and struggles with academic challenges in a way that he did not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medical evidence provides strong assistance in establishing the history of the plaintiff's complaints. I accept that the plaintiff attempted to accurately report his condition to his doctors. Accordingly, I accept that he told Dr. Chalmers what his symptoms were and that those reports are properly reflected in Dr. Chalmers' clinical records and in his medical-legal report. That report usefully fills in the gap that would otherwise exist because of the plaintiff's inadequacies as a historian.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It is also of note that the plaintiff's history as reflected in Dr. Chalmers' report does not appear to be contrived, as it would have to be if the defendants' argument is to be accepted. The plaintiff reports improvements in his condition and comments on the benefits of some of the therapies, in particular of the NORP.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evidence of Dr. Hay and Dr. Krywaniuk is also significant to my conclusion about the accuracy of the plaintiff's symptom history as set out in Dr. Chalmers' report and as reported in general terms by the plaintiff. Dr. Hay worked extensively with the plaintiff and concluded that he was experiencing significant cognitive and psychological problems that were not present before the accident. Of course, his diagnosis of a MTBI is also important to credibility because it offers an explanation for the symptoms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Krywaniuk's conclusions are also significant. He found that the plaintiff's test results were consistent with those of an individual suffering from a MTBI. Further, he opined that it would be almost impossible for the plaintiff to have manipulated the test results to create an inaccurate profile.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difficulty with the defendants' argument that the plaintiff was grossly disingenuous about his medical history is that to succeed, it would require a finding that the plaintiff set out after the accident to construct a personal profile and medical history that was false. It would not have been enough for him to give inaccurate evidence in court; he must have given inaccurate information to his doctors over the space of six years. In addition, he would have had to act disingenuously with his friends and family for six years. I conclude that the plaintiff has not done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short, I conclude that the plaintiff experienced the symptoms he has described and that the medical reports accurately reflect the symptoms and conditions that he suffered from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Conclusions on Causation and the Nature and Extent of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Woelders v. Gaudette</w:t>
      </w:r>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2016 BCSC 1066</w:t>
        </w:r>
      </w:hyperlink>
      <w:r>
        <w:rPr>
          <w:rFonts w:ascii="arial" w:eastAsia="arial" w:hAnsi="arial" w:cs="arial"/>
          <w:color w:val="000000"/>
          <w:sz w:val="20"/>
          <w:lang w:val="en-US" w:eastAsia="en-US" w:bidi="ar-SA"/>
        </w:rPr>
        <w:t xml:space="preserve"> at paras. 113-116, Madam Justice Ballance summarized the basic principles of causation. The principles relevant to the issues here include: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[113] The primary test to determine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"but for" test. The plaintiff bears the onus of proving, on a balance of probabilities, that "but for" the defendant's negligent act or omission, the injury would not have occurred: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Ediger v. Johnston</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2013 SCC 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Ediger</w:t>
      </w:r>
      <w:r>
        <w:rPr>
          <w:rFonts w:ascii="arial" w:eastAsia="arial" w:hAnsi="arial" w:cs="arial"/>
          <w:color w:val="000000"/>
          <w:sz w:val="20"/>
          <w:lang w:val="en-US" w:eastAsia="en-US" w:bidi="ar-SA"/>
        </w:rPr>
        <w:t xml:space="preserve">]. Inherent in the test is the requirement that the injury would not have happened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8; </w:t>
      </w:r>
      <w:r>
        <w:rPr>
          <w:rFonts w:ascii="arial" w:eastAsia="arial" w:hAnsi="arial" w:cs="arial"/>
          <w:i/>
          <w:color w:val="000000"/>
          <w:sz w:val="20"/>
          <w:lang w:val="en-US" w:eastAsia="en-US" w:bidi="ar-SA"/>
        </w:rPr>
        <w:t>Ediger</w:t>
      </w:r>
      <w:r>
        <w:rPr>
          <w:rFonts w:ascii="arial" w:eastAsia="arial" w:hAnsi="arial" w:cs="arial"/>
          <w:color w:val="000000"/>
          <w:sz w:val="20"/>
          <w:lang w:val="en-US" w:eastAsia="en-US" w:bidi="ar-SA"/>
        </w:rPr>
        <w:t xml:space="preserve"> at para. 28.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[115] Causation is a practical question of fact which can best be answered through the application of ordinary common sense: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[116] The concepts of etiology in the medical sphere and causation at law are not synonymous. This is because the causation test in the tort context need only be proved on a balance of probabilities, does not demand scientific precision and is not to be applied too rigidly. In contrast, of necessity, the medical field endeavours to apply a far more rigorous causation standard that approximates the threshold of scientific certainty: </w:t>
      </w:r>
      <w:r>
        <w:rPr>
          <w:rFonts w:ascii="arial" w:eastAsia="arial" w:hAnsi="arial" w:cs="arial"/>
          <w:i/>
          <w:color w:val="000000"/>
          <w:sz w:val="20"/>
          <w:lang w:val="en-US" w:eastAsia="en-US" w:bidi="ar-SA"/>
        </w:rPr>
        <w:t>Tsalamandris v. MacDonald</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2011 BCSC 1138</w:t>
        </w:r>
      </w:hyperlink>
      <w:r>
        <w:rPr>
          <w:rFonts w:ascii="arial" w:eastAsia="arial" w:hAnsi="arial" w:cs="arial"/>
          <w:color w:val="000000"/>
          <w:sz w:val="20"/>
          <w:lang w:val="en-US" w:eastAsia="en-US" w:bidi="ar-SA"/>
        </w:rPr>
        <w:t xml:space="preserve"> at paras. 144-146, var'd on other grounds,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Midgley v. Nguyen</w:t>
      </w:r>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2013 BCSC 693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Midgley</w:t>
      </w:r>
      <w:r>
        <w:rPr>
          <w:rFonts w:ascii="arial" w:eastAsia="arial" w:hAnsi="arial" w:cs="arial"/>
          <w:color w:val="000000"/>
          <w:sz w:val="20"/>
          <w:lang w:val="en-US" w:eastAsia="en-US" w:bidi="ar-SA"/>
        </w:rPr>
        <w:t xml:space="preserve">] at para. 172; </w:t>
      </w:r>
      <w:r>
        <w:rPr>
          <w:rFonts w:ascii="arial" w:eastAsia="arial" w:hAnsi="arial" w:cs="arial"/>
          <w:i/>
          <w:color w:val="000000"/>
          <w:sz w:val="20"/>
          <w:lang w:val="en-US" w:eastAsia="en-US" w:bidi="ar-SA"/>
        </w:rPr>
        <w:t>Munoz v. Singh</w:t>
      </w:r>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2014 BCSC 567</w:t>
        </w:r>
      </w:hyperlink>
      <w:r>
        <w:rPr>
          <w:rFonts w:ascii="arial" w:eastAsia="arial" w:hAnsi="arial" w:cs="arial"/>
          <w:color w:val="000000"/>
          <w:sz w:val="20"/>
          <w:lang w:val="en-US" w:eastAsia="en-US" w:bidi="ar-SA"/>
        </w:rPr>
        <w:t xml:space="preserve"> at para. 136. It follows that the "but for" test does not require the Court to accept or find a particular medical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defendants' argument on causation has two central premises; first, that the plaintiff's evidence about his injury symptoms was not credible; and second, that he did not suffer a MTBI. I have already explained why I have rejected the first premise. The medical and lay evidence supports the conclusion that the plaintiff's symptoms developed after the accident. As Mr. Oerlemans testified, the plaintiff's behaviour, affect and physical capabilities changed dramatically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Having concluded that his symptoms developed after the accident does not mean that the symptoms were caused by the accident. The inference from a temporal sequence to a causal connection is not always reliable, as explained by Mr. Justice Ehrcke in </w:t>
      </w:r>
      <w:r>
        <w:rPr>
          <w:rFonts w:ascii="arial" w:eastAsia="arial" w:hAnsi="arial" w:cs="arial"/>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xml:space="preserve"> at paras. 74-75: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[74] The inference from a temporal sequence to a causal connection, however, is not always reliable.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[75] In searching for causes, a temporal connection is sometimes the only thing to go on. But if a mere temporal connection is going to form the basis for a conclusion about the cause of an event, then it is important to examine that temporal connection carefully. Just how close are the events in time? Were there other events happening around the same time, or even closer in time, that would provide an alternate, and more accurate, explanation of the true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Here, the temporal connection is such that there are few other possible explanations for the array of symptoms suffered by the plaintiff. The symptoms developed immediately after the accident and it is difficult to find another event that could explain them. As I have rejected the possibility that the plaintiff misrepresented his symptoms, the only other possible cause put forward by the defendants for the cognitive and psychological symptoms suffered by the plaintiff is that his cognitive problems are caused by his psychological status that is in turn caused by an undiagnosed sleep disorder. This was the theory put forward by Dr. Dost.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cannot accept that the plaintiff's symptoms are caused by an undiagnosed sleep disorder or some non-tortious psychological disturbance. I conclude on a balance of probabilities that the plaintiff did suffer a MTBI in the accident. The defendants argue that the diagnosis of a MTBI is not supportable because of two opinions of the defendants' medical experts: Dr. Sui's opinion that the plaintiff did not suffer a subarachnoid hemorrhage in the accident; and Dr. Dost's opinion that the plaintiff did not suffer a MTBI. While I agree with Dr. Sui's opinion, that does not mean that the plaintiff did not suffer a MTBI. With regard to the diagnosis of a MTBI, I accept the evidence of Drs. Hay and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radiologist's reading of the CT scan taken on September 24, 2011 caused the plaintiff's physicians to believe that he may have suffered a brain injury in the accident. In retrospect, this probably assisted his treatment, as the physicians were concerned about the possibility of a brain injury from the start. However, the misreading of the CT scan is not relevant to the finding I have to make. I accept the opinions of Drs. Sui and Cameron that it is likely the plaintiff did not suffer such an injury; the image was, as Dr. Sui said, an artifact. However, I also accept Dr. Cameron's opinion that the presence of a hemorrhage has little bearing on the diagnosis of MTBI because the vast majority of patients with MTBIs do not have abnormal CT or MRI scans. Drs. Sui and Cameron agreed that the diagnosis of a MTBI must be made clinically.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Dost's opinion that the plaintiff did not suffer a MTBI was based on his rejection of Dr. Hay's diagnosis, and the finding that the plaintiff met the criteria for diagnosing a MTBI because he was "dazed" following the accident. Dr. Dost was not a good witness. He seemed to place no importance on the history of the plaintiff's symptoms showing that he suffered cognitive issues shortly after the accident. Dr. Dost also spent very little time with the plaintiff and little effort to explore the symptoms he suffered from following the accident. Instead, he opined, contrary to all of the plaintiff's physicians and the clinical records, that the plaintiff suffered no significant disabilities.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Dost relied on the WHO criteria for diagnosis of MTBIs to reject Dr. Hay's clinical diagnosis. However, he acknowledged in cross-examination that other definitions of the criteria for diagnosis of MBTI are widely used and accepted and that there is no universally accepted definition of MBTI markers. His adamant insistence that the plaintiff did not suffer a MTBI given these admissions and the plaintiff's history of symptoms seriously weakens his opinion. He did not appear to give any credence to Dr. Hay's clinical diagnosis, even though he made little or no effort to try to understand the patient's history and clinical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Hay, by contrast, was a persuasive witness. He acknowledged the difficulties in diagnosis of MTBI, but was satisfied that the plaintiff's situation met the criteria. Dr. Cameron emphasized the importance of the clinical assessment. I have no hesitation in accepting that Dr. Hay was aware of the need to find that the patient had suffered an altered mental state before diagnosing a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also accept Dr. Cameron's critique of Dr. Dost's diagnosis as set out at paragraph 97 of these reasons. The timing of the development of the plaintiff's symptoms is consistent with the diagnosis of a MTBI. Further, Dr. Dost's suggestion that the plaintiff's symptoms are primarily caused by an undiagnosed sleep disorder has no support in the clinical history. As Dr. Cameron stated, it is pure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Before leaving this issue, I should note that even if I had not concluded that the plaintiff suffered a MTBI in the accident, I would nevertheless conclude that he suffered mental injury in the accident that is compensable on the principles set out in </w:t>
      </w:r>
      <w:r>
        <w:rPr>
          <w:rFonts w:ascii="arial" w:eastAsia="arial" w:hAnsi="arial" w:cs="arial"/>
          <w:i/>
          <w:color w:val="000000"/>
          <w:sz w:val="20"/>
          <w:lang w:val="en-US" w:eastAsia="en-US" w:bidi="ar-SA"/>
        </w:rPr>
        <w:t>Saadati v. Moorhead</w:t>
      </w:r>
      <w:r>
        <w:rPr>
          <w:rFonts w:ascii="arial" w:eastAsia="arial" w:hAnsi="arial" w:cs="arial"/>
          <w:color w:val="000000"/>
          <w:sz w:val="20"/>
          <w:lang w:val="en-US" w:eastAsia="en-US" w:bidi="ar-SA"/>
        </w:rPr>
        <w:t xml:space="preserve">, </w:t>
      </w:r>
      <w:hyperlink r:id="rId587" w:history="1">
        <w:r>
          <w:rPr>
            <w:rFonts w:ascii="arial" w:eastAsia="arial" w:hAnsi="arial" w:cs="arial"/>
            <w:i/>
            <w:color w:val="0077CC"/>
            <w:sz w:val="20"/>
            <w:u w:val="single"/>
            <w:shd w:val="clear" w:color="auto" w:fill="FFFFFF"/>
            <w:lang w:val="en-US" w:eastAsia="en-US" w:bidi="ar-SA"/>
          </w:rPr>
          <w:t>2017 SCC 28</w:t>
        </w:r>
      </w:hyperlink>
      <w:r>
        <w:rPr>
          <w:rFonts w:ascii="arial" w:eastAsia="arial" w:hAnsi="arial" w:cs="arial"/>
          <w:color w:val="000000"/>
          <w:sz w:val="20"/>
          <w:lang w:val="en-US" w:eastAsia="en-US" w:bidi="ar-SA"/>
        </w:rPr>
        <w:t>. For the reasons I have given, I accept that the plaintiff suffered significant psychological and cognitive problems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summary, I make the following findings about the nature and extent of the plaintiff's injuries and his prognosis: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suffered soft tissue injuries that resolved after about 18 months;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suffered an injury to his left eye, the precise cause of which was not explained. However, I find on a balance of probabilities that it occurred either in the accident, as the plaintiff was thrown about in the van, or while examining the damage to the van, trailer and scooter. This finding satisfies the test of causation; the injury would not have occurred but for the accident;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also suffered a MTBI in the accident. The symptoms experienced by the plaintiff as a result of that injury include headaches, dizziness, photophobia, noise intolerance, memory loss, decreased cognitive function, poor concentration, fatigue, and physical exercise intolerance. The plaintiff's symptoms have improved considerably, but he still experiences headaches and reduced ability to concentrate or tolerate physical exercise. In addition, he has ongoing problems with his memory;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the cognitive issues, the accident caused psychiatric injuries. I accept the diagnosis of Dr. Hay; the plaintiff suffered "mood disorder, anxiety disorder, organic personality disorder changes and pain disorder with major stress and suffering...". These disorders have also improved considerably which is evident from the success he has achieved in schooling and employment;</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likely reached a plateau in his recovery. Nevertheless, I am not as pessimistic about his prognosis as set out in Dr. Hay's report. It is significant that Dr. Hay last saw the plaintiff in August 2014. I conclude that one of the reasons the plaintiff has not seen Dr. Hay is the improvement in his symptoms. This is evident from his success at work and his re-integration with his group of friends. I conclude that the plaintiff will likely be able to continue to perform well at work and in social situations. While I accept Dr. Hay's opinion that he has a risk for future depression and anxiety as a result of the accident, it is not a major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plaintiff says the injuries he sustained have dramatically impacted every aspect of his life. He is physically weakened and his psychological injuries have severely impaired his daily activities. He is also withdrawn and far less social than he was before the accident. His cognitive impairment has made it more difficult for him to succeed at education and work. Further, his prognosis is poor, as any further improvement is unlikely. Taking into account the variety and longevity of symptoms, the fact that he was a young man when this happened and that his enjoyment of life has been dramatically reduced, he says he should be awarded $200,000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The plaintiff refers to the decisions in </w:t>
      </w:r>
      <w:r>
        <w:rPr>
          <w:rFonts w:ascii="arial" w:eastAsia="arial" w:hAnsi="arial" w:cs="arial"/>
          <w:i/>
          <w:color w:val="000000"/>
          <w:sz w:val="20"/>
          <w:lang w:val="en-US" w:eastAsia="en-US" w:bidi="ar-SA"/>
        </w:rPr>
        <w:t>Burdett v. Eidse</w:t>
      </w:r>
      <w:r>
        <w:rPr>
          <w:rFonts w:ascii="arial" w:eastAsia="arial" w:hAnsi="arial" w:cs="arial"/>
          <w:color w:val="000000"/>
          <w:sz w:val="20"/>
          <w:lang w:val="en-US" w:eastAsia="en-US" w:bidi="ar-SA"/>
        </w:rPr>
        <w:t xml:space="preserve">, </w:t>
      </w:r>
      <w:hyperlink r:id="rId588" w:history="1">
        <w:r>
          <w:rPr>
            <w:rFonts w:ascii="arial" w:eastAsia="arial" w:hAnsi="arial" w:cs="arial"/>
            <w:i/>
            <w:color w:val="0077CC"/>
            <w:sz w:val="20"/>
            <w:u w:val="single"/>
            <w:shd w:val="clear" w:color="auto" w:fill="FFFFFF"/>
            <w:lang w:val="en-US" w:eastAsia="en-US" w:bidi="ar-SA"/>
          </w:rPr>
          <w:t>2010 BCSC 219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Gordon et al. and ICBC</w:t>
      </w:r>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2006 BCSC 1929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Adamson v. Charity</w:t>
      </w:r>
      <w:r>
        <w:rPr>
          <w:rFonts w:ascii="arial" w:eastAsia="arial" w:hAnsi="arial" w:cs="arial"/>
          <w:color w:val="000000"/>
          <w:sz w:val="20"/>
          <w:lang w:val="en-US" w:eastAsia="en-US" w:bidi="ar-SA"/>
        </w:rPr>
        <w:t xml:space="preserve">, </w:t>
      </w:r>
      <w:hyperlink r:id="rId590" w:history="1">
        <w:r>
          <w:rPr>
            <w:rFonts w:ascii="arial" w:eastAsia="arial" w:hAnsi="arial" w:cs="arial"/>
            <w:i/>
            <w:color w:val="0077CC"/>
            <w:sz w:val="20"/>
            <w:u w:val="single"/>
            <w:shd w:val="clear" w:color="auto" w:fill="FFFFFF"/>
            <w:lang w:val="en-US" w:eastAsia="en-US" w:bidi="ar-SA"/>
          </w:rPr>
          <w:t>2007 BCSC 671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Young v. Anderson</w:t>
      </w:r>
      <w:r>
        <w:rPr>
          <w:rFonts w:ascii="arial" w:eastAsia="arial" w:hAnsi="arial" w:cs="arial"/>
          <w:color w:val="000000"/>
          <w:sz w:val="20"/>
          <w:lang w:val="en-US" w:eastAsia="en-US" w:bidi="ar-SA"/>
        </w:rPr>
        <w:t xml:space="preserve">, </w:t>
      </w:r>
      <w:hyperlink r:id="rId591" w:history="1">
        <w:r>
          <w:rPr>
            <w:rFonts w:ascii="arial" w:eastAsia="arial" w:hAnsi="arial" w:cs="arial"/>
            <w:i/>
            <w:color w:val="0077CC"/>
            <w:sz w:val="20"/>
            <w:u w:val="single"/>
            <w:shd w:val="clear" w:color="auto" w:fill="FFFFFF"/>
            <w:lang w:val="en-US" w:eastAsia="en-US" w:bidi="ar-SA"/>
          </w:rPr>
          <w:t>2008 BCSC 1306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Chowdhry v. Burnaby (City of)</w:t>
      </w:r>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2008 BCSC 1337</w:t>
        </w:r>
      </w:hyperlink>
      <w:r>
        <w:rPr>
          <w:rFonts w:ascii="arial" w:eastAsia="arial" w:hAnsi="arial" w:cs="arial"/>
          <w:color w:val="000000"/>
          <w:sz w:val="20"/>
          <w:lang w:val="en-US" w:eastAsia="en-US" w:bidi="ar-SA"/>
        </w:rPr>
        <w:t>, as representative of the range of awards for plaintiffs with similar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defendants' first position is that the award for non-pecuniary damages should compensate the plaintiff only for his soft tissue injuries and the anxiety caused by the initial diagnosis of a brain injury. The soft tissue injuries likely resolved in 18 months and so a fair award is in the range of $50,000 to $65,000. Alternatively, if the Court accepts that the plaintiff suffered a MTBI, the range of damages should be limited because the plaintiff has likely recovered from that injury. While he may have suffered associated psychological symptoms, those have been mild and have not persisted. Accordingly, the appropriate range of non-pecuniary damages is between $60,000 and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As I have concluded that the accident caused the MTBI, I need not consider the cases referred to by the defendants in support of the lower range. With regard to the higher range, the defendants refer to the decisions in </w:t>
      </w:r>
      <w:r>
        <w:rPr>
          <w:rFonts w:ascii="arial" w:eastAsia="arial" w:hAnsi="arial" w:cs="arial"/>
          <w:i/>
          <w:color w:val="000000"/>
          <w:sz w:val="20"/>
          <w:lang w:val="en-US" w:eastAsia="en-US" w:bidi="ar-SA"/>
        </w:rPr>
        <w:t>Hardychuk v. Johnstone</w:t>
      </w:r>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Clark v. Hebb</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2007 BCSC 883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Gill v. McChesney</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2016 BCSC 1416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Fadai v. Cully</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2014 BCSC 290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Nahal v. Ram</w:t>
      </w: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2016 BCSC 39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proper approach to assessing non-pecuniary damages is not controversial. The award is made to ameliorate the condition of the plaintiff. It must be based on an appreciation and assessment of the nature of his loss. The award must be fair and reasonable to both parties. The factors to consider are set out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and those have been expanded upon in subsequent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have described the injuries and symptoms that the plaintiff suffered in the accident. It is evident that his enjoyment of life has been seriously impacted by that array of symptoms. Here, some of the most relevant factors include:</w:t>
      </w:r>
      <w:r>
        <w:rPr>
          <w:rFonts w:ascii="arial" w:eastAsia="arial" w:hAnsi="arial" w:cs="arial"/>
          <w:sz w:val="20"/>
          <w:lang w:val="en-US" w:eastAsia="en-US" w:bidi="ar-SA"/>
        </w:rPr>
        <w:cr/>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only 24 at the time of the accident. To the extent that his condition is permanent, he will continue to suffer a loss of enjoyment of life.</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he has not suffered from extensive physical pain, his cognitive shortcomings and psychological injuries are serious.</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suffered a serious impairment of his social relationships. He has yet to establish an intimate relationship. He remains withdrawn and has suffered a significant loss of confidence. His lifestyle has been altered much for the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On the positive side of the ledger, the plaintiff has been able to upgrade his grade 12, obtain the diploma required for his LPN, and has successfully started on a career as a nurse. For most people, employment provides structure, continuity and self-worth to their daily lives. The plaintiff clearly values his work and there is no doubt that it provides him with a sense of fulfillment and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In the cases relied upon by the plaintiff, the non-pecuniary damage awards were in the range of $200,000 to $225,000 without adjustment for inflation. The array of injuries and symptoms suffered by the claimants in those cases (and especially in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sound similar to those suffered by the plaintiff. However, in all of those cases, the injured claimant was found to be no longer competitively employable. The inability to work, especially for a younger person, seriously impacts the enjoyment of life. By contrast, the plaintiff has a career that he enjoys and in which he is progressing.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Of the cases cited by the defendants, the injuries and symptoms suffered by the claimants in </w:t>
      </w:r>
      <w:r>
        <w:rPr>
          <w:rFonts w:ascii="arial" w:eastAsia="arial" w:hAnsi="arial" w:cs="arial"/>
          <w:i/>
          <w:color w:val="000000"/>
          <w:sz w:val="20"/>
          <w:lang w:val="en-US" w:eastAsia="en-US" w:bidi="ar-SA"/>
        </w:rPr>
        <w:t>Fadai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Nahal</w:t>
      </w:r>
      <w:r>
        <w:rPr>
          <w:rFonts w:ascii="arial" w:eastAsia="arial" w:hAnsi="arial" w:cs="arial"/>
          <w:color w:val="000000"/>
          <w:sz w:val="20"/>
          <w:lang w:val="en-US" w:eastAsia="en-US" w:bidi="ar-SA"/>
        </w:rPr>
        <w:t xml:space="preserve"> have some similarity to those suffered by the plaintiff. Those plaintiffs were each awarded non-pecuniary damages of $100,000. In </w:t>
      </w:r>
      <w:r>
        <w:rPr>
          <w:rFonts w:ascii="arial" w:eastAsia="arial" w:hAnsi="arial" w:cs="arial"/>
          <w:i/>
          <w:color w:val="000000"/>
          <w:sz w:val="20"/>
          <w:lang w:val="en-US" w:eastAsia="en-US" w:bidi="ar-SA"/>
        </w:rPr>
        <w:t>Fadai</w:t>
      </w:r>
      <w:r>
        <w:rPr>
          <w:rFonts w:ascii="arial" w:eastAsia="arial" w:hAnsi="arial" w:cs="arial"/>
          <w:color w:val="000000"/>
          <w:sz w:val="20"/>
          <w:lang w:val="en-US" w:eastAsia="en-US" w:bidi="ar-SA"/>
        </w:rPr>
        <w:t xml:space="preserve">, the nature of the cognitive problems was similar to those the plaintiff has suffered, but the duration of the symptoms was shorter and had largely resolved by trial. The plaintiff in </w:t>
      </w:r>
      <w:r>
        <w:rPr>
          <w:rFonts w:ascii="arial" w:eastAsia="arial" w:hAnsi="arial" w:cs="arial"/>
          <w:i/>
          <w:color w:val="000000"/>
          <w:sz w:val="20"/>
          <w:lang w:val="en-US" w:eastAsia="en-US" w:bidi="ar-SA"/>
        </w:rPr>
        <w:t>Nahal</w:t>
      </w:r>
      <w:r>
        <w:rPr>
          <w:rFonts w:ascii="arial" w:eastAsia="arial" w:hAnsi="arial" w:cs="arial"/>
          <w:color w:val="000000"/>
          <w:sz w:val="20"/>
          <w:lang w:val="en-US" w:eastAsia="en-US" w:bidi="ar-SA"/>
        </w:rPr>
        <w:t xml:space="preserve"> did have similar injuries and Mr. Justice Jenkins found that the accident "had a profound effect on [his] intellect, spirit and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Ultimately, an award must be tailored to the particular circumstances of the individual before the court. While I have found the cases cited by the litigants to be of some use, I must make an award that provides a sufficient amelioration of the plaintiff's particular condition in recognition of the nature and extent of his loss. Here, I conclude that an award of $150,000 satisfies those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After the accident, the plaintiff did not return to work until he graduated with his LPN diploma. He began attending Capilano College in January 2012, about four months after the accident, and completed his high school upgrading in June 2013. He started the LPN program in October 2013 and completed it in 2015 before he started work at Louis Brier. Given the plaintiff's strong desire to become a nurse, it is very likely that he would have pursued a similar education absent the accident. However, the assessment of past income loss requires consideration of what might have happened absent the accident. The parties have different positions as to what the plaintiff would have done if he had not been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plaintiff says he would have continued to work full time at Seymour's Pub for the balance of 2011. He would then have worked part time - 50% of full time - until he started the LPN program. The plaintiff argues that the past wage loss should include an amount for tips, as he received about $100 as his share of tips for each week worked. He claims for past wage loss of $44,750, net of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defendants concede that the plaintiff lost full-time employment until the end of 2011, but say that the maximum amount of his loss is $3,750. The defendants dispute the claim for tip income as this was never reported on the plaintiff's tax returns. The defendants also concede that the plaintiff may have been able to work part time while attending Capilano College and say that the amount awarded from January 1, 2012 to August 2013 should not exceed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position of the parties is not significantly different and I agree that the plaintiff would have continued to work full time to the end of 2011 and would have worked part time while attending Capilano College but for the accident. I agree with the plaintiff's calculation of net income loss per month in 2011 ($2,225). To the end of the year, assuming a three-month absence from work, results in a loss of income of approximately $6,675. Some amount should be added for tips. I would estimate the loss of tips at approximately $60 per week for a total loss to the end of the year of $7,400.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assume that the difference between the parties' positions as to the loss of part-time work is the amount that the plaintiff would have worked and whether or not tips should be included. I conclude that the plaintiff suffered a net loss of $24,000 because of his inability to work and successfully complete his coursework at the same time. This fairly reflects close to 50% of the amount he would have received working full time if some amount is included for tips.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summary, the total amount awarded for past loss of income is $31,400.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plaintiff says that but for the accident he would have started an education program to become a RN in 2013 and would have completed the program in 2019. The injuries suffered in the accident forced him to lower his sights and become a LPN. He says he is now unlikely to be able to achieve his goal of becoming a RN. He claims that he has lost the difference between the lifetime earnings of a RN and a LPN. As this can be easily quantified, he says the earnings approach should be used to assess his future loss. He claims approximately $605,000, which represents the present value of the difference in wages and benefits that would be paid to a LPN and a RN over the course of his working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defendants question two aspects of the plaintiff's claim. First, they say that before the accident, the plaintiff did not have a strong wish let alone a plan to become a RN. They also question whether he has any real intention to pursue that career option now. He is happy at his current job and will progress into a senior leadership position as a LPN. Second, and more significantly, they say the plaintiff has failed to establish a real and substantial possibility of any future loss. They emphasize the plaintiff's poor academic performance in high school and his employment history prior to the accident. They say that without the accident, it is very unlikely he could have completed the university-level courses required to qualify as a RN. In essence, the defendants say the plaintiff's work life would have transpired much as it has even if the accident had not occurred. He would have upgraded his high school qualifications and become a LPN.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 legal principles and proper approach to assessment of future income loss were succinctly summarized by Mr. Justice Voith in </w:t>
      </w:r>
      <w:r>
        <w:rPr>
          <w:rFonts w:ascii="arial" w:eastAsia="arial" w:hAnsi="arial" w:cs="arial"/>
          <w:i/>
          <w:color w:val="000000"/>
          <w:sz w:val="20"/>
          <w:lang w:val="en-US" w:eastAsia="en-US" w:bidi="ar-SA"/>
        </w:rPr>
        <w:t>Pololos v. Cinnamon-Lopez</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2016 BCSC 81</w:t>
        </w:r>
      </w:hyperlink>
      <w:r>
        <w:rPr>
          <w:rFonts w:ascii="arial" w:eastAsia="arial" w:hAnsi="arial" w:cs="arial"/>
          <w:color w:val="000000"/>
          <w:sz w:val="20"/>
          <w:lang w:val="en-US" w:eastAsia="en-US" w:bidi="ar-SA"/>
        </w:rPr>
        <w:t xml:space="preserve"> at para. 133:</w:t>
      </w:r>
      <w:r>
        <w:rPr>
          <w:rFonts w:ascii="arial" w:eastAsia="arial" w:hAnsi="arial" w:cs="arial"/>
          <w:sz w:val="20"/>
          <w:lang w:val="en-US" w:eastAsia="en-US" w:bidi="ar-SA"/>
        </w:rPr>
        <w:cr/>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the extent possible, a plaintiff should be put in the position he/she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central task of the Court is to compare the likely future of the plaintiff's working life if the Accident had not occurred with the plaintiff's likely future working life after the Accident; ...</w:t>
      </w:r>
    </w:p>
    <w:p>
      <w:pPr>
        <w:numPr>
          <w:numId w:val="2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assessment of loss must be based on the evidence, but requires an exercise of judgment and is not a mathematical calculation;</w:t>
      </w:r>
    </w:p>
    <w:p>
      <w:pPr>
        <w:numPr>
          <w:numId w:val="2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two possible approaches to assessment of loss of future earning capacity are the "earnings approach" and the "capital asset approach"; ...</w:t>
      </w:r>
    </w:p>
    <w:p>
      <w:pPr>
        <w:numPr>
          <w:numId w:val="2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either approach, the plaintiff must prove that there is a "real and substantial possibility" of various future events leading to an income loss; ...</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earnings approach will be more appropriate when the loss is more easily measurable; ... Furthermore, while assessing an award for future loss of income is not a purely mathematical exercise, the Court should endeavour to use factual mathematical anchors as a starting foundation to quantify such loss; ...</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relying on an "earnings approach", the Court must nevertheless always consider the overall fairness and reasonableness of the award, taking into account all of the evidence;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task of comparing the plaintiff's likely employment future to what it might have been without the accident is difficult. As I set out below, I accept that the plaintiff has proved a loss of capacity; there is a real and substantial possibility that his cognitive and psychological deficits have reduced the employment options that would have been available to him without the accident. However, I do not accept Dr. Krywaniuk's opinion that prior to the accident he had a 50% or better chance of becoming a RN. The plaintiff had significant learning challenges that would have made that goal less realistic than the plaintiff suggests. I also find that he will likely have continued success in his LPN career, but accept that he has a risk of future depression and anxiety symptoms, as well as a possibility of deterioration in his condition with aging. The amount awarded must take into account those contingencies.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plaintiff's likely employment trajectory without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defendants' argument raises two separate issues: did the plaintiff have any real plan to become a RN prior to the accident; and could he have become a RN if the accident had not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reject the defendants' argument on the first issue. I accept much of the plaintiff's evidence about his desire to become a nurse. When he realized he did not want to work in construction, he considered other possible careers. He narrowed it to nursing and massage therapy after discussions with his aunt. He was influenced by his cousin who loved her job as a RN. His aunt helped research the courses he would need to qualify for a nursing program. At the time of the accident, he intended to enroll at Capilano College, although he did not do so until after the accident. Nevertheless, I find that the plaintiff had decided before the accident that he would go into nursing or a similar occupation. I also accept that he wanted to obtain the highest level of qualification he could. However, the plaintiff was well aware that if he chose nursing, he had a number of significant challenges to achieving certification whether as a LPN or a RN. He had to complete academic courses in either program and had not done well in academic courses in high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defendants' second argument has more merit. They say the plaintiff would not have gone on to become a RN without the accident. The plaintiff's assertion that he likely would have done that is based in part on the determination and effort he demonstrated in achieving his LPN. The plaintiff says that if he had shown the same determination without the cognitive and psychological problems he now experiences, it is likely he could have obtained a BSN and thus qualified as a RN. This is based in large part on Dr. Krywaniuk's opinion that prior to the accident he had a 50% chance of becoming a RN and that his chances are now much lower.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would assess the plaintiff's chances of becoming a RN, had the accident not occurred, at a somewhat lower level than Dr. Krywaniuk. I have come to that conclusion because of the plaintiff's academic and career achievements prior to the accident. His academic record in high school would suggest that it is unlikely he could successfully complete a university degree, which is necessary to receive the designation of RN. Further, he was out of school for six years by the time of the accident and had done little to advance his career. Instead, he found a comfortable place to work in a job that he could do well. He was very social and appeared to be as interested in his social life as in advancing his education. At the time of the accident, he had not registered for courses to upgrade his high school education in spite of the career discussions with his aunt.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Given the difficulties the plaintiff had in high school, his learning disability, the time he had taken off after finishing high school and the lack of direction he had shown prior to the accident, I conclude that without the accident, he may well have had similar difficulties with his education. In short, without the accident, he may have ended up in the same place; pursuing the more easily achievable LPN qualification.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It is also not certain he would have started the upgrading when he did if the accident had not happened. Ironically, the injury and his inability to work may have helped him get back to school. But even if he had begun to upgrade his education in 2012, it would not have been easy for him. It is by no means certain that he would have gone on to a higher degree or level of certification. He may have decided to qualify as a LPN rather than attempting the courses required for a RN. Further, he thoroughly enjoys his work as a LPN. He would likely have had the same level of job satisfaction as a LPN without the accident. When I take all of these factors into account, including Dr. Krywaniuk's evidence about the reduction in his cognitive ability, I conclude that he had a 40% chance of obtaining the education and qualifications of a RN if the accident had not happened.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plaintiff's likely future working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agree with the opinions of Dr. Krywaniuk and Dr. Hay that the plaintiff has reduced cognitive function and psychological problems that negatively impact his future capabilities. It is less likely that he could successfully challenge the coursework required to become a RN than it was before the accident. Further, his confidence in his ability to do so has been shaken. It is less likely that the plaintiff will try to qualify as a 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However, I am of the view that Dr. Hay's prognosis is overly pessimistic. I have arrived at this conclusion for two reasons. First, as the defendants argue, the plaintiff is functioning very well as a LPN. His memory deficit does not impact his work. He is regarded as one of the best LPNs at his workplace. In addition, he is functioning reasonably well in social situations both at work and with friends. The last time Dr. Hay saw the plaintiff was three years prior to trial. His assessment was not based on current information. He was not aware of the improvement in the plaintiff's condition and of his current ability to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conclude that it is very likely that the plaintiff will continue to work successfully as a LPN. There remains a small risk of brain deterioration and of future development of depression and anxiety. There is also a small chance that he will succeed in upgrading his nursing qualifications.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Quantification of the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On the basis of the findings I have made, I have no hesitation in concluding that the plaintiff has proved a real and substantial possibility of future loss. Considering the factors set out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I find that the plaintiff has been rendered less capable overall from earning income from all types of employment, has lost the ability to take advantage of all opportunities that would otherwise have been open to him and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The quantification of the loss requires consideration of the weight to be given to my assessment of the future hypothetical events, both with and without the accident. Of course, the standard of proof in relation to future events is simple probability;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When I attempt to give weight to the future hypotheticals, I would assess the plaintiff's chance of becoming a RN has been cut in half. To use percentage figures, prior to the accident he had a 40% chance of reaching that goal and he now has a 20% chance. I must also give some weight to the possibility of the future risks I have highlighted: brain deterioration and anxiety or depression. While the risk is not large, if one of those problems develops, it may have a minor and temporary impact on his ability to earn income, but it could also have a substantial negative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reject the plaintiff's submission that this is an appropriate case in which to apply the earnings approach. The calculation put forward by the plaintiff is based on a strong likelihood that the plaintiff would have gone on to become a RN without the accident. I have not accepted that proposition. Rather, he had less than a 50% chance of becoming a RN before the accident and now that chance has been cut in half. In these circumstances, there is no logical reason to simply take the difference in lifetime earnings to calculate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However, the difference of $600,000 is useful as a guidepost or point of reference. I must award an amount that recognizes the nature of the plaintiff's loss of capacity, which is not insignificant. Of course, the award must be fair and reasonable and must also take into account the plaintiff's current capacity and his likely future working life. Taking into account the relative likelihood of all of the future events with and without the accident, I conclude that a fair award for future loss of capacity is $175,000.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plaintiff relies on Dr. Hay's opinion that he will likely require psychiatric care and psychological counselling at periods of time during the course of his lifetime. Dr. Hay estimates a need for 10 to 20 counselling sessions on three or more occasions. Having found that the plaintiff has proved a risk of future depression and anxiety, I agree that some amount should be awarded for this future need. The plaintiff says he should be awarded $4,700, the present-day value of 50 counselling sessions over the course of his lifetime. Given my finding as to the likelihood of the risk, I award $3,500 for psychological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plaintiff also seeks an award of $3,000 to $4,000 for a full vocational assessment. This is based on the suggestion that he may want to explore alternatives to being a LPN if he finds he is unable to become a RN. Having concluded that the plaintiff loves his job as a LPN and that it is unlikely he will try to become a RN or seek a different career, there is no basis for such an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accept the special damages claimed by the plaintiff for physiotherapy and medications in the total amount of $4,975.76.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award the following amounts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1987"/>
        <w:gridCol w:w="522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$150,000.00</w:t>
            </w:r>
          </w:p>
        </w:tc>
        <w:tc>
          <w:tcPr>
            <w:tcW w:w="512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Income Loss:</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$31,400.00</w:t>
            </w:r>
          </w:p>
        </w:tc>
        <w:tc>
          <w:tcPr>
            <w:tcW w:w="512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Income Loss:</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$175,000.00</w:t>
            </w:r>
          </w:p>
        </w:tc>
        <w:tc>
          <w:tcPr>
            <w:tcW w:w="512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$3,500.00</w:t>
            </w:r>
          </w:p>
        </w:tc>
        <w:tc>
          <w:tcPr>
            <w:tcW w:w="512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$4,975.76</w:t>
            </w:r>
          </w:p>
        </w:tc>
        <w:tc>
          <w:tcPr>
            <w:tcW w:w="512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Subject to any submissions the parties wish to make on costs, the plaintiff is entitled to costs at Scale B. If the parties wish to make submissions on costs, those should be in writing and must be exchanged and provided to me on or before March 16,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G.B. BUTLER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4" style="position:absolute;z-index:2517841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99"/>
          <w:headerReference w:type="default" r:id="rId600"/>
          <w:footerReference w:type="even" r:id="rId601"/>
          <w:footerReference w:type="default" r:id="rId602"/>
          <w:headerReference w:type="first" r:id="rId603"/>
          <w:footerReference w:type="first" r:id="rId60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05" w:history="1">
        <w:r>
          <w:rPr>
            <w:rFonts w:ascii="arial" w:eastAsia="arial" w:hAnsi="arial" w:cs="arial"/>
            <w:b/>
            <w:bCs/>
            <w:i/>
            <w:color w:val="0077CC"/>
            <w:kern w:val="32"/>
            <w:sz w:val="28"/>
            <w:szCs w:val="32"/>
            <w:u w:val="single"/>
            <w:shd w:val="clear" w:color="auto" w:fill="FFFFFF"/>
            <w:lang w:val="en-US" w:eastAsia="en-US" w:bidi="ar-SA"/>
          </w:rPr>
          <w:t>Grimshaw v. Progroup Realty Ltd. (c.o.b. Re/Max Progroup Realty), [2004] B.C.J. No. 3064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J.W. Williams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16-18,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February 20,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S070222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3064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1836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187 A.C.W.S. (3d) 625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CarswellBC 2355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Rebecca Grimshaw, Plaintiff, and Progroup Realty Ltd. doing business as Re/Max Progroup Realty and the said Progroup Realty Ltd., John Jacob Moldowan, Maureen Simpson, Kathy Scott,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(59 paras.)</w:t>
      </w:r>
    </w:p>
    <w:p>
      <w:pPr>
        <w:jc w:val="both"/>
        <w:rPr>
          <w:rFonts w:ascii="arial" w:eastAsia="arial" w:hAnsi="arial" w:cs="arial"/>
          <w:sz w:val="20"/>
          <w:lang w:val="en-US" w:eastAsia="en-US" w:bidi="ar-SA"/>
        </w:rPr>
      </w:pPr>
      <w:bookmarkStart w:id="103" w:name="Counsel_23"/>
      <w:bookmarkEnd w:id="10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5"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Appearing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G.E.H. Cadman,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4" w:name="Judgment_23"/>
      <w:bookmarkEnd w:id="104"/>
      <w:r>
        <w:pict>
          <v:line id="_x0000_s1116" style="position:absolute;z-index:2517360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5" w:name="J.W. WILLIAMS J. (orally)"/>
            <w:bookmarkEnd w:id="105"/>
            <w:r>
              <w:rPr>
                <w:rFonts w:ascii="arial" w:eastAsia="arial" w:hAnsi="arial" w:cs="arial"/>
                <w:b/>
                <w:color w:val="000000"/>
                <w:sz w:val="30"/>
                <w:lang w:val="en-US" w:eastAsia="en-US" w:bidi="ar-SA"/>
              </w:rPr>
              <w:t>J.W. WILLIAMS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Rebecca Grimshaw, the plaintiff, brings an action against Progroup Realty doing business as Re/Max Progroup Realty, John Jacob Moldowan, Maureen Simpson and Kathy Scott. The action alleges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fiduciary duty and fraudulent conduct. The allegations arise from a failed real estate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April 1998 the plaintiff visited the site of a residential development which was under construction, Downes Road Estates in Abbotsford. The project was a gated community of approximately 45 residences. It was being marketed to a mature consumer group namely persons 45 years of age or older. It wasn't intended that families with children would reside there. This was not a development where a number of homes had been built, that is, what are commonly called spec homes, and then offered for sale, but rather proceeded on the basis that as each lot and home was sold the buyer would stipulate what he or she wished and the home would be built to those requirements. In that sense these were custom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developer was a numbered company doing business as Downes Road Estates. The principal of that company was Gord Buck through his company Buck's Investments Ltd. Downes Road Estates had entered into an agreement with Re/Max Progroup of Ladner, British Columbia to market the project. This agreement is evidenced in a letter dated February 1996. As a result Progroup Realty set up a presentation facility at the site and showed the home products that were available. The principal of Progroup Realty is the defendant Mr. Moldowan. The defendants Simpson and Scott are realtors who were employed by Progroup Realty at the relevant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terms of the agreement between Progroup Realty and the developer are set out in a letter from the developer to Progroup Realty to the attention of Mr. Moldowan dated February 19, 1996. That letter is found at Tab 4 of Exhibit number 20. There are two stipulations in that letter which are significant to the present matter. Clause 2 says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deposit of $20,000 is to be paid directly to Downes Road Estates 495733 B.C. Ltd. This deposit as discussed is required because the home is custom built. The deposit is covered under the New Home Warranty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Clause 5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confirm Buck's Investments Ltd. is a member of the New Home Warranty Program of British Columbia and is a principal of Downes Road Estates 495733 B.C. Ltd. These homes will be registered under this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When the plaintiff attended to the site in April of 1998 she dealt initially with the defendant Scott. Scott was a realtor who was on duty at the site and spoke with the plaintiff. The plaintiff indicated that she wished to purchase a home in the development. In the result, two documents were executed. One is a limited dual agency agreement signed by the plaintiff, but not executed by anyone as seller. It is found at Tab 7 of Exhibit number 20. The other is an offer to purchase unit number 28 in the development, executed by the plaintiff. This document is found at Tab 8 of Exhibit 20. Because the plaintiff owned property in Mission, which she was intending to make part of a subdivision and then sell, the offer as written on April 25 contained a condition calling for the vendor, that is the numbered company, to unconditionally agree to sell the plaintiff's Mission property by July 31, 1998. The term permitted the plaintiff to make her own deal but provided a backup for her if she wished to avail herself of it. I note that both of these forms, that is, the agency agreement and the offer form, had been pre-prepared in that a number of spaces in the form were filled out in typewriting including a series of conditions that are found at the third page of the offer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offer as made by the plaintiff was reviewed by the defendant Mr. Moldowan. Apparently he took the view that it was not going to be accepted by the developer in the form it was written and as a result it was not presented nor was it proceeded with any further. The defendant Scott had no further dealings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May 5th, 1998 the plaintiff returned to the site and at that time met with the defendant Mr. Moldowan. As a result of that meeting, an offer was made and two documents were executed: number one, a fresh dual agency agreement and number two, an offer to purchase. The dual agency agreement relating to the May 5 transaction is found at Tab number 11 of Exhibit 20 and the offer is found at Tab number 10 of Exhibit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offer to purchase is comprised of four pages in total. It is somewhat complicated because the manner of acquisition that it contemplates is that the purchase would be by way of an agreement for sale. This results from the fact that the plaintiff advised the realtor, the defendant Moldowan, that she only had $100,000 to put into the purchase. The document confirms the purchase price of $204,900 and stipulates that the possession and adjustment date would be June 16, 1998. There is a subsequent amendment which is dated May 7, 1998 where the date of possession and adjustment was changed to October 29, 1998. I will deal with the relevance, specific details and components of this contract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also note that when the plaintiff attended at the site and met with the defendant Mr. Moldowan on May 5 she had with her a note that she had prepared. A copy of that note was produced by her at trial and a copy is found at Tab 1 of Exhibit 20. Central to the plaintiff's position is her claim that the defendant Moldowan never advised her in the course of their meeting of May 5, 1998 that the $20,000 deposit was non-refundable. She maintains that she understood the deposit was to be held in trust and was refundable. She testified that she told Mr. Moldowan that she wanted her $20,000 deposit protected until completion. She says that he acknowledged her request. She says that she paid Mr. Moldowan the sum of $20,000 by way of personal cheque on that date, that is May 5, 1998 at the point in time she executed the document. The plaintiff testified that later that same day she was at home and was concerned that there appeared to be nothing in the document that dealt with the refundability of her deposit. As a result she says she placed a telephone call to Mr. Moldowan and raised her concern with him. The plaintiff testified that Mr. Moldowan told her that the deposit was dealt with in the contract and with his assistance she looked and found it. She says that what she found distressed her greatly because the clause indicates that the deposit is not refundable. The plaintiff says that this was contrary to what she discussed with Mr. Moldowan when the offer was being written and contrary to what she had understood the contract was to provide. However, her testimony is that because she had already paid her deposit not a great deal could be done about it and so she pressed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fourth page of the contract of sale which is found at Tab 10 is an addendum dated May 7, 1998. This is executed by both the plaintiff and Mr. Buck for the vendor. It simply changes the adjustment, possession and completion dates to October 29,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Contrary to the description of events which was provided by the plaintiff, the evidence before me, notably a document tendered by the plaintiff, Exhibit 3, demonstrates that a draft or money order was issued by the Mission branch of the Fraser Valley Credit Union on May 14, 1998 in the amount of $20,000. It was made payable to 475733 B.C. Ltd. The exhibit confirms that the draft was issued at the behest of and paid for by the plaintiff Rebecca Grimshaw. On May 15, 1998 the defendant Re/Max directed a letter to Mr. Harris, a solicitor acting for the plaintiff. That letter advised it was understood that he, that is Mr. Harris, would be acting for the plaintiff for the purpose of the conveyance. The letter provided to Mr. Harris copies of the contract of purchase and sale and the addenda. The developer having signed the contract and the contract ostensibly being final, the developer then proceeded with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Tab 13 of Exhibit 20 there is a copy of a letter directed by the plaintiff to the defendant Mr. Moldowan. It is dated June 13, 1998. It discusses arrangements with respect to a concern she had with the floor coverings for the house. Beyond that it does not indicate any other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September 23, 1998 Mr. Harris wrote a letter to the vendor's solicitor. This is found at Tab 14 of Exhibit 20. In the letter he indicates a concern that there may be a problem in that the plaintiff has attempted to arrange financing to purchase the unit, but the Land Titles search has indicated that there are mortgages, claims of builders' liens and judgments against the property. Mr. Harris asked to be advised whether or not there was an anticipated problem with clearing the title to permit the transaction to 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October 5, 1998 the solicitor for the vendor replied to Mr. Harris's letter. He confirmed that there were problems, but indicated that the vendor was doing his best to ensure that sales would complete as scheduled and to ensure that the purchasers would receive what they had contracted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Exhibit 7 is a copy of a Land Titles search. As best I can discern it is dated September 14, 1998. It discloses that there were two judgments registered by the Workers' Compensation Board on April 29, 1998 and a number of builders' liens were registered in June, July and August of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October 20, 1998 there was a further letter from the vendor's solicitor to Mr. Harris advising him that the first mortgage holder, the principal lender for the project, had commenced foreclosure proceedings against the unsold lots including the plaintiff's intended property. As a result it was indicated that it would not be possible to complete the plaintiff's transaction as scheduled. That same date Mr. Harris wrote to the plaintiff advising her of what he had learned from the vendor's solicitor. In his letter, which is found at Tab 17 of Exhibit 20, he set out for the plaintiff two options. Number one, he advised her that she could accept the vendor's repudiation of the contract and then apply to the Home Warranty Program for a return of the $20,000 deposit. He advised that if she pursued this option, the contract of purchase and sale would be cancelled and that she would have no further interest or claim to the property. Number two, he advised alternatively that the plaintiff could refuse to accept the vendor's repudiation and instead negotiate (with his assistance) with the vendor, the mortgagee and the lien claimants to try and see if an agreement could be worked out whereby the plaintiff could acquire title to the property under terms of the initial contract. Mr. Harris advised that if she opted for this alternative those negotiations would cost some time and money for legal fees and disbursements. Mr. Harris requested that the plaintiff make an appointment to meet with him and discuss the matter. The plaintiff testified before me that she opted to pursue the second alternative, namely to work to bring about the satisfaction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days and weeks that followed there were numerous discussions and conversations among a number of persons including the first mortgagee, his solicitor, Mr. Buck, his solicitor and the defendant Mr. Moldowan. From the perspectives of Mr. Buck and the defendant Mr. Moldowan, the efforts were directed to making arrangements to permit the plaintiff's purchase to proceed as per the contract excepting, of course, the delay. Apparently some sort of a solution was reached because on November 30, 1998 the defendant Mr. Moldowan wrote to the plaintiff. In a letter that he sent by registered mail he advised her that Argo Land, which is a corporation affiliated with Mr. Buck, the vendor, had now received conduct of the sale by court order and requested "that you contact both your solicitor and myself as we can now deliver to the courts your purchase agreement." I note that the plaintiff signed the acknowledgment of receipt of that letter. Although there is no copy in evidence, I infer from other documents that Mr. Harris on behalf of the plaintiff wrote a letter to the vendor's solicitor indicating that she, that is the plaintiff, wished the transaction to complete and requesting confirmation from the vendor and the vendor's lender that this could come about. Mr. Harris in his letter evidently set a deadline for response. The vendor's solicitor wrote to Mr. Harris indicating his support for this result, as did the solicitor for the lender. The lender's solicitor asked to have confirmed to him that the plaintiff wished to proceed with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February 5, 1999 the lawyer for the plaintiff wrote to the solicitor for the lender advising that the plaintiff had experienced a change in her financial circumstances and as a result she would not be able to proceed with the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February 11, 1999 the plaintiff wrote a personal letter to the defendant Mr. Moldowan, this is found at Tab 24 of Exhibit 20. In that letter she asked that he not send any further communication to her lawyer as she has terminated his services. She said she could not pay anymore for the lawyer and that he had already charged her a substantial sum. She stated "I am trying to claim deposit by myself now" and "mortgagee does not reduce $20,000 that must pay for full price." She requested that Mr. Moldowan provide her with a copy of the notice of contract termination. She reiterated in her letter that this should be sent directly to her and that there should be no further contact with her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February 12, 1999 there was a letter written by the New Home Warranty organization to Buck Investments Ltd. It advised that the plaintiff had made a claim for return of her $20,000 deposit with respect to unit 28 in the Downes Road Estates development. By that letter New Home Warranty served upon Buck's Investments Ltd. a demand for repayment of the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next item of correspondence is found at Tab 26 of Exhibit 20. It is a letter dated February 22, 1999 from Mr. Buck and addressed to Mr. Moldowan. In that letter Mr. Buck advises that the representative of New Home Warranty has advised that New Home Warranty will reimburse the plaintiff her $20,000 deposit. I note this letter is hearsay in nature and not a document upon which I can rely for the truth of the contents. It is, however, relevant in the greater scheme of things in that it is evidence of an apparent representation. It forms part of the narrative and it is relevant to the defendant Mr. Moldowan's state of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From the evidence I conclude that New Home Warranty disputed the obligation because of the somewhat convoluted corporate structure agreement between itself and the Buck group of companies, and as a result there was a delay in processing the claim. Shortly thereafter New Home Warranty went into bankruptcy, prior to the claim being paid, and the claim was not paid. The plaintiff was never reimbursed her $20,000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Claims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the outset it is important to understand clearly what conduct the plaintiff alleges and what wrongs she says were committed by the defendants. The pleadings in this matter are complicated in that, subsequent to the initial Statement of Claim which was filed November 9, 2001, there were three amended Statements of Claim filed. The second was filed on June 11, 2002. I note that both the original and the first amended Statement of Claim were prepared by legal counsel. The first amendment varied the proceeding only to the extent that it incorporated a Rule 66 endorsement.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second and third amended Statements of Claim are more interesting. I conclude that the plaintiff elected to represent herself sometime after the filing of the first amended Statement of Claim. The second amended Statement of Claim was filed December 12, 2002 and is significantly different than its predecessors. The difference is not readily apparent on the face of the document in that none of the amendments have been noted by underlining. In fact a number of paragraphs are substantially different. Finally, the third amended Statement of Claim was filed on December 19, 2003. Again, it contains significant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amended Statements of Claim which were apparently prepared and filed by the plaintiff are before me and I intend to make reference to them, and particularly certain paragraphs, notably paragraphs 14 through 18; I am going to read them. Paragraph 14, this is the amended Statement of Claim filed December 12, 2002, the second amended Statement of Claim, paragraph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Moldowan fraudulently and/or negligently and in breach of the plaintiff's instructions and deliberately concealed the deposit term had printed in the contract and did not advise as to the deposit being non-refundable and it is written in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Furthermore the defendant Moldowan breached the fiduciary duty of care and fraudulently written false statements in the contract that he had advised the plaintiff to seek advice in regards to the contract, and the defendant Moldowan deceitfully instructed the plaintiff to initial in the false statements. The false statements were a premeditated scheme to support his lies in case of a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Between May 14, 1998 and June 16, 1998 the defendant Moldowan further breached the duty of care with the plaintiff by advising her to advance a further sum of $5,569.87 to pay for certain upgrades to the property. In June 1998 strata lot number 27 had breached its contract as the vendor was unable to clear title and the purchasers lost their deposit. Thus the defendant ought to have known that the vendor's financial difficulties for a certain although the defendants negligently failed to advise the plaintiff that risk of paying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 about October 1998 prior to the completion of the contract of purchase and sale the first vendor on title commenced foreclosure proceedings against the property. As a result of the foreclosure proceedings and other financial difficulties the vendor failed to complete the contract and the plaintiff lost $20,000 non-refundable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Moldowan further breached the fiduciary duty and common law duty of care and contacting the mortgagee's secretary and persuading the solicitor for the plaintiff and tried to make a sale of the property with full cash payment regardless of the contract, regardless of the deposit that the plaintiff had being paid. The defendant Moldowan negligently ignored the content of the contract and tried to make a sale for the purpose of attempt to make his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will read paragraph 19 as well: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losses as alleged according to the instructions of the solicitor for the vendor the plaintiff has made a claim to New Home Warranty Program. The New Home Warranty Program had filed bankruptcy in March 1999 and insolvent. In the alternative the defendant Moldowan informed that the vendor had received a conduct of sale form by the court, but the vendor had fled to Ontario and he had no intention of completing the contract of sale and purchase of the property. The contract was made to pay $100,000 on the completion day in addition to $20,000 deposit and scheduled to offer a subdivision land lot 47 by April 1999. In order to complete this contract the vendor must be negotiating that the mortgagees according to the contract which had never taken place and the contract property was rented out by the vendor first, then by the mortgagees afterward and the building was no longer new as in the contract. This contract was completely breached and irreversible.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have spent a little bit of time setting out those components. I have concluded that the plaintiff herself or possibly with some assistance took it upon herself to make significant amendments to the Statement of Claim. They are certainly curious, both in their syntax and their content.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plaintiff's position, as I can best distil it from her pleadings and from her submissions are these:</w:t>
      </w:r>
      <w:r>
        <w:rPr>
          <w:rFonts w:ascii="arial" w:eastAsia="arial" w:hAnsi="arial" w:cs="arial"/>
          <w:sz w:val="20"/>
          <w:lang w:val="en-US" w:eastAsia="en-US" w:bidi="ar-SA"/>
        </w:rPr>
        <w:cr/>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says that the defendants, and particularly Mr. Moldowan, failed to inform her or misinformed her with respect to the security of the deposit that she paid and to some extent drew a contract which was contrary to her instructions.</w:t>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alleges that the defendant Moldowan inserted what she describes as a false or fraudulent statement into the contract. Specifically she says that the following clause which appears on the fourth page of the contract and purchase of sale was inserted by Mr. Moldowan without her being aware of it and she says he did so for the specific purpose of "attempting to support his lies when the times comes." The clause is this: "Buyer acknowledges Jake Moldowan has advised her to correspond with her banker and has explained fully the terms and conditions of this agreement. Buyer to select colours of her choice."</w:t>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alleges that the defendants, and particularly Mr. Moldowan, knew or ought to have known that the developer was in a financial difficulty and by failing to warn her of that condition the defendants were in breach of a fiduciary obligation. I expect that allegation would sound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will deal with each of the allegations in turn. However, at the outset there is a matter that has to be addressed and that is the characterization of the relationship that existed between the plaintiff and the realtor defendants, particularly the defendant Mr. Moldowan. The foundation of certain components of the plaintiff's allegation is that there was a fiduciary relationship. In determining that issue I have considered carefully the facts of the case. I have also considered the decision in the British Columbia Court of Appeal in </w:t>
      </w:r>
      <w:r>
        <w:rPr>
          <w:rFonts w:ascii="arial" w:eastAsia="arial" w:hAnsi="arial" w:cs="arial"/>
          <w:i/>
          <w:color w:val="000000"/>
          <w:sz w:val="20"/>
          <w:lang w:val="en-US" w:eastAsia="en-US" w:bidi="ar-SA"/>
        </w:rPr>
        <w:t>Baillie v. Charman</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(1992), 94 D.L.R. (4th) 403</w:t>
        </w:r>
      </w:hyperlink>
      <w:r>
        <w:rPr>
          <w:rFonts w:ascii="arial" w:eastAsia="arial" w:hAnsi="arial" w:cs="arial"/>
          <w:color w:val="000000"/>
          <w:sz w:val="20"/>
          <w:lang w:val="en-US" w:eastAsia="en-US" w:bidi="ar-SA"/>
        </w:rPr>
        <w:t xml:space="preserve"> (B.C.C.A.). There, speaking for the court, Mr. Justice Toy reviewed the relevant authorities and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the calling that is determinative but rather whether the beneficiary or principal relies on or reposes trust or confidence in a person who assumes the responsibility to act in the other's best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other words, whether or not there is a fiduciary relationship will not be determined by simply looking at the professions or positions of the parties or their labels, but rather the substance of the relationship and the transaction must be considered. In my view the circumstances and expectations in the relationship at bar, mainly the relationship between Ms. Grimshaw and the realtors through whom she made her offer, is properly characterized as fiduciary in nature. Accordingly, the obligations that attend such a relationship are properly imposed upon those defendants with whom she dealt, and I refer particularly to the defendant Mr. Moldowan. That being so, there is an obligation upon the agent to exercise scrupulous good faith in his dealings with the plaintiff to make full disclosure and to ensure that he does not in any way take advantage of his position and expertise </w:t>
      </w:r>
      <w:r>
        <w:rPr>
          <w:rFonts w:ascii="arial" w:eastAsia="arial" w:hAnsi="arial" w:cs="arial"/>
          <w:i/>
          <w:color w:val="000000"/>
          <w:sz w:val="20"/>
          <w:lang w:val="en-US" w:eastAsia="en-US" w:bidi="ar-SA"/>
        </w:rPr>
        <w:t>vis-à-vis</w:t>
      </w:r>
      <w:r>
        <w:rPr>
          <w:rFonts w:ascii="arial" w:eastAsia="arial" w:hAnsi="arial" w:cs="arial"/>
          <w:color w:val="000000"/>
          <w:sz w:val="20"/>
          <w:lang w:val="en-US" w:eastAsia="en-US" w:bidi="ar-SA"/>
        </w:rPr>
        <w:t xml:space="preserve"> the transaction and the client. The agent will ordinarily be required to give his exclusive allegiance to the principal, that is to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the present matter there was a complication; because the defendant realtor had entered into a contract to market the properties in the development, he was in an agency relationship with and had obligations to the vendor. In the circumstances of the plaintiff's offer, the realtor also purported to act for her. As a result, on the face of the matter the realtor had conflicting duties and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British Columbia there has arisen in the real estate industry a practice and a procedure whereby realtors can act for both parties, that is the seller and the purchaser. Where there is to be such an arrangement, a form of agreement has been developed which is signed by both the vendor and the purchaser. By that agreement it is acknowledged that both of the parties have agreed that one agent will act for both of them. The agreement purports to limit the scope of the duties which are owed by the agent to each of the parties. It contains an acknowledgment that all parties are aware of the specifics of the arrangement and the obligations that will be imposed.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I have indicated, there was such a limited dual agency agreement in force during the transaction at bar. The document, that is, the dual agency agreement document is found at Tab 11 of Exhibit 20. There are four conditions set out there and in fact the plaintiff made reference to components of condition number three in the course of her testimony, her cross-examination of the defendant and her submissions. I am going to refer to those. Condition number three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buyer and the seller acknowledge and agree that with respect to the purchase and sale of the property the agent and its salespersons will be the agent for both the buyer and the seller and will represent both parties as a limited dual agent with the following changes of limitations to its duties as agent.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agent will deal with the buyer and the seller impartially.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agent will have a duty of disclosure to both the buyer and the seller except that;</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agent will not disclose that the buyer is willing to pay a price or agree to terms other than those contained in the offer or that the seller is willing to accept a price or terms other than those contained in the listing.</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agent will not disclose the motivation of the buyer to buy or the seller to sell unless authorized by the buyer or the seller.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agent will not disclose personal information about either the buyer or the seller unless authorized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this matter limited dual agency agreements were prepared and executed by the plaintiff in respect to both the original April 25 offer through Ms. Scott and the subsequent offer to purchase made through the defendant Mr. Moldowan dated May 5, 1998. In the course of her case, the plaintiff acknowledged having executed the agreement and, as I understand her position, contends that the realtors and in particular, the defendant Mr. Moldowan, failed to satisfy the obligations imposed by that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the course of submissions counsel for the defendants raised the possible defence of limitation. In short he says that the present action was commenced more than two years after the events giving rise to the allegations. It is his submission that if there is no fiduciary obligation found to apply then the action must be taken to sound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ought to be dismissed by virtue of having been brought more than two years after the occurrence of the events. Given my conclusion with respect to the establishment of the fiduciary relationship, I cannot give effect to the defendants' application. This action will not be dismissed on the basis that it is brought out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will turn now to the plaintiff's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With respect to the plaintiff's first allegation I have concluded that her claim cannot succeed. Her contention that she was not aware of and did not agree to the condition which deemed the deposit to be non-refundable is contradicted by the following:</w:t>
      </w:r>
      <w:r>
        <w:rPr>
          <w:rFonts w:ascii="arial" w:eastAsia="arial" w:hAnsi="arial" w:cs="arial"/>
          <w:sz w:val="20"/>
          <w:lang w:val="en-US" w:eastAsia="en-US" w:bidi="ar-SA"/>
        </w:rPr>
        <w:cr/>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plaintiff had her discussion with the defendant Scott on April 25th and made an offer to purchase the property at that time, she was provided with copies of the pre-prepared contract of purchase and sale. That document contained the clause "upon removal of all subjects a non-refundable deposit of $20,000 shall be paid directly to the seller. Failure to pay such monies the seller may at his option terminate this contract." On the occasion of making the offer on April 25, Ms. Grimshaw executed those documents as the prospective purchaser. Furthermore, I have no reason to doubt that the defendant Scott went through the terms and conditions with the plaintiff. In her testimony the defendant Scott recalled that she had proceeded through the material carefully, slowly and somewhat painstakingly because she was concerned that the plaintiff whose first language is not English might not understand the import of the contract. The defendant Scott testified that the plaintiff became somewhat testy because of the manner in which Ms. Scott was proceeding. The plaintiff apparently advised Ms. Scott that she'd conducted numerous real estate transactions in the past. Ms. Scott's recollection was that the plaintiff had explained that she had sold nine properties. At any rate I find that the condition of non-refundability of the deposit was made known to the plaintiff at that time.</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that encounter the plaintiff had with her the documents that had been signed, or copies thereof. She subsequently learned that her initial offer would not be accepted and so she returned to deal with the realtors again. On the second occasion, that is May 5, 1998, she dealt with the defendant Mr. Moldowan. There was a meeting between the two wherein the specifics of the proposed transaction were discussed. What I find particularly telling is the document that is found at Tab 1 of Exhibit 20. This is a copy of a note that the plaintiff brought with her for the purpose of the discussion. That document was as well tendered as an exhibit by the plaintiff in the course of calling her case. It is Exhibit number 1. Generally, to my mind, the document indicates quite clearly that she had a substantial level of sophistication and understanding of the transaction. She prepared herself for the discussion and had made notes with respect to particular issues of importance to her. More specifically, the first entry on her note is "$20,000 in trust until complete paid off." That appears in the handwriting of the plaintiff. Immediately after that appears the following notation in a different handwriting which I am satisfied is that Mr. Moldowan. The notation is "no" and then the word "direct." Those words are off to the immediate right of the plaintiff's first notation. On the evidence I am satisfied that when the plaintiff arrived for her discussion with the realtor she was aware that the deposit would not be dealt with in the usual fashion, that is, held in trust and subject to refund and that she wished to address that issue specifically. I find that she would have been aware of this from her earlier discussion with Ms. Scott and from the opportunity that she had had to review the contract.</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upon the testimony at trial, I am satisfied that she raised this with Mr. Moldowan and that she couched her concerns in terms of wanting to ensure that her deposit was "protected". Those were words that she used in her testimony in this trial. I further conclude that Mr. Moldowan made clear to her at the time of her discussion on May 5 that there was no alternative, the deposit was required to be paid directly to the builder. I am also satisfied that Mr. Moldowan concluded that the deposit could be properly protected or secured by the New Home Warranty Program and that he so advised the plaintiff.</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further basis for my rejection of the plaintiff's claim under this head is that while she has insisted adamantly that she paid her deposit when she first met with Mr. Moldowan on May 5 and thereafter was trapped in the deal, the evidence satisfies me beyond any doubt that she did not pay her deposit until May 14th. When asked about the bank draft which is Exhibit 3 dated May 14, 1998 and which I have described earlier in these reasons, her response is that the date May 14 must be the date upon which the vendor cashed the instrument. This is manifestly unbelievable. Furthermore, while she insists that she made payment by personal cheque on May 5, there is no evidence of any such cheque before me. In all the circumstances I have no doubt that she paid her deposit on May 14, 1998 and that the payment of the deposit is evidenced by that document at Exhibit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My view of this matter is buttressed by a reading of the contract. It is perfectly plain from reading the contract document that the deposit was not required to be paid until the seller had accepted the offer and the subject clauses had been removed. Finally, I adverted earlier to a letter sent by the realtor to the plaintiff's solicitor on May 15 enclosing the completed contract. This too I find to be consistent with the notion of the conditions having been removed and the deposit therefore being made on May 14. Finally, I have the evidence of the defendant Moldowan which I accept, which I prefer, namely that the deposit was paid on May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my view it is most telling that in reviewing all of the correspondence relating to this transaction, there is not the hint of a suggestion by the plaintiff that she had a complaint that she had been misled or misinformed in any way with respect to the lodging or the status of the deposit. Through the balance of 1998 and well into 1999 I see or hear not one word of complaint being raised by her. To my mind it is illogical that she would not have raised her complaint given the difficulties which came to pass later in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As to the plaintiff's allegation that the defendant Mr. Moldowan inserted a false clause in the contract for the purpose of subsequent deception, this aspect of the plaintiff's claim is not proven. First of all, an examination of the contract document shows that the plaintiff's signature and initials appear at a number of locations. Her initials appear beside certain changes and cross-outs. She does not say that those are not her initials, but rather seems to suggest that while she signed the document she did not appreciate its import. I reject this contention based upon my assessment of the plaintiff's conduct through the transaction and my observations of her at trial. I do not for a moment accept that she is naïve, likely to be deceived or lacks an ability to understand documents. While her ability to speak the English language clearly is somewhat limited, I find that she is fully competent in transactions such as the one at bar. As an example I refer to the notes that she had prepared for her meeting with the realtor on May 5. These to my mind reflect a clear understanding of detail and the niceties of the transaction. I find that her ability to communicate in written form is quite competent. Her claim under this particular head, that is, that she was unaware or that Mr. Moldowan deceived her by causing her to initial and sign a document that she did not understand, is damaged because of a concern that I have that her evidence has been unreliable in respect of descriptions of certain events. I cite, for example, her evidence with respect to the deposit clause which I have discussed above. I also consider the substance of the clause which she says was put in in a manner designed to effect a deceit or to trick her. It is significant in my view that the clause does not recommend or discuss a recommendation that she correspond with her solicitor or her banker, but rather limits itself to her banker. This is consistent in my view with testimony that that is who she intended to discuss this matter with. As well it seems to me that if Mr. Moldowan was putting in a clause for the deceitful purpose alleged it would be less likely that it would include a provision "buyer to select colours of her choice." To my mind it makes good sense that the clause is in there because it is consistent with Mr. Moldowan attempting to ensure that he has done what is required because of the fact that he is in a dual agency situation in this transaction. For all these reasons, her claim under this second head will 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plaintiff's third allegation is that the defendants and particularly the defendant Mr. Moldowan knew the developer was in financial difficulty and failed to make the appropriate inquiries or failed to protect the plaintiff. The defendant Mr. Moldowan testified concerning this allegation. It is his evidence that at the time the contract was initially written he had no knowledge nor reason to suspect that there were liens or judgments registered against the title. Furthermore he says, as a realtor of some experience and longstanding, in his view, had he been aware, it would not necessarily have been a serious problem. He says that the two liens which are registered in favour of Workers' Compensation Board are in his experience not altogether unusual. This was a multi-million dollar project. He considers it significant that trades-people were continuing to work on the site and he considers it significant that deals were completing and closing through the month of August. His testimony is that if there were financial problems of any import one would not expect those deals to be closing in a regular and routine fashion. Accordingly, he says he had no reason to be worried. There was nothing in the circumstances to cause him to alert the plaintiff or to cause him to make further inquiries. I should pause to say that there is no evidence before me that matters were other than as he describes.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Furthermore, in my view, whether or not there were financial difficulties being experienced by the developer is of substantially less import when one considers that the deposit which had been paid by the plaintiff was fully secured or protected by virtue of the New Home Warranty Program which the defendant Mr. Moldowan had satisfied himself was properly in place with respect to the project. Indeed Mr. Moldowan testified that the builder had originally taken the view that larger deposits should be required from persons making offers, but Mr. Moldowan prevailed upon the developer to limit the deposit to $20,000 because that was the ceiling of coverage provided by the New Home Warranty Program. In that way, the security of the deposit would be properly insured save and except for the events which came to pass here, namely the bankruptcy of the New Home Warranty Program. It is not reasonable to impose upon the defendant Mr. Moldowan a duty to contemplate that the New Home Warranty Program would fail by reason of bankruptcy. In these circumstances I do not find that the defendant Mr. Moldowan knew that the developer was in financial difficulty through the summer of 1998, nor do I find that he failed to make appropriate inquiries. By virtue of his concern with the New Home Warranty coverage it is my finding that he took reasonable measures to protect the security of the plaintiff's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At the conclusion of the case for the plaintiff, Mr. Cadman made an application to have the action against Ms. Simpson dismissed on the basis that there had been no evidence led to establish any liability on her part. I acceded to the application at that time and the action was dismissed. It is apparent that the only connection Ms. Simpson had with this case is that she was a realtor who was at some point either involved or expected to be involved in the marketing of the project. To that end, her name appears to have been typed in as one of a number of realtors involved. She had absolutely no dealings with the plaintiff. It was entirely appropriate that the action against her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With respect to Ms. Scott, I consider that the plaintiff's allegations against her have not been made out. On the evidence Ms. Scott was involved with the plaintiff on one occasion, that is April 25, 1998. At that time Ms. Scott entered into the limited dual agency relationship with the plaintiff and then wrote the plaintiff's offer to purchase unit number 28. As described above, that offer was not presented to the vendor as it was recognized at the outset that it was not within the parameters of acceptability. I understand that the plaintiff was so advised and further that it was as a result of that development that she subsequently returned on May 5, 1998 to further discuss the matter with the defendant Mr. Moldowan and ultimately came to make her offer to purchase. There is simply no basis upon which to find that the plaintiff's case is made out against Ms. Simpson and, accordingly, the case as it relates to that defendant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Dealing with the defendant Moldowan, it is obvious on the evidence that the plaintiff's principal complaint is with him. Each of her allegations of wrongdoing in fact refers to Mr. Moldowan and his involvement in the transaction. As I have discussed above it is my conclusion that the plaintiff has failed to prove her case against the defendants and particularly Mr. Moldowan in respect of any of the allegations that she has made. In summary I conclude that he made perfectly clear to the plaintiff that her deposit would be paid directly to the vendor and that it would not be held in trust. I find that the plaintiff knew that before she paid her deposit and was fully aware of the circumstances when she entered the contract. I find further that Mr. Moldowan had taken positive steps at the very outset of the Downes Road project to ensure that the deposits which would be made by offerors would be protected by the mechanism of the New Home Warranty Program. I find as well that he took all reasonable measures to ensure that the coverage was properly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With respect to the plaintiff's second allegation that Mr. Moldowan fraudulently or falsely put a clause into the contract to deceive the plaintiff and subsequently cover himself in the event of later difficulties, this claim is not made out in any way, shape or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Finally, with respect to the allegation that Mr. Moldowan knew or ought to have known that the developer was in financial difficulty or that he failed to make the appropriate inquiries or failed to protect the plaintiff, I have concluded that this allegation is not proven. I have accepted the evidence of Mr. Moldowan that he had no reason to be aware of difficulties with the project until well through the summer of 1998. The steps and measures taken by him following the discovery of a problem were above and beyond any duty that the law might impose upon him and I make the positive finding of fact that he expended considerable time and energy to try to bring the transaction to a satisfactory conclusion so that the plaintiff would receive the property for which she had bargained and paid in part. These efforts were taken without charge or cost to the plaintiff and in fact in circumstances where he well knew that he would not receive in any event the commission for the sale to the plaintiff. The action against Mr. Moldowan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Earlier in these reasons reference was made to the pleadings and the numerous amendments to the Statements of Claim. As indicated, the third and fourth iterations of the Statement of Claim appear to be the handiwork of the plaintiff operating without the assistance of counsel. I have noted particularly the second amended Statement of Claim which includes certain components which I have described. Her allegations of fraudulent conduct, deliberate concealment, deceitfully instructing the plaintiff to initial the false statements and of a premeditated scheme to support his lies in case of a breach of contract are outrageous and cannot be permitted to pass without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What happened to the plaintiff here is truly unfortunate. She bargained to purchase a property and she paid a $20,000 deposit. As well, she paid other sums of money to have improvements made to the unit as it was being constructed and prior to completion. Furthermore I would conclude that she has incurred legal costs and interest charges related to the sums involved. In the result she probably is out of pocket in the order of at least $35,000 and she has been through an entirely regrettable experience. In the end she has not obtained what it was she bargained for. Considering all that, she is an aggrieved party and deserving of sympathy. I note parenthetically that it is quite obvious that Mr. Moldowan had a genuine concern for and compassion for her and it was in that spirit that he expended considerable effort to attempt to salvage the deal and then laterally the deposit for her. Sadly, that did not come to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Unfortunately the plaintiff, in her disappointment, some understandable anger and zeal, has launched an attack upon the defendants. I suppose it is human nature that when one sustains a loss it is not uncommon that efforts are made to find and identify others to be responsible. In the present case it is my conclusion that the plaintiff has quite erroneously and improperly fixed upon the defendants in this action. In fact, she is the victim of incredible bad fortune, most particularly the financial failure of the developer of the Downes Road Estates and the untimely and unfortunate bankruptcy of the New Home Warranty Program. I doubt she has recourse against either of those situations.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my view, the plaintiff's conduct in her prosecution of this lawsuit has been improper. I refer particularly to the allegations of fraud, deceit and breach of fiduciary duty as she has levelled those against the defendants, especially Mr. Moldowan. The fact is, realtors rely upon their reputations. On the basis of the evidence before me, Mr. Moldowan has been a professional realtor for in excess of a quarter century. He has been active in his professional organization and has been involved in measures to oversee competence and ethics in that profession. According to what I know, he has never been the subject of allegations of misconduct. Defending this action has been costly to him both in financial terms and in terms of stress and damage to his reputation. The accusations that give rise to this harm are unfounded and malicious. The plaintiff deserves to be roundly chastised for her prosecution of this lawsuit in the manner in which she has proceeded.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plaintiff's action is dismissed against all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Counsel for the defendants has urged upon this court that this is an appropriate case for the imposition of an order of costs which will reflect the court's concern with the conduct of the plaintiff. I have considered that carefully and I am sorely tempted. At the same time, I have a degree of compassion for the plaintiff in all her circumstances. For the most part I consider that her zeal has been improperly channelled. Regrettably, she most probably believes the allegations that she has made and I doubt that this court's decision will change her view of anything very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all the circumstances the defendants are entitled to their costs against the plaintiff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CADMAN: Thank you, my 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GRIMSHAW: I have a pleading I did not have a chance to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COURT: Please show me what you have.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Grimshaw, this trial is at a conclusion. I have rendered my ruling and the opportunity to make your pleadings and lead your evidence and make your submissions is past. There is no further opportunity for me to consider anything that you would have to 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GRIMSHAW: I have 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COURT: We will close court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J.W. WILLIAMS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7" style="position:absolute;z-index:2517852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3" w:history="1">
        <w:r>
          <w:rPr>
            <w:rFonts w:ascii="arial" w:eastAsia="arial" w:hAnsi="arial" w:cs="arial"/>
            <w:b/>
            <w:bCs/>
            <w:i/>
            <w:color w:val="0077CC"/>
            <w:kern w:val="32"/>
            <w:sz w:val="28"/>
            <w:szCs w:val="32"/>
            <w:u w:val="single"/>
            <w:shd w:val="clear" w:color="auto" w:fill="FFFFFF"/>
            <w:lang w:val="en-US" w:eastAsia="en-US" w:bidi="ar-SA"/>
          </w:rPr>
          <w:t>Hendriks v. T. Dale Roberts Notary Corp., [2018] B.C.J. No. 3137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Courtenay,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D.W. Thompson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24-26,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10,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S09423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Courtenay</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3137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770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Mark Godfrey Hendriks, Plaintiff, and T. Dale Roberts Notary Corp.,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 paras.)</w:t>
      </w:r>
    </w:p>
    <w:p>
      <w:pPr>
        <w:jc w:val="both"/>
        <w:rPr>
          <w:rFonts w:ascii="arial" w:eastAsia="arial" w:hAnsi="arial" w:cs="arial"/>
          <w:sz w:val="20"/>
          <w:lang w:val="en-US" w:eastAsia="en-US" w:bidi="ar-SA"/>
        </w:rPr>
      </w:pPr>
      <w:bookmarkStart w:id="106" w:name="Counsel_24"/>
      <w:bookmarkEnd w:id="10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8"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appearing in person: M. Hendriks.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 Knapp.</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7" w:name="Judgment_24"/>
      <w:bookmarkEnd w:id="107"/>
      <w:r>
        <w:pict>
          <v:line id="_x0000_s1119" style="position:absolute;z-index:2517370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8" w:name="D.W. THOMPSON J."/>
            <w:bookmarkEnd w:id="108"/>
            <w:r>
              <w:rPr>
                <w:rFonts w:ascii="arial" w:eastAsia="arial" w:hAnsi="arial" w:cs="arial"/>
                <w:b/>
                <w:color w:val="000000"/>
                <w:sz w:val="30"/>
                <w:lang w:val="en-US" w:eastAsia="en-US" w:bidi="ar-SA"/>
              </w:rPr>
              <w:t>D.W. THOMPSON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Mark Hendriks, claims damages against the defendant professional corporation of Dale Roberts, a notary public. Mr. Hendriks claims that Mr. Roberts owed him a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contract -- or, in the alternative, a fiduciary duty. For the reasons that follow, I find that Mr. Hendriks has not established that Mr. Roberts owed him a duty, and this action must therefore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Hendriks lives on a disability pension. His most valuable asset was a mobile home, and he lost it in the transaction that is at the centre of this case. He claims the value of this mobile home as damages. Mr. Hendriks appeared in person at trial. He was well-prepared and managed his case with considerable skill. I know this case is important to Mr. Hendriks, and what I hope to accomplish by these reasons is to explain in plain terms why his claim did 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Hendriks lived in Comox in his mobile home at the Queneesh Trailer Park. Over the course of the summer of 2015, Mr. Hendriks struck a deal with Amandio Santos. Together with his wife, Maria Augusto, Mr. Santos owns about 20 properties in the Comox Valley, and all are leased to residential tenants.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Hendriks and Mr. Santos agreed that Mr. Hendriks and his girlfriend, Robin Handyside, would "rent-to-own" a Santos/Augusto property on Royston Road in Cumberland. The total purchase price was $320,000, but Mr. Hendriks was to transfer his mobile home to Mr. Santos and Ms. Augusto and in exchange receive credit for a $50,000 down payment. Mr. Hendriks and Ms. Handyside would then pay $1600 per month toward a $270,000 net purchase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Santos described the terms of this agreement to Mr. Roberts, who had acted for Mr. Santos many times in the past. In September 2015, Mr. Roberts drafted an agreement-for-sale for his client to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October 2015, Mr. Hendriks and Ms. Handyside began painting and doing minor renovations and cleanup at the Royston Road property. At the end of October, Mr. Hendriks moved out of his mobile home and into the house on Royston Road. Ms. Handyside lived with him there, but moved out on 20 November 2015 when their relationship 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21 December 2015, Mr. Hendriks and Mr. Santos met with Mr. Roberts at his office. By the end of the meeting, Mr. Hendriks and Mr. Santos had signed a revised form of the agreement-for-sale that Mr. Roberts had prepared for Mr. Santos' review a couple of months earlier. One difference between the draft and the final form was that Ms. Handyside was no longer a signatory to the contract (because her relationship with Mr. Hendriks had broken off). The second change was that instead of the terms that interest would run at 10% on the balance of $270,000 with monthly payments of $1600, the following term was substituted: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Buyer agrees to enter into a Residential Tenancy Agreement with the Seller during the interim until the Completion of the Right to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was an unusual term, but the evidence leaves no doubt that it reflected the new instructions Mr. Roberts received from Mr. Santos. Ms. Augusto was not present at the meeting -- it was evidently contemplated that she would sign the agreement-for-sale at a later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is not altogether clear whether other documents were signed at this 21 December 2015 meeting at Mr. Roberts' office. Mr. Hendriks' evidence was that no other documents were signed. Mr. Roberts testified, based on his usual practice, that Mr. Hendriks would have signed two other documents: (1) an acknowledgement form saying that Mr. Roberts was not acting for Mr. Hendriks and recommending that he should get independent legal advice regarding the matter; and (2) a bill of sale to transfer the mobile home. I will return to this important meeting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next day, Mr. Roberts made an electronic submission to the Manufactured Home Registry certifying that he had in his possession a bill of sale. In the result, the mobile home was transferred from Mr. Hendriks to Mr. Santos and Ms. Augusto in joint tenancy. The K'ómoks First Nation administers the Queneesh Trailer Park. Mr. Hendriks was in arrears on his pad rent and property taxes -- Mr. Hendriks had last paid rent in April 2015. The arrears of rent and taxes totalled $4771, and Mr. Santos or Ms. Augusto (through Mr. Roberts' office) paid this money to the K'ómoks First Nation to allow for the mobile home to be transferred.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Hendriks fell behind in his monthly payments. In early February 2017, Mr. Santos delivered a notice of default under the agreement-for-sale. Mr. Hendriks contacted a realtor and listed the Royston Road property for sale. On 5 March 2017, a prospective purchaser signed a contract of purchase and sale for $390,000. That sale collapsed on 7 March 2017 -- the purchaser's realtor advised that his client's research indicated that the Royston Road property was contaminated when the land was previously used as the Village of Cumberland's dump, and remediation costs would be at least $400,000.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7 March 2017, the same day the Royston Road sale collapsed, Mr. Santos and Ms. Augusto re-took possession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Duties of a Notary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Contract, or as a Fiduciary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order to succeed, Mr. Hendriks must successfully carry the burden of showing that Mr. Roberts owed him a duty, that Mr. Roberts failed in this duty, and that damages were caused by this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first issue, then, is whether Mr. Hendriks was owed a duty by Mr. Roberts. This requires a determination of whether Mr. Roberts was retained to protect or advance the plaintiff's interests. If he was, Mr. Roberts clearly owed a duty to Mr. Hendriks. If not, Mr. Hendriks must demonstrate either that he reasonably relied on Mr. Roberts to care for his interests, or that Mr. Roberts assumed a duty to do something for Mr. Hendriks' benefit. See </w:t>
      </w:r>
      <w:r>
        <w:rPr>
          <w:rFonts w:ascii="arial" w:eastAsia="arial" w:hAnsi="arial" w:cs="arial"/>
          <w:i/>
          <w:color w:val="000000"/>
          <w:sz w:val="20"/>
          <w:lang w:val="en-US" w:eastAsia="en-US" w:bidi="ar-SA"/>
        </w:rPr>
        <w:t>Esser v. Luoma</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(2004), 242 D.L.R. (4th) 112</w:t>
        </w:r>
      </w:hyperlink>
      <w:r>
        <w:rPr>
          <w:rFonts w:ascii="arial" w:eastAsia="arial" w:hAnsi="arial" w:cs="arial"/>
          <w:color w:val="000000"/>
          <w:sz w:val="20"/>
          <w:lang w:val="en-US" w:eastAsia="en-US" w:bidi="ar-SA"/>
        </w:rPr>
        <w:t xml:space="preserve"> at para. 32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Only in narrow circumstances does the law recognizes duties of legal advisors to opposite parties in a transaction. This is because the imposition of a duty carries the risk of compromising the duty they owe to their own client, it being assumed that the professional has been retained to do the best they can for their client in dealing with the opposite party. See </w:t>
      </w:r>
      <w:r>
        <w:rPr>
          <w:rFonts w:ascii="arial" w:eastAsia="arial" w:hAnsi="arial" w:cs="arial"/>
          <w:i/>
          <w:color w:val="000000"/>
          <w:sz w:val="20"/>
          <w:lang w:val="en-US" w:eastAsia="en-US" w:bidi="ar-SA"/>
        </w:rPr>
        <w:t>Kamahap Enterprises Ltd. v. Chu's Central Market Ltd</w:t>
      </w:r>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(1989), 64 D.L.R. (4th) 167</w:t>
        </w:r>
      </w:hyperlink>
      <w:r>
        <w:rPr>
          <w:rFonts w:ascii="arial" w:eastAsia="arial" w:hAnsi="arial" w:cs="arial"/>
          <w:color w:val="000000"/>
          <w:sz w:val="20"/>
          <w:lang w:val="en-US" w:eastAsia="en-US" w:bidi="ar-SA"/>
        </w:rPr>
        <w:t xml:space="preserve"> at 172-175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No fiduciary duty exists between a solicitor and the opposite party in a transaction: </w:t>
      </w:r>
      <w:r>
        <w:rPr>
          <w:rFonts w:ascii="arial" w:eastAsia="arial" w:hAnsi="arial" w:cs="arial"/>
          <w:i/>
          <w:color w:val="000000"/>
          <w:sz w:val="20"/>
          <w:lang w:val="en-US" w:eastAsia="en-US" w:bidi="ar-SA"/>
        </w:rPr>
        <w:t>Young v. Borzoni</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 xml:space="preserve"> at paras. 51-52. I see no reason why this same principle would not encompass a notary dealing with an opposite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Resolving the Key Factual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duty issue turns on what happened at the meeting in Mr. Roberts' office on 21 December 2015. If, as Mr. Roberts maintains, Mr. Hendriks was told that Mr. Roberts was acting only for Mr. Santos and that Mr. Hendriks signed a form confirming that Mr. Roberts was providing no legal advice to Mr. Hendriks, then there is no basis for a finding that Mr. Hendriks was a client or that he reasonably relied on Mr. Roberts or that Mr. Roberts assumed a duty to do something for Mr. Hendriks'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Roberts testified that he no longer has a file. He has a busy practice that includes about one thousand conveyances a year as well as preparing wills and powers of attorney. His document retention policy on file closing is to scan the contents, retain the documents with signatures on them, and shred the rest. This was an ongoing file: Mr. Roberts expected there would be a transfer of the property to Mr. Hendriks when all payments were made under the agreement-for-sale. Mr. Roberts thinks that this file was kept in abeyance for that purpose, and surmises that he likely took the file out of abeyance when he received notice in March 2017 that there was a pending sale of the property. He subsequently heard that the sale fell through. He cannot locate his file now, and he assumes that it must have gone for shredding without all of the documents being scanned -- although, before the file was lost, at some point the agreement-for-sale was scanned.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want to be clear about this: I accept Mr. Roberts' evidence that the file was lost through inadvertence; I am satisfied that this is not a case of failing to disclose relevant documents. I am quite sure that a bill of sale for the mobile home was signed by Mr. Hendriks. It was a key document in the transaction and was required in order that Mr. Roberts could complete the necessary certification to effect the mobile home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Roberts' evidence is that he has practices that he invariably follows when dealing with people without legal representation on the other side of transactions. Evidence of this sort -- of a party's customary practices -- might be given a great deal of weight, depending on the circumstances. In this case, it must be weighed bearing in mind that Mr. Roberts' usual document management practices were not followed. It is hard to be confident that a practice was followed in one aspect (having the acknowledgement form signed) when we know it was not followed in another (scanning of contents before file destruction, and retention of signed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Hendriks conceded that he did not seek legal advice from Mr. Roberts and that Mr. Roberts did not provide him with any legal advice. Nevertheless, Mr. Hendriks testified that he assumed that the notary would look after his interests. Mr. Hendriks testified that he paid half of Mr. Roberts' fees, albeit by paying this money to Mr. Santos who paid the bill. Mr. Hendriks resolutely denied that any documents were signed other than the agreement-for-sale. Mr. Santos testified, but he had no useful recollection of what happened at the 21 December 2015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Hendriks' evidence that no documents (other than the agreement-for-sale) were signed was confidently given, and stoutly defended in cross-examination. However, his answers to a series of questions at his examination for discovery shattered his credibility on matters that relate to his financial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the time of his examination for discovery in February 2018, Mr. Hendriks was still pursuing a claim in this lawsuit for compensation for the work he did to improve the Royston Road property. In that connection, having sworn to tell the truth, Mr. Hendriks testified as follows:</w:t>
      </w:r>
      <w:r>
        <w:rPr>
          <w:rFonts w:ascii="arial" w:eastAsia="arial" w:hAnsi="arial" w:cs="arial"/>
          <w:sz w:val="20"/>
          <w:lang w:val="en-US" w:eastAsia="en-US" w:bidi="ar-SA"/>
        </w:rPr>
        <w:cr/>
      </w:r>
    </w:p>
    <w:p>
      <w:pPr>
        <w:numPr>
          <w:numId w:val="1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Okay.</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mean, I redid all the hardwood floors in there. I did a lot of work in that place.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 seven days a week or five days a week?</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Seven days a week.</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Ten hours a day?</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10 to 12, maybe 14 hours some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trial, Mr. Hendriks testified that he put a few hours into the project, "an hour here, an hour there". He said that he was only physically capable of doing two or three hours of work per day. When asked by Mr. Knapp about the discrepancy between his evidence at trial and his sworn evidence on discovery, Mr. Hendriks said that he had exaggerated at his discovery. And, he added: "I think at that time, sir, you were frustrating me and I misspoke."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Hendriks did not misspeak. At his discovery he told a story that was significantly at odds with the truth in order to inflate his claim for damages. I cannot attach weight to his trial evidence where it is uncorroborated and aligns with his financial interests. This includes his version of what occurred in Mr. Roberts' office, including his denials about signing any documents other than the agreement-for-sale.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the totality of the evidence, I think it more probable than not that Mr. Hendriks knew that Mr. Roberts was not acting for him. I doubt that Mr. Hendriks was relying on Mr. Roberts to care for his interests, but if he was, then he had no reasonable basis for doing so. It is clear that Mr. Hendriks did not seek legal advice from Mr. Roberts and Mr. Roberts did not offer legal advice to Mr. Hendriks. At no point did Mr. Roberts assume a duty to do something for Mr. Hendriks'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and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Mr. Hendriks has not met the onus of establishing a client relationship, or establishing either reasonable reliance on Mr. Roberts or that Mr. Roberts assumed a duty to do something for Mr. Hendriks' benefit. Accordingly, he has not established that Mr. Roberts owed him a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contract, or a fiduciary duty. It follows that this fast track action must be dismissed, with costs in accordance with R. 15-1(15)(c) if demanded.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Finally, I acknowledge the professionalism of Mr. Knapp who assisted the Court by helping Mr. Hendriks at trial to the full extent that he could do so without compromising his duty to his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D.W. THOMPSON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0" style="position:absolute;z-index:2517862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17"/>
          <w:headerReference w:type="default" r:id="rId618"/>
          <w:footerReference w:type="even" r:id="rId619"/>
          <w:footerReference w:type="default" r:id="rId620"/>
          <w:headerReference w:type="first" r:id="rId621"/>
          <w:footerReference w:type="first" r:id="rId6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23" w:history="1">
        <w:r>
          <w:rPr>
            <w:rFonts w:ascii="arial" w:eastAsia="arial" w:hAnsi="arial" w:cs="arial"/>
            <w:b/>
            <w:bCs/>
            <w:i/>
            <w:color w:val="0077CC"/>
            <w:kern w:val="32"/>
            <w:sz w:val="28"/>
            <w:szCs w:val="32"/>
            <w:u w:val="single"/>
            <w:shd w:val="clear" w:color="auto" w:fill="FFFFFF"/>
            <w:lang w:val="en-US" w:eastAsia="en-US" w:bidi="ar-SA"/>
          </w:rPr>
          <w:t>Hobbs v. Robertson, [2004] B.C.J. No. 2402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Pitfield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15 and 16,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19,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C980582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2402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1508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246 D.L.R. (4th) 380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28 C.C.L.T. (3d) 155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135 A.C.W.S. (3d) 236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Ernest Hobbs, on his own behalf and Ernest Hobbs as guardian ad litem for Kaleb Hobbs, Travis Hobbs, also known as Travis Redlack and Jada Hobbs, also known as Jada Redlack, plaintiffs, and Dr. John G.M. Robertson,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 paras.)</w:t>
      </w:r>
    </w:p>
    <w:p>
      <w:pPr>
        <w:jc w:val="both"/>
        <w:rPr>
          <w:rFonts w:ascii="arial" w:eastAsia="arial" w:hAnsi="arial" w:cs="arial"/>
          <w:sz w:val="20"/>
          <w:lang w:val="en-US" w:eastAsia="en-US" w:bidi="ar-SA"/>
        </w:rPr>
      </w:pPr>
      <w:bookmarkStart w:id="109" w:name="Counsel_25"/>
      <w:bookmarkEnd w:id="10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1"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L.J. Zivot and S.H. Brady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C.E. Hinkson, Q.C. and P.M. Willcock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Attorney General of B.C.: N. Sharma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0" w:name="Judgment_25"/>
      <w:bookmarkEnd w:id="110"/>
      <w:r>
        <w:pict>
          <v:line id="_x0000_s1122" style="position:absolute;z-index:2517381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1" w:name="PITFIELD J."/>
            <w:bookmarkEnd w:id="111"/>
            <w:r>
              <w:rPr>
                <w:rFonts w:ascii="arial" w:eastAsia="arial" w:hAnsi="arial" w:cs="arial"/>
                <w:b/>
                <w:color w:val="000000"/>
                <w:sz w:val="30"/>
                <w:lang w:val="en-US" w:eastAsia="en-US" w:bidi="ar-SA"/>
              </w:rPr>
              <w:t>PITFIELD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reasons released August 16, 2004 ( </w:t>
      </w:r>
      <w:hyperlink r:id="rId624" w:history="1">
        <w:r>
          <w:rPr>
            <w:rFonts w:ascii="arial" w:eastAsia="arial" w:hAnsi="arial" w:cs="arial"/>
            <w:i/>
            <w:color w:val="0077CC"/>
            <w:sz w:val="20"/>
            <w:u w:val="single"/>
            <w:shd w:val="clear" w:color="auto" w:fill="FFFFFF"/>
            <w:lang w:val="en-US" w:eastAsia="en-US" w:bidi="ar-SA"/>
          </w:rPr>
          <w:t>[2004] B.C.J. No. 1689</w:t>
        </w:r>
      </w:hyperlink>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2004 BCSC 1088</w:t>
        </w:r>
      </w:hyperlink>
      <w:r>
        <w:rPr>
          <w:rFonts w:ascii="arial" w:eastAsia="arial" w:hAnsi="arial" w:cs="arial"/>
          <w:color w:val="000000"/>
          <w:sz w:val="20"/>
          <w:lang w:val="en-US" w:eastAsia="en-US" w:bidi="ar-SA"/>
        </w:rPr>
        <w:t xml:space="preserve">), I dismissed the plaintiffs' claim for damages under the Family Compensation Act,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 xml:space="preserve"> on the basis that their claim was barred by the "Refusal to Permit Blood Transfusion" signed by the deceased, Ms. Daphine Hobbs, at the time of her admission to the Chilliwack General Hospital for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As originally framed, the action named Dr. Robertson, other doctors involved with the care of Ms. Hobbs on April 15 and 16, 1996, and the Chilliwack General Hospital Society as defendants. The plaintiffs discontinued the action without costs as against all defendants other than Dr. Robertson.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the action as originally framed, the plaintiffs claimed that the requirement to sign the Refusal violated Mrs. Hobbs' Charter rights of equality, freedom of religion, and the right not to be deprived of life, liberty and security of the person except in accordance with the principles of fundamental justice. By agreement, submissions on the constitutional issues were deferred pending disposition of the action on other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parties appeared on November 15 and 16, 2004, to address the constitutional questions framed by the plaintiffs in the following terms:</w:t>
      </w:r>
      <w:r>
        <w:rPr>
          <w:rFonts w:ascii="arial" w:eastAsia="arial" w:hAnsi="arial" w:cs="arial"/>
          <w:sz w:val="20"/>
          <w:lang w:val="en-US" w:eastAsia="en-US" w:bidi="ar-SA"/>
        </w:rPr>
        <w:cr/>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Hospital subject to the Charter of Rights and Freedoms when it provides medically required services?</w:t>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Hospital's requirement that all Jehovah's Witness patients sign the Refusal violate equality rights conferred by s. 15(1) of the Charter?</w:t>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Hospital's requirement that all Jehovah's Witness patients sign the Refusal violate the freedom of religion conferred by s. 2(a) of the Charter?</w:t>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Hospital's requirement that all Jehovah's Witness patients sign the Refusal violate the right to life, liberty and security of the person and not to be deprived thereof except in accordance with the principles of fundamental justice conferred by s. 7 of the Charter?</w:t>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any violation of the Charter saved by s. 1 as a reasonable limit prescribed by law demonstrably justified in a free and democratic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questions framed by the plaintiffs are directed at the Hospital's actions in procuring the Refusal, the terms of which were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request that no blood or blood derivatives be administered to myself, Daphine L. Hobbs, during this Hospitalization. I hereby release the Chilliwack General Hospital, its agents and personnel, and the attending doctors from any responsibility whatsoever for unfavourable reactions or complications or any untoward results, which may include death, due to my refusal to permit the use of blood or its derivatives and I fully understand the possible consequences of such refusal on my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Because the plaintiffs discontinued their action against the Hospital, any claim against it in relation to the matters which are the subject of the action is moot. Any violation of the Charter alleged against the Hospital is such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None of the questions framed by the plaintiffs is directed at the issue with which this action is concerned, namely, whether the Charter of Rights may be engaged to challenge the efficacy of a release procured by the Hospital as agent for the attending doctor, Dr. Robertson, the effect of which, as I have found, was to excuse liability in tort for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circumstances where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conjunction with the deceased's refusal to accept a blood transfusion, caused or contributed to her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It is settled law that Charter rights are not engaged except to the extent that the violation alleged represents or embodies action of the state, whether by a legislative, executive, or administrative branch thereof: RWDSU v. Dolphin Delivery Ltd., </w:t>
      </w:r>
      <w:hyperlink r:id="rId625" w:history="1">
        <w:r>
          <w:rPr>
            <w:rFonts w:ascii="arial" w:eastAsia="arial" w:hAnsi="arial" w:cs="arial"/>
            <w:i/>
            <w:color w:val="0077CC"/>
            <w:sz w:val="20"/>
            <w:u w:val="single"/>
            <w:shd w:val="clear" w:color="auto" w:fill="FFFFFF"/>
            <w:lang w:val="en-US" w:eastAsia="en-US" w:bidi="ar-SA"/>
          </w:rPr>
          <w:t>[1986] 2 S.C.R. 573</w:t>
        </w:r>
      </w:hyperlink>
      <w:r>
        <w:rPr>
          <w:rFonts w:ascii="arial" w:eastAsia="arial" w:hAnsi="arial" w:cs="arial"/>
          <w:color w:val="000000"/>
          <w:sz w:val="20"/>
          <w:lang w:val="en-US" w:eastAsia="en-US" w:bidi="ar-SA"/>
        </w:rPr>
        <w:t xml:space="preserve"> at p. 598; Stoffman v. Vancouver General Hospital, </w:t>
      </w:r>
      <w:hyperlink r:id="rId626" w:history="1">
        <w:r>
          <w:rPr>
            <w:rFonts w:ascii="arial" w:eastAsia="arial" w:hAnsi="arial" w:cs="arial"/>
            <w:i/>
            <w:color w:val="0077CC"/>
            <w:sz w:val="20"/>
            <w:u w:val="single"/>
            <w:shd w:val="clear" w:color="auto" w:fill="FFFFFF"/>
            <w:lang w:val="en-US" w:eastAsia="en-US" w:bidi="ar-SA"/>
          </w:rPr>
          <w:t>[1990] 3 S.C.R. 483</w:t>
        </w:r>
      </w:hyperlink>
      <w:r>
        <w:rPr>
          <w:rFonts w:ascii="arial" w:eastAsia="arial" w:hAnsi="arial" w:cs="arial"/>
          <w:color w:val="000000"/>
          <w:sz w:val="20"/>
          <w:lang w:val="en-US" w:eastAsia="en-US" w:bidi="ar-SA"/>
        </w:rPr>
        <w:t xml:space="preserve"> at p. 506; and Eldridge v. British Columbia (Attorney General), </w:t>
      </w:r>
      <w:hyperlink r:id="rId627" w:history="1">
        <w:r>
          <w:rPr>
            <w:rFonts w:ascii="arial" w:eastAsia="arial" w:hAnsi="arial" w:cs="arial"/>
            <w:i/>
            <w:color w:val="0077CC"/>
            <w:sz w:val="20"/>
            <w:u w:val="single"/>
            <w:shd w:val="clear" w:color="auto" w:fill="FFFFFF"/>
            <w:lang w:val="en-US" w:eastAsia="en-US" w:bidi="ar-SA"/>
          </w:rPr>
          <w:t>[1997] 3 S.C.R. 624</w:t>
        </w:r>
      </w:hyperlink>
      <w:r>
        <w:rPr>
          <w:rFonts w:ascii="arial" w:eastAsia="arial" w:hAnsi="arial" w:cs="arial"/>
          <w:color w:val="000000"/>
          <w:sz w:val="20"/>
          <w:lang w:val="en-US" w:eastAsia="en-US" w:bidi="ar-SA"/>
        </w:rPr>
        <w:t xml:space="preserve"> at pp. 660-61.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this case, there is no evidence that Dr. Robertson was acting as agent of the Hospital or that he was part of its personnel in performing surgery on Ms. Hobbs. To the contrary, he was the deceased's attending doctor and an independent contractor. The Refusal provided him protection from liability and damages for harm he was unable to prevent because of his inability to resort to a therapeutic option which, if it had been employed, would have saved Mrs. Hobbs'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do not contend that actions of the Hospital as agent on behalf of the attending doctor engage the Charter. Nor, with respect, would it be open to them to do so. In performing the surgery, the doctor was not acting for or on behalf of the legislative, executive or administrative branches of the provincial government. Likewise, in procuring the release as agent for the defendant, the Hospital was acting independent of, and without direction from, the legislative, executive and administrative branches of the provincial government. There is no evidence that the legislature, executive, or any administrative branch of either had pronounced any policy with respect to the procurement and validity of releases of physicians from tort liability in such a manner as would engage the Charter. In that respect, the circumstances are materially different from those that resulted in the Charter being engaged in Eldridge,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my opinion, the issue in this case, namely whether an attending physician is liable for damages as a consequence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light of the Refusal that the deceased signed for his benefit, does not engage any provision of the Charter of Rights and Freedoms.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claim for a declaration that any Charter right conferred by s. 2(a), s. 7 or section 15(1) of the Charter of Rights and Freedoms was violated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absence of agreement the parties may speak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PITFIELD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3" style="position:absolute;z-index:2517872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28"/>
          <w:headerReference w:type="default" r:id="rId629"/>
          <w:footerReference w:type="even" r:id="rId630"/>
          <w:footerReference w:type="default" r:id="rId631"/>
          <w:headerReference w:type="first" r:id="rId632"/>
          <w:footerReference w:type="first" r:id="rId63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34" w:history="1">
        <w:r>
          <w:rPr>
            <w:rFonts w:ascii="arial" w:eastAsia="arial" w:hAnsi="arial" w:cs="arial"/>
            <w:b/>
            <w:bCs/>
            <w:i/>
            <w:color w:val="0077CC"/>
            <w:kern w:val="32"/>
            <w:sz w:val="28"/>
            <w:szCs w:val="32"/>
            <w:u w:val="single"/>
            <w:shd w:val="clear" w:color="auto" w:fill="FFFFFF"/>
            <w:lang w:val="en-US" w:eastAsia="en-US" w:bidi="ar-SA"/>
          </w:rPr>
          <w:t>Hundley v. Garnier, [2011] B.C.J. No. 596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Greyell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7-10, 13-15 and November 3-5,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4,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S074091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596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414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 R.P.R. (5th) 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 A.C.W.S. (3d) 285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783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Lucy Hundley, Plaintiff, and Susan J. Garnier and Francis J. Garnier, Defendants, and Ray Hunter and Kerrisdale Realty Limited dba Prudential United Realty,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(250 paras.)</w:t>
      </w:r>
    </w:p>
    <w:p>
      <w:pPr>
        <w:jc w:val="both"/>
        <w:rPr>
          <w:rFonts w:ascii="arial" w:eastAsia="arial" w:hAnsi="arial" w:cs="arial"/>
          <w:sz w:val="20"/>
          <w:lang w:val="en-US" w:eastAsia="en-US" w:bidi="ar-SA"/>
        </w:rPr>
      </w:pPr>
      <w:bookmarkStart w:id="112" w:name="Counsel_26"/>
      <w:bookmarkEnd w:id="11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4"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T.A. McKendrick and Q.T. Duong.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 Davison.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G. Blanchard.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3" w:name="Judgment_26"/>
      <w:bookmarkEnd w:id="113"/>
      <w:r>
        <w:pict>
          <v:line id="_x0000_s1125" style="position:absolute;z-index:25173913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May 20, 2011;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4" w:name="B.M. GREYELL J."/>
            <w:bookmarkEnd w:id="114"/>
            <w:r>
              <w:rPr>
                <w:rFonts w:ascii="arial" w:eastAsia="arial" w:hAnsi="arial" w:cs="arial"/>
                <w:b/>
                <w:color w:val="000000"/>
                <w:sz w:val="30"/>
                <w:lang w:val="en-US" w:eastAsia="en-US" w:bidi="ar-SA"/>
              </w:rPr>
              <w:t>B.M. GREYELL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February 12, 2007 the plaintiff, Ms. Hundley, entered into a contract of purchase and sale (the "Purchase Contract") to purchase property at 334 West 12th Avenue, Vancouver, British Columbia, (the "Property") from the defendants Mr. and Ms. Garnier. The Garniers refused to complete the transaction and Ms. Hundley claims damages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Garniers defend the plaintiff's claim on the basis Ms. Hundley did not tender the deposit in accordance with the terms of the Purchase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Garniers have joined, as third parties, Mr. Hunter and his employer Prudential-United Realty ("Prudential"). The defendants seek indemnification from the third parties in the event they are found liable to the plaintiff. The defendants allege the third parties were negligent, in breach of their fiduciary duty and in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Prior to the transaction which this lawsuit concerns, Ms. Hundley had been successfully involved in several real estate ventures on the west side of Vancouver over the last several decades. She currently owns an apartment building and had successfully developed a triplex on Point Grey Road. She had ultimately sold the triplex and made a good return on her investment. She has been a prudent investor, seeking out such development opportunities after careful consideration and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Hunter had been a real estate salesman with the third party, Prudential, for many years at the time of the transaction in issue. He focused his business on the west side of Vancouver and he had from time to time in the past twenty years assisted Ms. Hundley to find property with investment potential. He had, for example, advised Ms. Hundley on the purchase of the property on Point Grey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Garniers had owned the Property since 1987. It is zoned to permit redevelopment. The Garniers also had prior involvement in real estate, having bought and sold various pieces of residential property. They were looking to sell the Property and move to a quieter location, but said they were not in any particular hurry to do so. They had listed the Property for sale on three previous occasions through various real estate agents but had not received an offer acceptable to them. The last listing was dated May 26, 2006 and expired September 30, 2006. The Property was initially listed for $965,000 but the price was reduced to $945,000 before the listing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or about mid to late 2006 Ms. Hundley asked Mr. Hunter to look for another property she could develop. In the course of his search, in early 2007, Mr. Hunter identified the Garniers' Property. The Property was not listed at the time but Mr. Hunter located it by searching expired Multiple Listing Service ("MLS") listings. He found several such listings.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Hunter then drove by the properties with Ms. Hundley who expressed an interest in the Garniers' Property. She was attracted to the Property because it was 50 feet wide, had development potential and was in the area where she grew up. It was last listed at a price that she felt was within her range of affordability.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Hundley asked Mr. Hunter to find out if the owners were still interested in 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is a considerable divergence between the Garniers' testimony and that of Mr. Hunter as to what led to the defendants signing the Purchase Contract. In short, the Garniers' evidence was that Mr. Hunter induced them to enter into the Purchase Contract by falsely misrepresenting the current market value of the Property. They say he did so in order to obtain an advantageous purchase price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Garniers say Mr. Hunter failed to disclose he represented the plaintiff or that he had represented her in the past. In doing so they say he acted in breach of his fiduciary duty as their real estate agent. In the context of this last argument they say they thought he was acting in their interests only and that he did not explain to them he was acting in the capacity of a limited dual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evidence relevant to the plaintiff's allegations of breach of contract is intertwined with that related to the defendants' claims against the third parties. I will therefore review the evidence on both allegations before addressing the issues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will begin by reviewing Mr. Hunter's testimony and then that of the Garniers. Ms. Hundley's evidence is considered throughout. I will then turn to resolving the credibility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Hunter's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Hunter knocked on the door of the Garniers' residence in early February 2007. He spoke to Mr. Garnier. According to Mr. Hunter he introduced himself and told Mr. Garnier he had a client who might be interested in purchasing the Property. Mr. Garnier took his card and told him he would have his wife phone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Hunter testified Ms. Garnier phoned him later the same evening and that he told her he had someone who may be interested in purchasing the Property. She said she was not interested in putting the house back on the market but in any event she and her husband were prepared to meet with him to discuss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Hunter testified he went to the Garniers' home on February 8, 2007 to meet with Mr. and Ms. Garnier. The meeting lasted some two and a half hours. He attended with several documents in hand: a brochure titled "Working with a REALTOR" (the "Brochure"); an Exclusive Listing Contract relating to the Property on which he had filled in particulars of the Property (the "Listing Contract"); a Property Disclosure Statement and a number of MLS "feature sheets" showing comparable listings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Hunter testified he was invited to sit at the kitchen table with the Garniers. The conversation was friendly. Mr. Hunter said the Garniers told him they were unhappy with their previous realtor; they had only received one unwritten offer which they considered to be too low. They did not tell him the amount of the offer. He testified he told them his client was serious about purchasing the Property, that she had the means to do so and that she was planning to develop it. He said he told them of his prior involvement with Ms. Hundley and that he had known her for a number of years. He testified the Garniers told him they had thought about developing the Property themselves and had been to City Hall to make inquiries. Mr. Hunter said that fairly early on in the discussion, the Garniers appeared interested in selling, if they received a suitable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Hunter testified the Brochure described what a client could expect in various relationships with a realtor. He said he reviewed the Brochure with the Garniers, particularly that portion dealing with a "dual agency"; that is, where the agent acts for both the buyer and the seller. He said he told them that if they were to work with him under that arrangement, he could not share confidential information about one party with the other. He testified he told them he would be acting for them and the purchaser. He said Ms. Garnier in particular spent some time reading through the Brochure.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Hunter testified the Garniers agreed to list the Property with him that evening. They signed the Brochure. At the time of signing Mr. Hunter said he again advised them both he could not favour one party over another and that if the buyer made an offer the Garniers would have to make a decision whether the offer was 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Hunter testified he then reviewed the MLS "feature sheets" to show the Garniers the selling prices of comparable properties in the area. He left these sheets with the Garniers to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Hunter testified Ms. Garnier advised him she was appealing the 2007 property assessment on the Property which showed the Property assessed at $953,000. He said he agreed with her the Property was over-assessed and told them he would speak on their behalf at the assessment hearing to support their appeal. He testified he ultimately did not need to appear as Ms. Garnier telephoned him half an hour before the scheduled hearing to advise him she had settled the issue. The Property was ultimately reassessed at $875,000.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Hunter testified that he produced and reviewed the Listing Contract after reviewing the feature sheets and after the Garniers told him they wished to proceed with listing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stated, the Listing Contract had been prepared by Mr. Hunter in anticipation that the Garniers would agree to list the Property with him. He had accessed the Property information from the prior listing and had inserted the Garniers' names, address, and the legal description of the Property as well as annexing Schedule "A". Schedule "A" contained a provision upon which the Garniers rely in these proceedings: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Full Confidentiality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loyalty and disclosure in regard to all dealings involving the property, notwithstanding any limitations placed upon these duties resulting from the Limited Dual Agency agreed to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Hunter testified Ms. Garnier told him she did not want a long-term listing, that he suggested the Listing Contract expire on March 22, 2007, and that Ms. Garnier accepted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Hunter said he asked the Garniers what price they wanted to list the Property for and that Ms. Garnier responded $910,000. He testified there was no discussion between the Garniers about this amount and he assumed they had discussed the selling price before the meeting. He said he wrote that amount down on the Listing Contract but then, as a second thought, suggested that as there had been a sale in the area at that amount perhaps the Property should be listed at $920,000. He said the Garniers agreed. He then hand-wrote a "2" over the "1" on the $910,000 he had previously written to reflect the listing price of $920,000.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Garniers signed the Listing Contract that evening. Mr. Hunter testified he and the Garniers also discussed but did not sign the Property Disclosure Statement that evening. Mr. Hunter testified he was concerned about oil tank and environmental issues. He told the Garniers he did not want there to be any surprises. He said the Garniers told him they were not aware of the presence of an oil tank. He said when he advised them there was legislation requiring the removal of oil tanks not in use, Mr. Garnier told him they did not want to be responsible for the removal of a tank if there was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Hunter testified that upon leaving his meeting with the Garniers he told them he hoped the Listing Contract would lead to an offer; if it did not, perhaps they would consider putting the Property on MLS. He testified Ms. Garnier responded that they would not accept a price lower than $900,000.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Hunter testified he telephoned Ms. Hundley the following day and asked her if she would be prepared to make an offer for the Property. She first wanted to see the Property so arrangements were made for her to do so on February 11, 2007. She and members of her family attended the Property. Both Mr. Hunter and Ms. Hundley testified Mr. Garnier was present and showed them through the house. Ms. Hundley was introduced to him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Hunter testified that after viewing the Property he left Ms. Hundley to think about matters. He said she telephoned him that evening and told him she was "definitely" interested. The two made arrangements to meet the following evening, February 12,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Mr. Hunter testified that in advance of the meeting he prepared information for Ms. Hundley which included sales figures for residential units in newly developed properties in the area, a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xml:space="preserve"> statement outlining potential development costs, a potential profit scenario which could occur from development of the Property and several MLS listings showing recent sales in the area. He also printed up a blank form of offer with various subject clauses he thought would be appropriate. He made three copies of the offer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Hunter said he also brought a copy of the Brochure to the meeting and that he reviewed it with Ms. Hundley. He said he explained to her that although they knew each other and he had acted for her in the past, he would not be showing any favouritism or divulging any information to her, particularly about the pricing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Hundley signed the appropriate portion of the Brochure acknowledging she understood its contents as well as a Limited Dual Agency Agreement (the "Agency Agreement") consenting to Mr. Hunter and Prudential acting for both her and the Garniers. Mr. Hunter testified that when she had signed this form he advised Ms. Hundley he had a listing for the Property and that the Garniers were asking $920,000. Following discussion with family members present Mr. Hunter said Ms. Hundley told him she was prepared to offer $912,000 for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Hunter testified he made no recommendation to Ms. Hundley about the amount she should offer except to tell her he thought the Garniers would not accept $912,000. He testified Ms. Hundley maintained that was the amount she was prepared to offer. Ms. Hundley testified to the same effect. She said she determined the amount she would offer without advice from Mr. Hunter.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Hunter then prepared, and Ms. Hundley signed, an offer in that amount (the "Offer"). The Offer provided for a deposit in the amount of $30,000 with $1,000 payable upon acceptance, and the balance on removal of the subject clauses. The completion date was April 2, 2007; the adjustment and possession dates were April 3, 2007. Ms. Hundley provided Mr. Hunter with a personal cheque in the amount of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Offer was made subject to the buyer searching title, confirming the zoning was RT-6 and that the Property was eligible for a certain building-to-floor space ratio, reviewing and approving the Property Disclosure Statement, and having the Property inspected for the presence of an oil tank. In this latter respect, the Offer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Buyer reserves the right to have the site inspected on or before 23rd Feb 2007. Should said inspection of the property reveal the presence of an oil tank[s] the Seller shall have said tank[s] removed prior to Completion by a licensed environmental services contractor, together with any remedial action required to meet accepted environmental standards; in accordance with City of Vancouver Environmental and Fire Protection By-laws, with appropriate documentation being presented to the Buyer. Upon Completion the Seller shall be relieved of any further responsibility in this regard. This Subject is for the Sole Benefit of the Buyer.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Hunter testified that when he prepared the offer form before meeting with Ms. Hundley, in that portion of the form relating to "Agency Disclosure" (clause 20) he left in both sub-clause B (which provided that the buyer had an agency relationship with Prudential and himself) and sub-clause C (which provided that both the buyer and the seller had consented to a dual agency relationship with himself and Prudential). He struck out and initialled sub-clause B after discussing the dual agency relationship with Ms. Hundley and obtaining her agreement to that relationship. As noted, Mr. Hunter testified the Garniers had agreed to him acting in such a capacity at his earlier meeting with them, but he had not yet presented them with an offer. He said that until he had an offer, it was not necessary for him to present them with the Agency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Hundley's Offer of February 12, 2007 was delivered by Mr. Hunter to the Garniers at a meeting he arranged at their residence on February 13, 2007. Mr. Hunter testified the meeting started on a friendly basis with the parties completing and signing off on the Property Disclosure Statement. Mr. Hunter testified he then reviewed the Offer page by page with the Garniers. He testified he advised them he had the $1,000 deposit. They discussed the various dates for completion, adjustment and possession. The dates were acceptable to the Garniers.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Hunter testified both Mr. and Ms. Garnier spent some time reading the clause relating to their liability in the event of an oil tank being found. Mr. Hunter said he explained similar clauses were contained in virtually all purchase and sale contracts for residential property and that legislation placed the burden of removal of unused oil tanks and cleanup costs on the owner. He said he told them the current cost of removal was approximately $2,000, excluding remedial cleanup. He suggested to them they counter-offer with a clause limiting their liability (the "Counter-Offer"). He said Ms. Garnier suggested $5,000 and accordingly he wrote an addition to the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Except that should an underground tank be discovered the sellers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liability shall be limited to $5,000 including tank removal and any required remedial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Hunter testified the Garniers appeared content with the balance of Ms. Hundley's Offer. There was no discussion about price. The Garniers signed three copies of the Offer, at which time it became the Counter-Offer.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Hunter said before they left the house they did discuss the pending assessment appeal. He said Ms. Garnier advised him someone from the BC Assessment Authority (the "Authority") had been through the house and in all likelihood the Authority would be looking favourably at a reassessment. She advised him if she did not need him to appear on their behalf, she would phone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Garniers' Counter-Offer was accepted by Ms. Hundley later that day and became the Purchase Contract. The purchase price of the Property was $912,000. The completion date of April 2, 2007 was subsequently amended to May 2, 2007, at the Garniers' request. Ms. Hundley was flexible as she did not intend to reside on the Property while it was being redeveloped. In any event she was aware it would take some time to obtain the necessary permits from the various agencies at City Hall.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Several days later, Mr. Hunter said he received a telephone call from Ms. Mindy Jong who advised him she was the solicitor for Mr. and Ms. Garnier. Ms. Jong had, at the Garniers' request, reviewed the Purchase Contract. She said the Garniers had asked her to follow up with Mr. Hunter as to the intent concerning the oil tank clause. Following the telephone discussion Ms. Jong faxed Mr. Hunter a letter on February 21, 2007 "to clarify" the intent of the clause. She included a revised clause which had been signed by the Garniers and asked Mr. Hunter to have it executed by Ms. Hundley and to deliver a signed copy to the Garniers.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Hunter then met with Ms. Hundley who by this time had had the Property inspected and found there to be no oil tank present so she was not concerned with the content of the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February 22 Ms. Hundley signed the revision concerning the oil tank and an addendum removing all subject clauses. Mr. Hunter faxed the documents to Ms. Jong on that date. On the same day, Ms. Hundley provided Mr. Hunter with a bank draft for the balance of the deposit in the amount of $29,000 payable to Prudential. In the fax, Mr. Hunter advised Ms. Jong "[a] bank draft for the deposit increase of $29,000 has been received and handed in to my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Hunter attended the Garniers' house that evening and gave them copies of the documents including the subject removal notice signed by Ms. Hundley. Ms. Hundley had asked for access to the house to allow her architect and builder to view the Property. Ms. Garnier agreed but sought 24 hours' notice. These addendums were written by Mr. Hunter and signed by the Garniers and the next day by Ms. Hundley.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At the beginning of March 2007 Ms. Garnier requested that she and her husband be able to rent back the house for a period of time. Ms. Hundley was prepared to do this. As stated it would take her some time to get her plans through the approval process with City Hall.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Hunter testified that he offered to assist the Garniers find another residence. They had indicated to him they would be looking in the Cambie Street corridor and in the $900,000 price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Garniers did not take him up on his offer to assist them. He testified he did set up a meeting with Ms. Garnier at their house for March 19, 2007 to discuss the matter. In the late afternoon of that date, however Ms. Garnier phoned him and told him Mr. Garnier was "quite upset" and perhaps they could meet later in the week. Mr. Hunter testified when he returned to his home later that day, his wife advised him he had received a telephone message from a man who had been shouting and "vitriolic". Mr. Hunter said he listened to the message and determined it was from Mr. Garnier. He said he could not understand why Mr. Garnier would be upset as their relationship had been a good one to this point. He phoned the Garniers' residence but was unable to get through. He phoned several days later and spoke to Ms. Garnier. He testified she sounded cool toward him, that her attitude appeared to have changed. She advised him she and Mr. Garnier had been out looking for property and had not been able to find anything. He said she told him they felt they had sold the Property for too low a price. Mr. Hunter testified this was the first hint he had from the Garniers of any dissatisfaction with the sale price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He testified that several days later he received a very agitated and "volatile" telephone call from Mr. Garnier. He testified he had little opportunity to say anything during the call. Mr. Garnier was very upset; he could not find another house and thought the Property should have sold for several hundred thousand dollars more than it had. Mr. Hunter said he let Mr. Garnier 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Several days later Mr. Hunter received a telephone call from Mr. Pahud, a sales manager with Prudential. Mr. Pahud testified Mr. Garnier phoned him to complain about Mr. Hunter and that he was "unhappy about the price he received" for the Property. Mr. Pahud told Mr. Hunter he had advised Mr. Garnier he would look into the issue and get back to him. He asked Mr. Hunter to come into the office. Mr. Hunter said he reviewed the file with Mr. Pahud and that Mr. Pahud said he found nothing unusual in the manner the file had been conducted. He asked Mr. Hunter to update his evaluation of the Property and to provide a copy to Mr. Garnier.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Hunter testified he called Mr. Garnier on April 2, 2007. Again he said Mr. Garnier shouted at him advising him it was his property and he could sell it for $1.6 million. Mr. Hunter said he tried to remind Mr. Garnier that $912,000 was the highest sale price on West 12th during this time. Mr. Hunter was asked in direct examination if that remained so (to the date of the trial). He responded that the sale price was the highest historical sale price in this area of West 12th Avenue until April 2010 when there had been a sale of a "superior" property. Mr. Hunter said he was able to calm Mr. Garnier down. The two agreed that Ms. Garnier would telephone Mr. Hunter. He did not hear from her. This was Mr. Hunter's last contact with either of the Garniers. Mr. Hunter testified that following his April 2nd call to Mr. Garnier, he put a package together of some 43 current listings in various areas of Vancouver and the North Shore within the price range given to him by the Garniers. He also included a list of all homes sold in their area over the previous 15 months to demonstrate the price they were receiving from Ms. Hundley was a good one. He wrote an accompanying letter to the Garniers on the same date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seem your unhappiness has manifested itself within the last fifteen days or so, and I can't help but feel that had you found a property you wanted to buy in the first few weeks you would have continued to be satisfied. That would have been ideal, but from a profession point of view I have to advise that most Buyers spend much more time than that finding the right home.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far as the price you agreed to sell your home at is concerned I have included a list of all the homes that have sold in Mt. Pleasant in the past 15 months, of which there were 13 in total. All of the homes that sold on W. 12th were included in our discussions and are included again here. I have pointed out that the sale of 215 W. 12th, at $879,000 took place on the 30th December, 2006, only six weeks before your Contract. I stress again, that your sale at $912,000 is the highest price on W. 12th in this time frame.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Regardless of how you search for a home I do need your response in a couple of areas. The Contract calls for Completion on the 2nd May, i.e. one month from now. As it stands you have a verbal understanding to rent back the house on a month to month basis, but there is nothing in writing to confirm this. For the protection of both parties and to avoid any later misunderstandings, it is usual for the current owner and the buyer to have a standard rental agreement in place in this scenario. I have included the standard rental agreement form as given to me by Mrs. Hundley. Can you advise me whether you still wish to rent the home back? If you do I would recommend having that option put in writing, for as it stands right now legally you must give up vacant possession on the 3rd May. If you have any doubts here you may wish to give Mindy Jong a call.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Secondly, I have had a call from Mrs. Hundley asking if she can have access to the house at around 3:00 p.m. this Wednesday to have an Architect look at the house. Can you give me a call tonight to advise me on this? If this is not convenient can you give me another time I can go back to her with?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conclusion, regardless of your current frustration, I wish you to know that I have endeavoured to do my best for you and will continue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Hunter first showed the letter to Mr. Pahud and Mr. Tidder, another managing broker at Prudential. He then took it to the Garniers' residence. There was no answer at the door when he knocked. He left the letter and material in their mailbox.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Hunter testified that about this time he had received a request from Ms. Hundley to approach the Garniers for permission to allow her architect to inspect the Property. Mr. Hunter had advised her Mr. Garnier was upset and believed he had sold at too low a price. She asked him if he thought they would complete the conveyance and he said he told her he had no indication they would not complete and she should assume they would. At or about the same time Mr. Hunter had a similar conversation with Ms. Morin, the notary public retained by Ms. Hundley to represent her on the conveyance.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At various stages thereafter Mr. Hunter tried to contact the Garniers without success. During the negotiation of the Purchase Contract he had been able to contact them by telephone or by leaving a message on their answering machine. He was not able to do so after about mid-March 2007. Neither answered the telephone when he called and their answering machine appeared to be turned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Hunter delivered a further letter to the Garniers on April 14 advising them he had been trying to call them but had not been able to get through and their answering machine was turned off. He wrote,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to address a couple of issues for which I need your reply.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you left a message on Steve Tidder's voice mail on the 2nd April, indicating you were going to speak with your Lawyer, we haven't heard anything. I called Mindy Jong's office yesterday but was advised she is away for a few days.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Hundley would really like to know the answer to the question I posed in my letter of the 2nd April, which is, are you intending to rent back the property after the 3rd May. If you have changed your mind and have made other plans, that's fine, but as a courtesy she would like to know so she can act accordingly. If you still wish to stay it is in your best interests to let her know quickly. All I need is for you to call me either way, so I can advise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it is necessary to address both these areas I would appreciate it if you could call me as soon as you can, so we can conclude them reasonably quickly, one way or the 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Either way, please call me later today or early Sunday.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He did not receive a response to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Garniers'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turn next to the evidence given by the Garniers. I start with the evidence of Ms. Garnier as she was more fluent in the English language and appeared to have more knowledge of and say in their real estate affairs than did Mr. Garnier. Mr. Garnier was away for substantial periods of the year working in Ft. Nelson and during the spring months of 2007 was taking a course at a local educational institute and away from home in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Garnier testified she and her husband were interested in selling their house but were in no hurry to do so. They were looking for a house on the west side in a quieter location. They had listed the Property in 2006 but had only received one unwritten offer. She did not remember the amount but did recall it was over $900,000.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stated, her evidence differed substantially from that of Mr. Hunter and in some respects differed from that given by Mr. Garnier.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At the meeting of February 8, 2007 Ms. Garnier testified Mr. Hunter told both her and her husband that if they listed the Property with him he would get them the best price possible. She thought he suggested they give him an exclusive listing.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Garniers testified that at no time did Mr. Hunter advise them he had a person interested in purchasing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Garnier testified that at the meeting Mr. Garnier wanted to list the Property at $960,000 but Mr. Hunter suggested they start at $900,000. She testified Mr. Hunter advised them that once the listing went onto the MLS there would be multiple offers which would drive the price higher. She testified he said he would list the Property on the MLS and advertise it on his website. In cross-examination Ms. Garnier acknowledged she was aware she and her husband had signed an exclusive listing agreement with Mr. Hunter and that it was different from the MLS forms they had signed with agents when they had listed the Property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Garnier agreed her husband suggested to Mr. Hunter they start with a listing price of $910,000 and once the Property was on the market, "the market will decide". She said she felt Mr. Hunter was a professional and that he would work for them. She testified that "before going down the front stairs of their residence Mr. Hunter changed the listing price in the Listing Contract from $910,000 to $920,000. Ms. Garnier testified there was no discussion at the meeting about the Brochure. She said she read the Brochure and signed it because he "told us to". She testified she thought the Property would be listed on the MLS. She said there was no discussion with Mr. Hunter that he represented a potential purchaser of the Property. It was not mentioned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Garnier testified that the following day Mr. Hunter telephoned her and said he would like to have an open house on Sunday, February 11. She consented.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On that date she said she saw five people come through the house with Mr. Hunter. She was not introduced to them but following the open house she testified Mr. Hunter advised her he expected to receive an offer. She said he telephoned the following day and told her he would like to come over to present an offer. As she and her husband were tied up that day they arranged to meet him February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Garnier described the meeting of February 13 as being a lengthy one. She said they discussed the oil tank issue and the price. She testified Mr. Garnier told Mr. Hunter the price was too low and that Mr. Hunter responded that the Offer was a very good one; that they should not make a counter-offer because the real estate market had taken a considerable drop. She said Mr. Hunter said nothing about Ms. Hundley or his business relationship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She testified that subsequent to the Purchase Contract being signed, on the day the premises were being inspected for the presence of an oil tank, Mr. Hunter asked her to sign the Agency Agreement. She said he told her that now that he was also acting for Ms. Hundley he needed legally to get both parties to sign. She said she signed it and Mr. Hunter asked her to get Mr. Garnier to sign when he returned home and that he would pick it up that evening. She said Mr. Hunter did tell her that day that Ms. Hundley intended to develop the Property but that he never did tell her or her husband about the prior business relationship he had with her. She said she found this out coincidentally from family members. Had she known Mr. Hunter and Ms. Hundley had a close business relationship she said she would have recognized he could not be fair to them or represent their interests and would not have given him the listing.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Garnier testified she and her husband had not received proof the deposits had been paid until after commencement of the lawsuit. She said that because they did not trust Mr. Hunter they made many requests for proof the deposits had been made under the terms of the Purchase Contract. She testified it was important to confirm the deposits had in fact been made so she and her husband could be sure Ms. Hundley would complete the transaction as they were looking for alternate premises in West Vancouver and could not afford to own two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She testified that in early March 2007 when searching MLS they found the Property was not listed and that the housing market was rising, not falling as represented by Mr. Hunter. She said when they pressed Mr. Hunter to produce evidence of the deposits he responded by telling them Ms. Hundley was having second thoughts about buying the Property; that she felt she had paid too much for it. She said he never responded to her or her husband's many requests for proof the deposits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Garnier testified that her husband made several phone calls to Prudential to complain about Mr. Hunter's conduct and try to find out if the deposits were made. He did not hear back. The only response they got was that Mr. Hunter dropped off a number of listings in their mailbox. Ms. Garnier testified she wrote two letters to Mr. Hunter, one dated March 19, 2007 and the other April 4, 2007. She said she also wrote a letter to Ms. Hundley on April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the March 19 letter to Mr. Hunter she made a number of points: that she still had not heard from him regarding the two deposits; that his manager had told them the office had no record of the deposits and that Mr. Hunter had not "even given him our file"; that he had promised to list the Property on MLS; that he had not disclosed his relationship with Ms. Hundley; that he had misrepresented to them that property values were decreasing drastically and would decline further; that he had not given them adequate time to read the Purchase Contract; and that he had only given them one month to give up possession. She closed her letter by quoting the section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dealing with the offense of false pretences, and warned him not to trespass on the Property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last two paragraphs of the letter of April 4, 2007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recently sent us listings of properties in Burnaby and East Hastings, totally out of the areas we discussed prior to giving you the listing. You know we wanted a property on the Westside, you suggested Kerrisdale and that you could get us a property on a quite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street, newer and for a lower price, now you think that the eastside or Burnaby would be appropriate for us. After finalizing the contract of purchase and sales for your friend, all of a sudden our property is worth a lot more, you even argued that the rent you should charge us should be over $1,700 per month, as you checked the area for comparable rental units. You still have not responded to our letter dated 19 March, 2007 with regards to our concerns and the two deposits which were to be made by the Buyer according to the terms of the Contract of Purchase and Sales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Enclosed is the signed rental agreement, unless you are willing to provide us with concrete proof about the two deposits, please do not harass us anymore.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letter to Ms. Hundley of April 4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Enclosed is a copy of the Rental Agreement that was sent to Raymond Hunter. Ray informed us that you do not want to have any contact with us. We find this unusual as we have not met or spoken to you. We understand from Ray that you are a busy businesswoman who has several properties in Vancouver, the Sunshine Coast and Vancouver Island, being a business woman you will agree that this is a business transaction and we need concrete proof that the two deposits were made by you on the dates, according to the term of the Contract of Purchase and Sale Agreement. We have requested Ray for this several times but he keeps ignoring us, can you please send us copies of the two deposits as soon as possible so that we can go ahead with the search and purchase of our future home/property.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would also like you to inform your friend Raymond Hunter not to trespass on our property until after you get possession. We will be taking action against Raymond Hunter as we feel he acquired the Contract under false pretence.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Hunter testified he did not receive Ms. Garniers' two letters. Ms. Hundley testified she did not receive the letter of April 4. I will return to this issue later in this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Garnier testified she telephoned Mr. Hunter on April 9, 2007 and advised him the transaction was cancelled and that Mr. Garnier had advised Ms. Jong in early April to the same effect. Mr. Hunter denied Ms. Garnier advised him the transaction was cancelled and Ms. Jong, when testifying, did not confirm Ms. Garnier's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During this period, Mr. Hunter says he delivered the April 14 letter to the Garniers, quoted above, indicating that he had not been able to reach them and asking that they confirm their desire to rent back the Property following closing. While I will deal with Ms. Garnier's credibility later, I note here that it is incongruous that Mr. Hunter would have written such a letter had he been advised on April 9 that the Garniers were repudiating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On April 21 Ms. Garnier authored a letter in Mr. Garnier's name to Mr. Oppal, the then Attorney General of British Columbia. (She testified Mr. Garnier wrote the letter and she corrected it.) The opening paragraphs are significant: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we signed the document of sale of our house, we realised that we were mislead by the broker into the real value of the property on 334 West 12th Avenue, Vancouver and informing us that BC assessment authority had over assessed our property by over 47%.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took the step to consult a lawyer to cancel the contract but the lawyers told us that the contract is binding and cannot be undone.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disagree, and because of this law, we are forced to sign the final deal.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as soon as this is done, we intend to sue Lucy Hundley and Ray Hunter in the BC Supreme Court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balance of the letter goes on to recite the Garniers' complaints that Mr. Hunter did not "present the true value of our property", that he had not fairly represented them but had worked exclusively for Ms. Hundley by misrepresenting himself, and that he had trespassed on the Property. They asked Mr. Oppal to look into the matter and suggested the law be rewritten to protect parties from "unscrupulous" brokers such as Mr. Hunter. A copy of the letter was sent to the Real Estate Council of B.C., Mr. Hunter and Ms. Hundley. Both Mr. Hunter and Ms. Hundley acknowledged receiving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turn to Mr. Garnier's evidence. Mr. Garnier was considerably less clear in his recollection of the February 8, 2007 meeting than was Ms. Garnier. He testified he did recall Mr. Hunter telling them the market had fallen and that they should put a low price on the Property until they got an offer. He testified Mr. Hunter suggested a price of $920,000 and that they wait until an offer came in and "we will see how it goes" and that the price would go up. He did not recall much else of the discussion. He did not remember Mr. Hunter discussing the Brochure and did not recall signing the Listing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Garnier did recall Mr. Hunter coming back to their residence on February 13, 2007. Again his recollection of the meeting was poor. When asked about the Counter-Offer he signed, he testified "we just signed the agreement and that's it". When asked in direct examination why he signed the Purchase Contract if he felt the price was too low, Mr. Garnier responded that Mr. Hunter told them prices were coming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Garnier said Mr. Hunter did not discuss the Agency Agreement with them until the meeting of February 13 when Mr. Hunter advised them he also wanted to work with Ms. Hundley. Mr. Garnier acknowledged signing the Agency Agreement. He testified Mr. Hunter had given him and his wife no information about the plaintiff, Ms. Hundley. He testified he "strongly" felt the Purchase Contract was obtained by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Garnier also testified he and his wife intended to buy another property in West Vancouver when they moved. They made an offer on a property but were unable to pursue the offer because they did not have confirmation the plaintiff's first deposit had been paid. In his mind it became what he called a "critical point" because he did not know if the Purchase Contract with Ms. Hundley was binding and he could not guarantee to the West Vancouver vendor they would ultimately have the money to complete that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Garnier testified that a few days after the Purchase Contract with Ms. Hundley was signed he asked Mr. Hunter about the first deposit. He said he and his wife wrote a letter to Prudential on March 19, 2007 and that Mr. Hunter did not respond. He said he asked Ms. Jong about the status of the first deposit and she was to take it up with Mr. Hunter. He said he recalled raising this with her about April 18, 2007 when he went to see her about the language in the Purchase Contract concerning the oil tank. He testified Ms. Jong was not successful in obtaining an answer from Mr. Hunter. In this regard he was clearly wrong as the oil tank addendum drafted by Ms. Jong was signed on February 21 and 22,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Additional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After Mr. Hunter provided Ms. Hundley with the Purchase Contract and she had removed the subject clauses, Ms. Hundley retained a notary public, Ms. Marny Morin, to represent her in closing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Morin received instructions from Prudential on March 21, 2007 setting out particulars of the transaction including the parties, the property purchase price, the adjustment, completion and possession dates, and the details of the deposits received by them from Ms. Hundley. At the same time she was advised that the Garniers' lawyer for the transaction was Ms. Jong.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Morin then did the necessary searches and prepared the conveyancing documents including the Statement of Adjustments. She made arrangements with Ms. Hundley to have the funds required on completion paid into her trust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As related above Ms. Hundley had been informed by Mr. Hunter that the Garniers were unhappy with the price they were being paid for the Property and that he was having difficulty contacting them. As a result of the information passed on to her by Mr. Hunter, on April 11, 2007, Ms. Hundley left a message with Ms. Morin's office to give her a "heads up". Ms. Hundley did not know what to do and asked Ms. Morin to call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Morin testified it was her view that if there was going to be a problem she should find out as soon as possible. She accordingly completed the documentation necessary for completion and forwarded it to Ms. Jong by fax the same day. Ms. Jong responded by fax the next day advising that the Garniers had not retained her to act for them with respect to closing the transaction. She advised Ms. Morin that accordingly she would not be dealing with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Morin endeavoured on several occasions over the next two days to contact the Garniers by telephone but there was no answer. She said she was unable to leave a message. She spoke with Mr. Hunter who she said was surprised Ms. Jong was not retained. He told her he would go to the Garniers' house to talk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On April 17 Mr. Hunter received a letter faxed to him by solicitor Allan Coombe advising him that Mr. Coombe was acting for the Garniers "in connection with the sale" of the Property. The letter also said "[w]e are advised by our client that they intend to rent back the Property until June 30, 2007." Mr. Hunter advised Ms. Morin that Mr. Coombe was now acting for the Garniers.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On April 20, 2007 Ms. Morin faxed a three-page letter to Mr. Coombe containing the conveyance documents and various undertakings necessary to complete the transaction. The letter was very similar to that sent to Ms. Jong.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On or about April 21, 2007 Ms. Hundley received a copy of the letter the Garniers sent to Mr. Oppal. She took from the letter that the Garniers intended to complete the transaction but then intended to sue her. Ms. Hundley had been prepared to rent the premises back to the Garniers, however, given the Garniers' intention to sue her she was no longer prepared to rent back the Property to them. Ms. Hundley testified she sensed trouble.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Hundley expressed her concerns to Ms. Morin. Ms. Morin then telephoned Mr. Coombe and told him that in view of the letter her client was no longer prepared to rent the Property back to the Garniers. She said she would fax a new Statement of Adjustments as the one sent earlier had included a rent-back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On April 27, Ms. Morin faxed a letter to Mr. Coombe confirming their telephone call. The letter read,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light of the threats made by your client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my client is now unwilling to allow your clients to remain in the property until the end of June. It is clear from this letter that your clients intend to sue my clients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and my client is justifiable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concerned that your clients may refuse to vacate on or before June 30th as agreed.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our opinion that the contract is valid and binding as written. The tenancy is not a term of the contract, but a verbal concession by my client. The contract provides for my client to have access to the property on 24 hours notice and your clients have denied any such access.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discussed, please let me know the correct amounts for the existing tenant's security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On May 1, 2007 she again faxed a note to Mr. Coombe which read,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not yet received the seller's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documents. Since closing is tomorrow, May 2nd, please return the executed Transfer to us before 10:00 a.m. on May 2nd,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Later on the same day, Mr. Coombe telephoned Ms. Morin and advised her he had not been retained by the Garniers to do the conveyance. He confirmed in a message he subsequently faxed to 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confirm our telephone conversation in which we advised that Mr. Garnier will not be using our firm in connection with this matter. He has advised us that he will be using Mindy Jong for all further legal work, who I believe you may have had prior contact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Morin then responded in a letter to Mr. Coombe of the same date with a copy to Ms. Jong: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confirm that you have all of the documents required to be signed by the seller. We further confirm that the buyer has now deposited all of her cash required to close (less new mortgage proceeds) into our trust account; that she has signed all of the relevant documents to complete; and we are advised that the new lender will fund the new mortgage upon registration of its security. Or client is, therefore, ready, willing and able to complete in accordance with the terms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Jong responded the same afternoon by sending Ms. Morin a copy of her letter of April 12, 2007 in which she had advised she was not retained to act on the closing of the conveyance.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Ms. Hundley remained ready, willing and able to complete the transaction and advised the defendants of this fact. She held her closing funds in trust until December 12, 2008 and her deposit in trust until August 16, 2010 when counsel for the Garniers agreed it could be released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sale did not complete and this action was commenced on June 14, 2007. The plaintiff filed a caveat against the Property on May 3, 2007. Subsequent to commencement of the action the plaintiff indicated she no longer wished to pursue the remedy of specific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It is first necessary to resolve various credibility issues arising from the conflicting testimony of the parties, most notably between the evidence given by the Garniers and Mr. Hunter. As noted above, there is a wide disparity in their evidence as to what occurred during the meetings leading up to the signing of the Purchase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In assessing the credibility of the parties I have applied the well-known test described by Mr. Justice O'Halloran in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(1951), </w:t>
      </w:r>
      <w:hyperlink r:id="rId471"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at 357, </w:t>
      </w:r>
      <w:hyperlink r:id="rId471" w:history="1">
        <w:r>
          <w:rPr>
            <w:rFonts w:ascii="arial" w:eastAsia="arial" w:hAnsi="arial" w:cs="arial"/>
            <w:i/>
            <w:color w:val="0077CC"/>
            <w:sz w:val="20"/>
            <w:u w:val="single"/>
            <w:shd w:val="clear" w:color="auto" w:fill="FFFFFF"/>
            <w:lang w:val="en-US" w:eastAsia="en-US" w:bidi="ar-SA"/>
          </w:rPr>
          <w:t>[1952] 4 W.W.R. (N.S.) 171</w:t>
        </w:r>
      </w:hyperlink>
      <w:r>
        <w:rPr>
          <w:rFonts w:ascii="arial" w:eastAsia="arial" w:hAnsi="arial" w:cs="arial"/>
          <w:color w:val="000000"/>
          <w:sz w:val="20"/>
          <w:lang w:val="en-US" w:eastAsia="en-US" w:bidi="ar-SA"/>
        </w:rPr>
        <w:t xml:space="preserve"> (B.C.C.A.):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witnesses, particularly in cases of conflict of evidence, cannot be gauged solely by the test of whether the personal demeanour of the particular witness carried conviction of the truth. 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 Only thus can a Court satisfactorily appraise the testimony of quick-minded, experienced and confident witnesses, and of those shrewd persons adept in the half-lie and of long and successful experience in combining skilful exaggeration with partial suppression of the truth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There are a number of reasons for which I conclude that where there is a conflict, I must accept Mr. Hunter's evidence over that of Mr. or Ms. Garnier. In many instances the Garniers' evidence was inconsistent with their actions in the winter and spring of 2007 and with the circumstances existing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Garnier is a heavy duty mechanic. While his first language is French he did not require an interpreter when giving his evidence in English. He works in Ft. Nelson for over one-half of each year. Ms. Garnier handles most of their business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Ms. Garnier has taken business and auditing courses at U.B.C. She has 17 years' experience in controller/audit administrative and accounting duties. Ms. Garnier had most of the dealings with the realtors regarding the prior listings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conclude from the evidence and the manner in which they gave their evidence that Mr. and Ms. Garnier are not unsophisticated parties. As had Ms. Hundley, the Garniers had been involved in a number of real estate transactions prior to the transaction at issue in this case. They had purchased a house in North Vancouver, an apartment building in Burnaby and a residential triplex in Vancouver before buying the Property on West 12th in 1987.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They had listed the Property for sale on three prior occasions: in April 2000 for $479,900; on December 9, 2005 for $880,000 which they reduced to $860,000; and on May 26, 2006 for $965,000 which they gradually reduced to $945,000. The last two listings were each for approximately three months' duration and they had not received any written offers under any of the previous listings. Each listing was an MLS listing utilizing the services of a real estate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evidence they gave in this case belies this experience. In essence, the Garniers ask the Court to accept that they relied entirely on Mr. Hunter to set the price for which the Property would be listed, signed documents at his behest without reviewing them and, ultimately, that they accepted a price significantly lower than what they thought the Property was worth on his word. I find that much of their evidence is improbable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evidence of both Mr. and Ms. Garnier is also at odds with that of many of the other witnesses called in this case. I turn to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have already outlined the stark differences in the testimony given by Mr. Hunter and the Garniers. Each, of course, has a self-interest in the outcome of the case. The parties' evidence must be measured carefully to ensure it corresponds with common sense, the evidence of non-interested parties and the surrounding circumstances, before being accepted. Further, considerable time has passed between February 2007 and the date of trial. It is natural that the memories of witnesses will diminish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Ms. Jong gave evidence as an adverse witness. The defendants did not object to her giving evidence or to the nature of her evidence. Ms. Jong testified that when she was retained she believed she would be representing the Garniers on the conveyance. She said that when she received Ms. Morin's letter with the closing documents on April 12, 2007 she contacted the Garniers and asked them to come in and sign the documents. They told her they did not want her to close the transaction. Ms. Jong advised Ms. Morin she was not retained to act on the conveyance.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Ms. Jong also testified she was originally contacted by Mr. Garnier concerning the oil tank addendum. She testified she did not recall Mr. Garnier asking her to inquire into whether the $1,000 deposit had been made. She said if such a request had been made she would have a record of it on her file. She also agreed it would have been a simple matter of looking at the statement of adjustments she received from Ms. Morin to determine if the deposit amount was accounted for. In cross-examination she said she did recall Mr. Garnier telling her he believed Mr. Hunter did not represent the true market value of the Property to him and his wife and that he believed Ms. Hundley and Mr. Hunter were "in cahoots" with one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Ms. Jong's evidence is in direct conflict with that of both Mr. and Ms. Garnier that they requested she look into whether the first deposit was made so they could make an offer on the West Vancouver property with assurance the conveyance of the Property would proceed. While Ms. Jong did not create a file, as she was ultimately not retained to do the conveyance, it is likely she would have a note in the records she did retain of any instructions given to her to determine whether the deposits had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Ms. Jong testified that shortly after she received the documents from Ms. Morin she received a telephone call from another solicitor, Mr. Coombe, advising her that he was now acting for the Garniers on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Coombe was also called as an adverse witness, again without objection by the defendants. He testified he was retained by the Garniers in April 2007. He said he believed he was retained by the Garniers to act for them on the sale of the Property. He acknowledged sending the letter of April 17 to Mr. Hunter to that effect and said he received instructions from Mr. Garnier regarding renting back the Property until June 30, 2007. Mr. Coombe destroyed his file in 2009 but believed he received the April 20 letter from Ms. Morin containing the closing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While he had no recollection of being asked by the Garniers to determine if the first deposit had been made, Mr. Coombe also agreed one would be able to confirm whether the deposit had been made by looking at the statement of adjustments.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Coombe did not recall when Mr. Garnier told him he was not to act on the conveyance but agreed it was some time after April 27, 2007. He testified that after he advised Ms. Morin he was not acting, he assumed Ms. Jong would be. He thought he recalled Mr. Garnier telling him Ms. Jong was to do the conveyance. He agreed in cross-examination he may have misunderstood the nature of his retainer and that he was not to act on the conveyance; that Ms. Jong was. He recalled Mr. Garnier being upset Mr. Hunter was trespassing on the Property and claiming that Mr. Hunter had misrepresented the price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Again, Mr. Coombe did not recall Mr. Garnier advising him he was concerned about whether the deposits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conclude from Mr. Coombe's evidence that he advised Ms. Morin that the Garniers wished to rent until June 30 because he was instructed by Mr. Garnier to do so. I also conclude the Garniers instructed him in this regard because they wanted Ms. Morin and Ms. Hundley to believe they intended to complete the conveyance on May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Both Mr. Pahud and Mr. Tidder testified that while each recalled Mr. Garnier phoning Prudential's office and speaking to them, neither recalled him mentioning anything about the deposit paid by Ms. Hundley. Had Mr. Garnier requested information concerning the deposit it would have been easy for either witness to check whether the deposit was made. Each testified such information was readily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prefer the evidence of Ms. Jong, Mr. Coombe and Mr. Pahud to that of the Garniers.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Ms. Hundley gave her evidence in a clear, straightforward manner. She testified she was introduced to Mr. Garnier during her visit to the Property with her family before she made the Offer and that he showed them around the Property. Mr. Garnier denied meeting her. He said during what he described as an open house, he had seen a dark-haired heavy-set woman. Ms. Hundley has white hair. In my view Mr. Garnier's evidence was tailored to distance himself from any knowledge as to the identity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Garniers knew they were required to obtain a lawyer or notary to close the sale of their Property. When the documents arrived in Ms. Jong's office, they evidently changed their instructions to her; they had determined that she was no longer to act on their behalf. Shortly after Ms. Jong's retainer was terminated by the Garniers, Mr. Coombe telephoned Ms. Jong to advise her he would be acting for the Garniers on the closing. When the documents were forwarded to him, the defendants advised him he was not acting for them on the conveyance but had only been retained to address other issues, such as their allegations that Mr. Hunter trespassed on their Property. Mr. Coombe was instructed to advise the plaintiff's notary, Ms. Morin, that Ms. Jong was acting.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However as discussed Ms. Jong's evidence is that she did not have instructions to act for the Garniers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Garniers' duplicity regarding their intention to close was further demonstrated by the conflict between the instructions given by Mr. Garnier to Mr. Coombe that the Garniers wished to rent back the Property until June 30, 2007, and the extract from her February 5, 2009 examination for discovery put to Ms. Garnier on the stand. During her examination for discovery she acknowledged that "[b]ecause we lost the deal in West Vancouver [in mid-April] we had no intention of closing".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my view, the Garniers knew they were required to complete the conveyance. They had been advised by a lawyer that notwithstanding their allegations against Mr. Hunter they had to complete the transaction. Their letter of April 21, 2007 to Mr. Oppal makes this clear. I have already cited from this letter but do so again: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took the step to consult a lawyer to cancel the contract but the lawyers told us that the contract is binding and cannot be undone.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disagree, and because of this law, we are forced to sign the final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Ms. Garnier testified Mr. Coombe advised them they were bound by the Purchase Contract but that if Ms. Hundley was "one second" late "they could cancel - the deal was void."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find the Garniers deliberately sought to create confusion about who was representing them and what their true intentions were in order to set up an obstacle to Ms. Hundley tendering the completion documents by the completion date. They were in essence playing a game, trying to frustrate Ms. Hundley's ability to tender on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After they failed to complete the transaction the Garniers were advised a caveat had been filed against the Property. They wrote to the Commissioner, Land Title and Survey Authority of BC (the "Commissioner") requesting the caveat be removed immediately. The grounds they gave are set out in their letter of June 12, 2007: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are surprised as this is very unjust and unfair, since the caveat was filed based on false information. Please note, we were </w:t>
      </w:r>
      <w:r>
        <w:rPr>
          <w:rFonts w:ascii="arial" w:eastAsia="arial" w:hAnsi="arial" w:cs="arial"/>
          <w:color w:val="000000"/>
          <w:sz w:val="20"/>
          <w:u w:val="single"/>
          <w:lang w:val="en-US" w:eastAsia="en-US" w:bidi="ar-SA"/>
        </w:rPr>
        <w:t>not provided with any closing papers or monies by Lucy Hundley, her Agent Mr. Ray Hunter or Lawyer before the closing date of 02 May 2007</w:t>
      </w:r>
      <w:r>
        <w:rPr>
          <w:rFonts w:ascii="arial" w:eastAsia="arial" w:hAnsi="arial" w:cs="arial"/>
          <w:color w:val="000000"/>
          <w:sz w:val="20"/>
          <w:lang w:val="en-US" w:eastAsia="en-US" w:bidi="ar-SA"/>
        </w:rPr>
        <w:t>. The caveat filed by ... solicitor for Lucy Hundley is based on false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Did he provide proof that we refused to close, No, because he cannot, as we never refused.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 fair conclusion to be drawn from the letter is that the Garniers' perception of the truth is particularly one-sided in their favour, regardless of the facts. They were clearly aware Ms. Hundley intended to complete the transaction and that Ms. Morin had forwarded the completion documents to both Mr. Coombe and Ms. Jong. Ms. Jong specifically advised them of this in a fax to them sent May 9, 2007 when Ms. Garnier asked her whether she had heard from the buyer or Mr. Hunter.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turn to the letters Ms. Garnier testified she drafted on March 19 to Mr. Hunter and on April 4 to both Mr. Hunter and Ms. Hundley. As stated earlier, both Mr. Hunter and Ms. Hundley testified they did not receive the letters.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Ms. Garnier testified she typed the letters on one of her two home computers. Mr. Garnier testified he mailed them. At her examination for discovery on July 27, 2010, Ms. Garnier testified she still possessed the computer she typed the letters on. She was requested to produce the metadata from the computer. She did not produce that data. She explained at trial she had had a virus in her computer earlier in 2010 and had lost all the data on the computer. Further, she no longer possessed the computer.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conclude it is more probable that the letters were not drafted and mailed as testified to by the Garniers but, rather, were created well after the event to lend support to the Garniers' position that Mr. Hunter did not disclose particulars of Ms. Hundley's deposits.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refer to another example impacting on the credibility of the Garniers. Ms. Garnier made a written complaint against Mr. Hunter to the Real Estate Council of British Columbia on or about April 16, 2007. Her complaint was based on what she described in the complaint as a "fraudulent misrepresentation" of the value of the Property. Nowhere in her complaint did she refer to requests she says she made that Mr. Hunter show them that the deposits had been made. The Garniers testified that this was the main reason they did not proceed with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On the evidence I conclude the Garniers decided they would not complete sometime in late March or early April, 2007. Ms. Garnier testified she told Mr. Hunter this on April 9, 2007. I do not accept her evidence. As pointed out earlier, had she done so the content of Mr. Hunter's subsequent correspondence to her would have been substantially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While it is now clear the Garniers did not intend to proceed with the transaction in late March or early April, it was not communicated to Ms. Hundley. The best that can be said on the evidence is that Mr. Garnier's tirades and Mr. Hunter's inability to contact the Garniers had raised concerns in Mr. Hunter's mind that the Garniers may have changed their minds about going through with the transaction. He communicated that concern to Ms. Hundley, resulting in Ms. Hundley's telephone call to Ms. Morin's office. Ms. Morin then prepared the closing documents and sent them to Ms. Jong on April 11,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my view it was not the failure of Mr. Hunter to provide details about the deposits that triggered the Garniers' decision not to complete the conveyance. Rather, the factor which triggered their decision not to proceed was that in early spring 2007 real estate prices started, for a short period, to rise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evidence established that throughout the time the Garniers had their Property listed for sale in 2006 and into the fall of that year real estate prices in Vancouver had been falling. Mr. Hunter was correct in advising them of this. The Garniers were aware of this as they had received no offers during the listing and their Property was subsequently reassessed at $875,000 by the Authority. Neither he nor the Garniers expected prices to turn around for a short time in the spring of 2007 and start rising again. While this turnaround was short lived, nonetheless when the Garniers started searching for alternate property in March 2007 this was a fact they faced. In my view their distrust of Mr. Hunter arose from his review of historical listings in their area and their view these listings were undervalued and not realistic at the time they were looking. They became all the more passionate given Mr. Hunter's past business relationship with Ms. Hundley and their view he conspired with her to negotiate a price well below what the Property was worth. Mr. Hunter's efforts to convince them otherwise by producing more comparable sales fell on deaf ears. The defendants then set on a course of action to try to attack both Mr. Hunter and to upset the transaction. Hence their complaints to the Attorney General and to the Real Estate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Only when they were sued did they take the positions that Mr. Hunter had not satisfied their requests to verify the deposits had been made and that Ms. Hundley had not properly tendered.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conclude it is not likely the Garniers would sign the Listing Contract or the Purchase Contract without giving full consideration to the price they would be receiving. I accept Mr. Hunter's evidence generally over that given by the Garniers and in particular his evidence he fully explained the nature of the dual agency relationship he would have with them and the nature of his relationship with Ms. Hundley. I also accept his evidence that the Garniers set the listing price for the Property and that they were fully informed when they did so and when they agreed to the sale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With this view of the evidence and of the credibility of the witnesses, I consider the parties' positions and the legal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plaintiff argues that at all times she was ready, willing and able to complete the Purchase Contract on the completion date and that she should be awarded damages for the defendants' failure to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Garniers submit Ms. Hundley breached the Purchase Contract when she tendered a personal cheque for $1,000 as part of the deposit. The Garniers rely on clauses 2 and 10 of the Purchase Contract, the combined effect of which, they say, is to require the deposit be by way of "certified cheque, bank draft, cash or Lawyer's/Notary's trust cheque". A personal cheque is not proper tender and constitutes a breach of the Purchase Contract which they argue they have not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Garniers further argue that if the plaintiff succeeds in her claim against them, they have a claim against the third parties for indemnification.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They say Mr. Hunter did not tell them he was also working for Ms. Hundley; that he represented to them he was acting only for them. They assert he breached his fiduciary and contractual duties and was negligent in failing to get them the best price for their home, in "directing" them on the selling price, in advising them the market in their area was falling when it was in fact rising, in his dealings concerning the oil tank term and in failing to advise them about the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Hunter and Prudential dispute the Garniers' assertions. Mr. Hunter says the Garniers were at all times fully informed of his relationship with Ms. Hundley. He disputes much of the testimony given by the Garniers concerning what occurred at the meetings leading up to the signing of the Purchase Contract and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Prudential, as well, disputes much of Mr. Garnier's testimony concerning telephone discussions between representatives of Prudential and Mr. Garnier.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issues for determination are:</w:t>
      </w:r>
      <w:r>
        <w:rPr>
          <w:rFonts w:ascii="arial" w:eastAsia="arial" w:hAnsi="arial" w:cs="arial"/>
          <w:sz w:val="20"/>
          <w:lang w:val="en-US" w:eastAsia="en-US" w:bidi="ar-SA"/>
        </w:rPr>
        <w:cr/>
      </w:r>
    </w:p>
    <w:p>
      <w:pPr>
        <w:numPr>
          <w:numId w:val="1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deposit properly paid, pursuant to the Purchase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If the answer to issue 1 is in the affirmative, a further issue arises: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breach their contractual obligations by not completing the Purchase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If the answer issue 2 is in the affirmative, the following issues arise: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remedy should flow from the breach?</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defendants entitled to recover the damages owing to Ms. Hundley from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 1: Was the deposit properly made pursuant to the terms of the Purchase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defendants say they were relieved of their obligations to complete under the Purchase Contract because the plaintiff did not comply with the provisions of the Purchase Contract when Ms. Hundley paid the first deposit by way of cheque payable to Prudential. They say the Purchase Contract requires the deposit be paid by certified cheque or bank draft.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Garniers do not challenge the second deposit of $29,000 which Ms. Hundley paid when she removed the subject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defendants rely on clauses 2 and 10 of the Purchase Contract:</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DEPOSIT: A deposit of $30,000.00 which will form part of the Purchase Price, will be $1,000 upon Acceptance, to be increased to $30,000.00 upon Subject Removal.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monies paid pursuant to this section (Deposit) will be delivered in trust to Prudential-United Realty and held in trust in accordance with the provisions of the </w:t>
      </w:r>
      <w:r>
        <w:rPr>
          <w:rFonts w:ascii="arial" w:eastAsia="arial" w:hAnsi="arial" w:cs="arial"/>
          <w:i/>
          <w:color w:val="000000"/>
          <w:sz w:val="20"/>
          <w:lang w:val="en-US" w:eastAsia="en-US" w:bidi="ar-SA"/>
        </w:rPr>
        <w:t>Real Estate Services Act</w:t>
      </w:r>
      <w:r>
        <w:rPr>
          <w:rFonts w:ascii="arial" w:eastAsia="arial" w:hAnsi="arial" w:cs="arial"/>
          <w:color w:val="000000"/>
          <w:sz w:val="20"/>
          <w:lang w:val="en-US" w:eastAsia="en-US" w:bidi="ar-SA"/>
        </w:rPr>
        <w:t xml:space="preserve">. In the event the Buyer fails to pay the Deposit as required by this Contact, the Seller may, at the Seller's option, terminate this Contract. The party who receives the Deposit is authorized to pay all or any portion of the Deposit to the Buyer's or Seller's conveyance (the "Conveyancer") without further written direction of the Buyer or Seller, provided that: (a) the Conveyancer is a Lawyer or Notary; (b) such money is to be held in trust by the Conveyancer as stakeholder pursuant to the provisions of the </w:t>
      </w:r>
      <w:r>
        <w:rPr>
          <w:rFonts w:ascii="arial" w:eastAsia="arial" w:hAnsi="arial" w:cs="arial"/>
          <w:i/>
          <w:color w:val="000000"/>
          <w:sz w:val="20"/>
          <w:lang w:val="en-US" w:eastAsia="en-US" w:bidi="ar-SA"/>
        </w:rPr>
        <w:t>Real Estate Services Act</w:t>
      </w:r>
      <w:r>
        <w:rPr>
          <w:rFonts w:ascii="arial" w:eastAsia="arial" w:hAnsi="arial" w:cs="arial"/>
          <w:color w:val="000000"/>
          <w:sz w:val="20"/>
          <w:lang w:val="en-US" w:eastAsia="en-US" w:bidi="ar-SA"/>
        </w:rPr>
        <w:t xml:space="preserve"> pending the completion of the transaction and not on behalf of any of the principals to the transaction; and (c) if the sale does not complete, the money should be returned to such party as stakeholder or paid into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TENDER: Tender of payment of monies by the Buyer to the Seller will be by certified cheque, bank draft, cash or Lawyer's/Notary's trust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Section 28 of the </w:t>
      </w:r>
      <w:r>
        <w:rPr>
          <w:rFonts w:ascii="arial" w:eastAsia="arial" w:hAnsi="arial" w:cs="arial"/>
          <w:i/>
          <w:color w:val="000000"/>
          <w:sz w:val="20"/>
          <w:lang w:val="en-US" w:eastAsia="en-US" w:bidi="ar-SA"/>
        </w:rPr>
        <w:t>Real Estate Services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42</w:t>
      </w:r>
      <w:r>
        <w:rPr>
          <w:rFonts w:ascii="arial" w:eastAsia="arial" w:hAnsi="arial" w:cs="arial"/>
          <w:color w:val="000000"/>
          <w:sz w:val="20"/>
          <w:lang w:val="en-US" w:eastAsia="en-US" w:bidi="ar-SA"/>
        </w:rPr>
        <w:t>, requires that money held by a real estate brokerage in respect of a real estate transaction for which there is an agreement between the parties for the acquisition and disposition of the real estate be held by the firm as a stakeholder. The money is held for the real estate transaction and not on behalf of one of the parties. The question is whether the initial deposit falls within the scope of clause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In my view clause 2 is distinct from clause 10. Clause 2 specifically governs the payment of the deposit. It is unambiguous. It requires all monies "paid pursuant to this section (Deposit) will be delivered in trust to Prudential ...". The monies paid on account of the deposit are not monies paid "by the Buyer to the Seller." Rather, the monies are payable pursuant to the </w:t>
      </w:r>
      <w:r>
        <w:rPr>
          <w:rFonts w:ascii="arial" w:eastAsia="arial" w:hAnsi="arial" w:cs="arial"/>
          <w:i/>
          <w:color w:val="000000"/>
          <w:sz w:val="20"/>
          <w:lang w:val="en-US" w:eastAsia="en-US" w:bidi="ar-SA"/>
        </w:rPr>
        <w:t>Real Estate Services Act</w:t>
      </w:r>
      <w:r>
        <w:rPr>
          <w:rFonts w:ascii="arial" w:eastAsia="arial" w:hAnsi="arial" w:cs="arial"/>
          <w:color w:val="000000"/>
          <w:sz w:val="20"/>
          <w:lang w:val="en-US" w:eastAsia="en-US" w:bidi="ar-SA"/>
        </w:rPr>
        <w:t xml:space="preserve"> to Prudential. That Act expressly provides Prudential is not an agent for either party. Clause 2 does not specify the form such payment will take. Indeed, given that initial deposits are often made quickly to tie up an offer, it would be unusual and impractical that such deposits fall under the more rigorous conditions of clause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 defendants rely on </w:t>
      </w:r>
      <w:r>
        <w:rPr>
          <w:rFonts w:ascii="arial" w:eastAsia="arial" w:hAnsi="arial" w:cs="arial"/>
          <w:i/>
          <w:color w:val="000000"/>
          <w:sz w:val="20"/>
          <w:lang w:val="en-US" w:eastAsia="en-US" w:bidi="ar-SA"/>
        </w:rPr>
        <w:t>Germain v. Kapchinsky</w:t>
      </w:r>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2006 BCSC 530</w:t>
        </w:r>
      </w:hyperlink>
      <w:r>
        <w:rPr>
          <w:rFonts w:ascii="arial" w:eastAsia="arial" w:hAnsi="arial" w:cs="arial"/>
          <w:color w:val="000000"/>
          <w:sz w:val="20"/>
          <w:lang w:val="en-US" w:eastAsia="en-US" w:bidi="ar-SA"/>
        </w:rPr>
        <w:t xml:space="preserve">, to support their position that the initial deposit falls within the scope of clause 10 and was required to be paid by certified cheque or bank draft. While that argument was accepted in </w:t>
      </w:r>
      <w:r>
        <w:rPr>
          <w:rFonts w:ascii="arial" w:eastAsia="arial" w:hAnsi="arial" w:cs="arial"/>
          <w:i/>
          <w:color w:val="000000"/>
          <w:sz w:val="20"/>
          <w:lang w:val="en-US" w:eastAsia="en-US" w:bidi="ar-SA"/>
        </w:rPr>
        <w:t>Germain</w:t>
      </w:r>
      <w:r>
        <w:rPr>
          <w:rFonts w:ascii="arial" w:eastAsia="arial" w:hAnsi="arial" w:cs="arial"/>
          <w:color w:val="000000"/>
          <w:sz w:val="20"/>
          <w:lang w:val="en-US" w:eastAsia="en-US" w:bidi="ar-SA"/>
        </w:rPr>
        <w:t>, the case is clearly distinguishable on its facts. As stated by Barrow J. at paras. 8-10 and 26-27: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The contract is contained in a standard form Okanagan Mainline Real Estate Board document that was modified by the parties in some respects. The central issue for determination relates to the payment of the deposit. The contract provides as follows on that matter: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Deposit: A deposit of $20,000.00 which will form part of the Purchase Price will be paid on the following terms: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Upon all subject removals $20,000 will be paid to Mr. Kapchinsky &amp; becomes non refundable.</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(this was inserted by hand by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monies paid pursuant to this section (Deposit) will be delivered in trust to Re/Max Kelowna and held in trust in accordance with the provisions of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In the event the Buyer fails to pay the Deposit as required by this Contract, the Seller may, at the Seller's option, terminate this Contract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There is a facial inconsistency in the contract in that the handwritten portion requires the deposit to be paid directly to the seller, while the pre-printed portion requires the deposit to be paid to the realtor and held in trust. It is clear from the course of negotiations that the parties intended that the deposit be paid to the seller and be non-refundable. Moreover, the parties agree that this is what they intended.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As to the manner of payment, the contract provides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Tender: Tender or payment of monies by the Buyer to the Seller will be by certified cheque, bank draft, cash or Lawyer's/Notary's trust cheque.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The issue therefore is whether the contract by its terms requires that a deposit be paid by certified cheque or in one of the other manners specified. The plaintiff argues that the tender provisions of the contract apply only to the funds payable on completion. On its face, the term relating to tender is not so limited. It applies to "Payment of monies by the Buyer to the Seller".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In my view, there can be no question given that the deposit in this case was to be paid by the plaintiffs (as purchaser) to the defendants (as seller) directly as opposed to being held in trust by the realtors. The payment of the deposit is subject to the limitations on the permissible modes of payment set out in the contract. It might be otherwise if the deposit was to be paid to an intermediary such as a realtor; however, that need not be decided on the circumstances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Germain</w:t>
      </w:r>
      <w:r>
        <w:rPr>
          <w:rFonts w:ascii="arial" w:eastAsia="arial" w:hAnsi="arial" w:cs="arial"/>
          <w:color w:val="000000"/>
          <w:sz w:val="20"/>
          <w:lang w:val="en-US" w:eastAsia="en-US" w:bidi="ar-SA"/>
        </w:rPr>
        <w:t>, the deposit fell within the term relating to the payment of monies by the buyer to the seller.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the present case, the payment required in clause 2 is not limited to the forms of tender listed in clause 10. Clause 2 of the Purchase Contract specifically requires the first deposit be paid to Prudential which holds the funds as a stakeholder.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Accordingly, I do not accept the defendants' argument the plaintiff did not comply with the terms of the Purchase Contact when she made the first deposit by personal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 2: Did the defendants breach their contractual obligations by not completing the Purchase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plaintiff says that the defendants are liable for anticipatory breach of contract or, in the alternative, for breach of contract.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Anticipatory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A breach can be said to be anticipatory when: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party, by express language or conduct, or as a matter of implication from what he has said or done, repudiates his contractual obligations before they fall due [: see Gerald L.H. Fridman, </w:t>
      </w:r>
      <w:r>
        <w:rPr>
          <w:rFonts w:ascii="arial" w:eastAsia="arial" w:hAnsi="arial" w:cs="arial"/>
          <w:i/>
          <w:color w:val="000000"/>
          <w:sz w:val="20"/>
          <w:lang w:val="en-US" w:eastAsia="en-US" w:bidi="ar-SA"/>
        </w:rPr>
        <w:t>The Law of Contract in Canada,</w:t>
      </w:r>
      <w:r>
        <w:rPr>
          <w:rFonts w:ascii="arial" w:eastAsia="arial" w:hAnsi="arial" w:cs="arial"/>
          <w:color w:val="000000"/>
          <w:sz w:val="20"/>
          <w:lang w:val="en-US" w:eastAsia="en-US" w:bidi="ar-SA"/>
        </w:rPr>
        <w:t xml:space="preserve"> 4th ed. (Scarborough: Carswell Thomson Professional Publishing, 1999) at 638.]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Reed v. McVeigh</w:t>
      </w:r>
      <w:r>
        <w:rPr>
          <w:rFonts w:ascii="arial" w:eastAsia="arial" w:hAnsi="arial" w:cs="arial"/>
          <w:color w:val="000000"/>
          <w:sz w:val="20"/>
          <w:lang w:val="en-US" w:eastAsia="en-US" w:bidi="ar-SA"/>
        </w:rPr>
        <w:t xml:space="preserve"> (1930), </w:t>
      </w:r>
      <w:hyperlink r:id="rId637" w:history="1">
        <w:r>
          <w:rPr>
            <w:rFonts w:ascii="arial" w:eastAsia="arial" w:hAnsi="arial" w:cs="arial"/>
            <w:i/>
            <w:color w:val="0077CC"/>
            <w:sz w:val="20"/>
            <w:u w:val="single"/>
            <w:shd w:val="clear" w:color="auto" w:fill="FFFFFF"/>
            <w:lang w:val="en-US" w:eastAsia="en-US" w:bidi="ar-SA"/>
          </w:rPr>
          <w:t>[1931] 1 W.W.R. 257</w:t>
        </w:r>
      </w:hyperlink>
      <w:r>
        <w:rPr>
          <w:rFonts w:ascii="arial" w:eastAsia="arial" w:hAnsi="arial" w:cs="arial"/>
          <w:color w:val="000000"/>
          <w:sz w:val="20"/>
          <w:lang w:val="en-US" w:eastAsia="en-US" w:bidi="ar-SA"/>
        </w:rPr>
        <w:t xml:space="preserve"> at 258, (Alta. S.C.) the Court adopted earlier case law which considered the level of conduct required for an anticipatory breach: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conduct of the party who has broken the contract is such that the other party is entitled to conclude that the party breaking the contract no longer intends to be bound by its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 have found that the defendants likely decided not to complete their obligations under the Purchase Contract sometime in late March or early April, some four to five weeks before the closing date of May 2. There is evidence that on April 11, 2007 Mr. Hunter and Ms. Hundley were concerned that the transaction would not complete. Ms. Hundley contacted her notary public and left a message to this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Though their suspicions were later proven correct, I cannot find evidence that the defendants said or did anything of which Ms. Hundley was aware before May 2, 2007 amounting to repudiation of the Purchase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On April 17, 2007 Mr. Hunter received the letter from Mr. Coombe which said that the Garniers intended to rent back the property until June 30, 2007. As stated, this correspondence was only necessary if the Garniers intended to fulfill their obligations under the Purchase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By April 21, 2007, the Garniers had been difficult to contact for approximately a month and had written a letter to the Attorney General, copied to Mr. Hunter and Ms. Hundley, in which they expressed an intention to sue Ms. Hundley and Mr. Hunter. However in that letter they also indicated that they had obtained legal advice informing them that the contract was binding and they intended to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On May 1, Ms. Hundley's notary public had difficulty determining which of two lawyers the Garniers had retained to complete the transaction. On that date, Mr. Coombe indicated for the first time that he had not been retained to close the transaction and referred Ms. Morin back to Ms. Jong. That afternoon Ms. Jong reiterated that she had not been retained.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letter to Mr. Oppal and the barriers they erected to avoid communicating with Mr. Hunter are evidence that the Garniers felt they had been wronged and were angry. However, I cannot find these events constitute evidence that could have led Ms. Hundley or Mr. Hunter to conclude that the Garniers intended to breach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events of May 1 are more difficult. However, I am not persuaded that even on that date, Ms. Hundley could have reasonably concluded that the defendants were not going to complete on May 2. Given their anger and attitudes towards the transaction, it is equally likely that they were simply making the closing difficult, but still intended to close. It was not necessary for Ms. Hundley to read their minds. The Garniers at no time communicated clearly that they did not intend to close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It turns out that Mr. Garnier was not in the Lower Mainland on May 1 and therefore could not have executed the transfer, however there is no evidence Ms. Hundley knew this before May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It is clear that on May 2, 2007 the defendants failed to complete the deal they had struck. The only defence they raised was their claim that Ms. Hundley had not paid the deposit in accordance with the terms of the Purchase Contract. As I have found that Ms. Hundley's personal cheque was a valid form of payment, I reject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evidence establishes that Ms. Hundley was ready, willing and able to complete the conveyance of the Property. She had provided Ms. Morin with the funds necessary to do so and Ms. Morin had provided the necessary completion documents to both Ms. Jong and Mr. Coombe in advance of the completion date. Ms. Hundley remained in a position to complete following the completion date in the event the Garniers changed their minds. The Garniers continued to refuse to honour the Purchase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add that the Garniers did not rely on the first deposit being made by way of personal cheque until after the lawsuit was commenced. In May 2007, it was not their reason for refusing to complete. Their position was, as suggested by counsel for the plaintiff and third parties, an afterthought.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defendants breached the Purchase Contract by failing to complete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 3: What remedy should flow from the defendants'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plaintiff initially claimed she was entitled to specific performance of the Purchase Contract. At trial she claimed damages in lieu of specific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There is no doubt that Ms. Hundley is entitled to a remedy. However I must determine whether Ms. Hundley was entitled to specific performance, and is therefore now entitled to damages in lieu, or whether her only remedy is damages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Specific performance is awarded where damages cannot fully compensate for the loss. In </w:t>
      </w:r>
      <w:r>
        <w:rPr>
          <w:rFonts w:ascii="arial" w:eastAsia="arial" w:hAnsi="arial" w:cs="arial"/>
          <w:i/>
          <w:color w:val="000000"/>
          <w:sz w:val="20"/>
          <w:lang w:val="en-US" w:eastAsia="en-US" w:bidi="ar-SA"/>
        </w:rPr>
        <w:t>Adderley v. Dixon</w:t>
      </w:r>
      <w:r>
        <w:rPr>
          <w:rFonts w:ascii="arial" w:eastAsia="arial" w:hAnsi="arial" w:cs="arial"/>
          <w:color w:val="000000"/>
          <w:sz w:val="20"/>
          <w:lang w:val="en-US" w:eastAsia="en-US" w:bidi="ar-SA"/>
        </w:rPr>
        <w:t xml:space="preserve"> (1824), 57 E.R. 239 (U.K. Vice-Chancellor's Ct.) Sir John Leach, V.C., stated, at 240: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Courts of Equity decree the specific performance of contracts, not upon any distinction between realty and personalty, but because damages at law may not, in the particular case, afford a complete remedy. Thus a Court of Equity decrees performance of a contract for land, not because of the real nature of the land, but because damages at law, which must be calculated upon the general money value of the land, may not be a complete remedy to the purchaser, to whom the land may have a peculiar and special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The leading Canadian case on entitlement to specific performance is the Supreme Court of Canada decision </w:t>
      </w:r>
      <w:r>
        <w:rPr>
          <w:rFonts w:ascii="arial" w:eastAsia="arial" w:hAnsi="arial" w:cs="arial"/>
          <w:i/>
          <w:color w:val="000000"/>
          <w:sz w:val="20"/>
          <w:lang w:val="en-US" w:eastAsia="en-US" w:bidi="ar-SA"/>
        </w:rPr>
        <w:t>Semelhago v. Paramadevan</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[1996] 2 S.C.R. 415</w:t>
        </w:r>
      </w:hyperlink>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136 D.L.R. (4th) 1</w:t>
        </w:r>
      </w:hyperlink>
      <w:r>
        <w:rPr>
          <w:rFonts w:ascii="arial" w:eastAsia="arial" w:hAnsi="arial" w:cs="arial"/>
          <w:color w:val="000000"/>
          <w:sz w:val="20"/>
          <w:lang w:val="en-US" w:eastAsia="en-US" w:bidi="ar-SA"/>
        </w:rPr>
        <w:t>. In that case the plaintiff agreed to purchase a property; the vendor reneged on the transaction and title to the property was taken by another. The parties proceeded on the assumption that the seller was entitled to specific performance and the Court ordered damages in lieu equivalent to the increase in value of the property between the closing date and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However, at para. 21, the Court said "[i]t cannot be assumed that damages for breach of contract for the purchase and sale of real estate will be an inadequate remedy in all cases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Court limited specific performance to circumstances in which the property at issue is "unique":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[Awarding damages in lieu of specific performance] may appear to be overly generous to the respondent in this case and other like cases and may be seen as a windfall. In my opinion, this criticism is valid if the property agreed to be purchased is not unique. While at one time the common law regarded every piece of real estate to be unique, with the progress of modern real estate development this is no longer the case. Both residential, business and industrial properties are mass produced much in the same way as other consumer products. If a deal falls through for one property, another is frequently, though not always, readily available.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 Specific performance should, therefore, not be granted as a matter of course absent evidence that the property is unique to the extent that its substitute would not be readily available. The guideline proposed by Estey J. in </w:t>
      </w:r>
      <w:r>
        <w:rPr>
          <w:rFonts w:ascii="arial" w:eastAsia="arial" w:hAnsi="arial" w:cs="arial"/>
          <w:i/>
          <w:color w:val="000000"/>
          <w:sz w:val="20"/>
          <w:lang w:val="en-US" w:eastAsia="en-US" w:bidi="ar-SA"/>
        </w:rPr>
        <w:t>Baud Corp., N.V. v. Brook</w:t>
      </w:r>
      <w:r>
        <w:rPr>
          <w:rFonts w:ascii="arial" w:eastAsia="arial" w:hAnsi="arial" w:cs="arial"/>
          <w:color w:val="000000"/>
          <w:sz w:val="20"/>
          <w:lang w:val="en-US" w:eastAsia="en-US" w:bidi="ar-SA"/>
        </w:rPr>
        <w:t xml:space="preserve">, (sub nom. </w:t>
      </w:r>
      <w:r>
        <w:rPr>
          <w:rFonts w:ascii="arial" w:eastAsia="arial" w:hAnsi="arial" w:cs="arial"/>
          <w:i/>
          <w:color w:val="000000"/>
          <w:sz w:val="20"/>
          <w:lang w:val="en-US" w:eastAsia="en-US" w:bidi="ar-SA"/>
        </w:rPr>
        <w:t>Asamera Oil Corp. v. Sea Oil &amp; General Corp</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[1979] 1 S.C.R. 633</w:t>
        </w:r>
      </w:hyperlink>
      <w:r>
        <w:rPr>
          <w:rFonts w:ascii="arial" w:eastAsia="arial" w:hAnsi="arial" w:cs="arial"/>
          <w:color w:val="000000"/>
          <w:sz w:val="20"/>
          <w:lang w:val="en-US" w:eastAsia="en-US" w:bidi="ar-SA"/>
        </w:rPr>
        <w:t>, with respect to contracts involving chattels is equally applicable to real property. At p. 668, Estey J.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Before a plaintiff can rely on a claim to specific performance so as to insulate himself from the consequences of failing to procure alternate property in mitigation of his losses, some fair, real and substantial justification for his claim to performance must be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Our Court of Appeal discussed the circumstances under which a party is entitled to specific performance in </w:t>
      </w:r>
      <w:r>
        <w:rPr>
          <w:rFonts w:ascii="arial" w:eastAsia="arial" w:hAnsi="arial" w:cs="arial"/>
          <w:i/>
          <w:color w:val="000000"/>
          <w:sz w:val="20"/>
          <w:lang w:val="en-US" w:eastAsia="en-US" w:bidi="ar-SA"/>
        </w:rPr>
        <w:t>Ali v. 656527 B.C. Ltd.</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2004 BCCA 350</w:t>
        </w:r>
      </w:hyperlink>
      <w:r>
        <w:rPr>
          <w:rFonts w:ascii="arial" w:eastAsia="arial" w:hAnsi="arial" w:cs="arial"/>
          <w:color w:val="000000"/>
          <w:sz w:val="20"/>
          <w:lang w:val="en-US" w:eastAsia="en-US" w:bidi="ar-SA"/>
        </w:rPr>
        <w:t xml:space="preserve">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Where specific performance once was regarded as a presumptive remedy for a seller's substantive breach of a contract for the purchase and sale of real estate, it is now accepted that the purchaser seeking that remedy must prove that the property is unique to the extent that a substitute would not be readily available and that there is a fair, real, and substantial justification for the decree that is sought: </w:t>
      </w:r>
      <w:r>
        <w:rPr>
          <w:rFonts w:ascii="arial" w:eastAsia="arial" w:hAnsi="arial" w:cs="arial"/>
          <w:i/>
          <w:color w:val="000000"/>
          <w:sz w:val="20"/>
          <w:lang w:val="en-US" w:eastAsia="en-US" w:bidi="ar-SA"/>
        </w:rPr>
        <w:t>Semelhago v. Paramadevan</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[1996] 2 S.C.R. 415</w:t>
        </w:r>
      </w:hyperlink>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136 D.L.R. (4th) 1</w:t>
        </w:r>
      </w:hyperlink>
      <w:r>
        <w:rPr>
          <w:rFonts w:ascii="arial" w:eastAsia="arial" w:hAnsi="arial" w:cs="arial"/>
          <w:color w:val="000000"/>
          <w:sz w:val="20"/>
          <w:lang w:val="en-US" w:eastAsia="en-US" w:bidi="ar-SA"/>
        </w:rPr>
        <w:t xml:space="preserve"> para. 21-22. The considerations are most recently discussed in </w:t>
      </w:r>
      <w:r>
        <w:rPr>
          <w:rFonts w:ascii="arial" w:eastAsia="arial" w:hAnsi="arial" w:cs="arial"/>
          <w:i/>
          <w:color w:val="000000"/>
          <w:sz w:val="20"/>
          <w:lang w:val="en-US" w:eastAsia="en-US" w:bidi="ar-SA"/>
        </w:rPr>
        <w:t>United Gulf Developments Ltd. v. Iskandar</w:t>
      </w:r>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(2004), 235 D.L.R. (4th) 609</w:t>
        </w:r>
      </w:hyperlink>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2004 NSCA 35</w:t>
        </w:r>
      </w:hyperlink>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Cormack v. Hardwardt</w:t>
      </w:r>
      <w:r>
        <w:rPr>
          <w:rFonts w:ascii="arial" w:eastAsia="arial" w:hAnsi="arial" w:cs="arial"/>
          <w:color w:val="000000"/>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[1998] B.C.J. No. 2684</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Taberner v. Ernest &amp; Twins Development Inc.</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(2001), 89 B.C.L.R. (3d) 104</w:t>
        </w:r>
      </w:hyperlink>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2001 BCSC 367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It is settled law that a party entitled to specific performance may elect damages in lieu thereof: </w:t>
      </w:r>
      <w:r>
        <w:rPr>
          <w:rFonts w:ascii="arial" w:eastAsia="arial" w:hAnsi="arial" w:cs="arial"/>
          <w:i/>
          <w:color w:val="000000"/>
          <w:sz w:val="20"/>
          <w:lang w:val="en-US" w:eastAsia="en-US" w:bidi="ar-SA"/>
        </w:rPr>
        <w:t>Semelhago</w:t>
      </w:r>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Wroth v. Tyler,</w:t>
      </w:r>
      <w:r>
        <w:rPr>
          <w:rFonts w:ascii="arial" w:eastAsia="arial" w:hAnsi="arial" w:cs="arial"/>
          <w:color w:val="000000"/>
          <w:sz w:val="20"/>
          <w:lang w:val="en-US" w:eastAsia="en-US" w:bidi="ar-SA"/>
        </w:rPr>
        <w:t xml:space="preserve"> [1973] 1 All E.R. 897, (1974) Ch.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defendants say that the plaintiff is not entitled to specific performance, and therefore not entitled to damages in lieu thereof, because she wanted to develop the Property as a commercial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Commercial opportunities have been found sufficiently unique to warrant an order of specific performance. In </w:t>
      </w:r>
      <w:r>
        <w:rPr>
          <w:rFonts w:ascii="arial" w:eastAsia="arial" w:hAnsi="arial" w:cs="arial"/>
          <w:i/>
          <w:color w:val="000000"/>
          <w:sz w:val="20"/>
          <w:lang w:val="en-US" w:eastAsia="en-US" w:bidi="ar-SA"/>
        </w:rPr>
        <w:t>Comet Investments Ltd. v. Northwind Logging Ltd.</w:t>
      </w:r>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22 R.P.R. (3d) 294</w:t>
        </w:r>
      </w:hyperlink>
      <w:r>
        <w:rPr>
          <w:rFonts w:ascii="arial" w:eastAsia="arial" w:hAnsi="arial" w:cs="arial"/>
          <w:color w:val="000000"/>
          <w:sz w:val="20"/>
          <w:lang w:val="en-US" w:eastAsia="en-US" w:bidi="ar-SA"/>
        </w:rPr>
        <w:t xml:space="preserve"> (B.C.S.C.), this Court found a commercial property sufficiently unique because the plaintiff-seller had tailored the size of the parcel to the requirements of the purchaser and that size was more difficult to market than smaller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John E. Dodge Holdings Ltd. v. 805062 Ontario Ltd.</w:t>
      </w:r>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(2003), 223 D.L.R. (4th) 541</w:t>
        </w:r>
      </w:hyperlink>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63 O.R. (3d) 304</w:t>
        </w:r>
      </w:hyperlink>
      <w:r>
        <w:rPr>
          <w:rFonts w:ascii="arial" w:eastAsia="arial" w:hAnsi="arial" w:cs="arial"/>
          <w:color w:val="000000"/>
          <w:sz w:val="20"/>
          <w:lang w:val="en-US" w:eastAsia="en-US" w:bidi="ar-SA"/>
        </w:rPr>
        <w:t xml:space="preserve"> (C.A.), leave to appeal to S.C.C. ref'd </w:t>
      </w:r>
      <w:hyperlink r:id="rId646" w:history="1">
        <w:r>
          <w:rPr>
            <w:rFonts w:ascii="arial" w:eastAsia="arial" w:hAnsi="arial" w:cs="arial"/>
            <w:i/>
            <w:color w:val="0077CC"/>
            <w:sz w:val="20"/>
            <w:u w:val="single"/>
            <w:shd w:val="clear" w:color="auto" w:fill="FFFFFF"/>
            <w:lang w:val="en-US" w:eastAsia="en-US" w:bidi="ar-SA"/>
          </w:rPr>
          <w:t>[2003] S.C.C.A. No. 145</w:t>
        </w:r>
      </w:hyperlink>
      <w:r>
        <w:rPr>
          <w:rFonts w:ascii="arial" w:eastAsia="arial" w:hAnsi="arial" w:cs="arial"/>
          <w:color w:val="000000"/>
          <w:sz w:val="20"/>
          <w:lang w:val="en-US" w:eastAsia="en-US" w:bidi="ar-SA"/>
        </w:rPr>
        <w:t>, 194 O.A.C. 197, considered what a party must demonstrate to succeed in claiming that a commercial property is unique. At para. 39, the Court said that the party seeking specific performance: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must show that the property in question has a quality that cannot be readily duplicated elsewhere. This quality should relate to the proposed use of the property and be a quality that makes it particularly suitable for the purpose for which it was intended.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I am satisfied the premises at 334 West 12th Avenue were sufficiently unique to warrant an order for specific performance. This is not a situation like in </w:t>
      </w:r>
      <w:r>
        <w:rPr>
          <w:rFonts w:ascii="arial" w:eastAsia="arial" w:hAnsi="arial" w:cs="arial"/>
          <w:i/>
          <w:color w:val="000000"/>
          <w:sz w:val="20"/>
          <w:lang w:val="en-US" w:eastAsia="en-US" w:bidi="ar-SA"/>
        </w:rPr>
        <w:t>Chaulk v. Fairview Construction Ltd.</w:t>
      </w:r>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(1977), 14 Nfld. &amp; P.E.I.R. 13</w:t>
        </w:r>
      </w:hyperlink>
      <w:r>
        <w:rPr>
          <w:rFonts w:ascii="arial" w:eastAsia="arial" w:hAnsi="arial" w:cs="arial"/>
          <w:color w:val="000000"/>
          <w:sz w:val="20"/>
          <w:lang w:val="en-US" w:eastAsia="en-US" w:bidi="ar-SA"/>
        </w:rPr>
        <w:t xml:space="preserve">, 1977 CarswellNfld 12 (citing to CarswellNfld) cited by Sopinka J. in </w:t>
      </w:r>
      <w:r>
        <w:rPr>
          <w:rFonts w:ascii="arial" w:eastAsia="arial" w:hAnsi="arial" w:cs="arial"/>
          <w:i/>
          <w:color w:val="000000"/>
          <w:sz w:val="20"/>
          <w:lang w:val="en-US" w:eastAsia="en-US" w:bidi="ar-SA"/>
        </w:rPr>
        <w:t>Semelhago</w:t>
      </w:r>
      <w:r>
        <w:rPr>
          <w:rFonts w:ascii="arial" w:eastAsia="arial" w:hAnsi="arial" w:cs="arial"/>
          <w:color w:val="000000"/>
          <w:sz w:val="20"/>
          <w:lang w:val="en-US" w:eastAsia="en-US" w:bidi="ar-SA"/>
        </w:rPr>
        <w:t xml:space="preserve"> at para. 22. In </w:t>
      </w:r>
      <w:r>
        <w:rPr>
          <w:rFonts w:ascii="arial" w:eastAsia="arial" w:hAnsi="arial" w:cs="arial"/>
          <w:i/>
          <w:color w:val="000000"/>
          <w:sz w:val="20"/>
          <w:lang w:val="en-US" w:eastAsia="en-US" w:bidi="ar-SA"/>
        </w:rPr>
        <w:t>Chaulk</w:t>
      </w:r>
      <w:r>
        <w:rPr>
          <w:rFonts w:ascii="arial" w:eastAsia="arial" w:hAnsi="arial" w:cs="arial"/>
          <w:color w:val="000000"/>
          <w:sz w:val="20"/>
          <w:lang w:val="en-US" w:eastAsia="en-US" w:bidi="ar-SA"/>
        </w:rPr>
        <w:t>, the appellant-vendor agreed to sell five two-apartment houses in a subdivision under construction. The vendor refused to convey and the purchaser brought an action for specific performance. Gushey J.A. of the Newfoundland Court of Appeal allowed the appeal of an order for specific performance. The Court said,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was nothing whatever unique or irreplaceable about the houses and lots bargained for. They were merely subdivision lots with houses, all of the same general design, built on them, which the respondent was purchasing for investment or re-sale purposes only. He had sold the first two almost immediately at a profit, and intended to do the same with the remainder. It would be quite different if we were dealing with a house or houses which were of a particular architectural design, or were situated in a particularly desirable location, but this was certainly not the case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This case is distinguishable.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Ms. Hundley had been looking for a property which suited her criteria for approximately half a year. She wanted a property with development potential, within her budget, near Vancouver General Hospital, near transit, near the apartment building she already owned and on a main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Property was zoned to permit development and had a 50-foot frontage. It was within her price range and in the area she was looking for. The Property had the added benefit of being on the block on which she grew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 have before me an appraisal prepared by Cunningham &amp; Rivard (the "Appraisal Report"). In the "Addendum" to this report, under the heading "Highest and Best Use", it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subject is listed on the City of Vancouver's Heritage Buildings registrar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xml:space="preserve">] as a [C]lass B heritage site. The Class B denotes a good example of a particular style or type and may have documented historical significance in a neighbourhood. There may be potential for conversion to a strata fourplex in accordance with the RT-6 zoning bylaws, given retention of heritage features. </w:t>
      </w:r>
      <w:r>
        <w:rPr>
          <w:rFonts w:ascii="arial" w:eastAsia="arial" w:hAnsi="arial" w:cs="arial"/>
          <w:b/>
          <w:color w:val="000000"/>
          <w:sz w:val="20"/>
          <w:lang w:val="en-US" w:eastAsia="en-US" w:bidi="ar-SA"/>
        </w:rPr>
        <w:t>The current highest and best use is considered to be a holding use until redevelopment/conversion to a heritage style fourplex becomes feasible.</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 am satisfied that, even as a commercial venture, the Property was sufficiently unique to warrant an order for specific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 have so far considered the claim for specific performance on the assumption that Ms. Hundley's redevelopment plans were purely commercial. In my view, Ms. Hundley's limited experience as a developer and her claim that she intended to live in the Property with her son once it had been redeveloped are also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Case law supports the view that it is more difficult to prove uniqueness in a commercial setting on the basis that a "businessperson can always mitigate a lost profit opportunity, because she can always invest elsewhere": Robert Stack, "A Revised Remedy: Trends and Tendencies in the Law of Specific Performance since Semelhago v. Paramadevan" </w:t>
      </w:r>
      <w:hyperlink r:id="rId648" w:history="1">
        <w:r>
          <w:rPr>
            <w:rFonts w:ascii="arial" w:eastAsia="arial" w:hAnsi="arial" w:cs="arial"/>
            <w:i/>
            <w:color w:val="0077CC"/>
            <w:sz w:val="20"/>
            <w:u w:val="single"/>
            <w:shd w:val="clear" w:color="auto" w:fill="FFFFFF"/>
            <w:lang w:val="en-US" w:eastAsia="en-US" w:bidi="ar-SA"/>
          </w:rPr>
          <w:t>(2000) 6 Appeal 60</w:t>
        </w:r>
      </w:hyperlink>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It cannot be said that Ms. Hundley was a typical businessperson. She had experience buying real estate but her experience as a developer was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Ms. Hundley was careful about her investments. Only once she found something uniquely suited to her did she invest at all. It can therefore not be said that when the Garniers decided not to complete the sale of the Property, Ms. Hundley could easily invest somewhere else to mitigate her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plaintiff is therefore entitled to damages in lieu of specific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As stated earlier, the plaintiff remained ready, willing and able to complete the conveyance of the Property for some time following the completion date. The defendants only relinquished a claim on her deposit on August 16,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The time to assess damages in lieu of specific performance was considered in Harvin D. Pitch &amp; Ronald M. Snyder, </w:t>
      </w:r>
      <w:r>
        <w:rPr>
          <w:rFonts w:ascii="arial" w:eastAsia="arial" w:hAnsi="arial" w:cs="arial"/>
          <w:i/>
          <w:color w:val="000000"/>
          <w:sz w:val="20"/>
          <w:lang w:val="en-US" w:eastAsia="en-US" w:bidi="ar-SA"/>
        </w:rPr>
        <w:t>Damages for Breach of Contract</w:t>
      </w:r>
      <w:r>
        <w:rPr>
          <w:rFonts w:ascii="arial" w:eastAsia="arial" w:hAnsi="arial" w:cs="arial"/>
          <w:color w:val="000000"/>
          <w:sz w:val="20"/>
          <w:lang w:val="en-US" w:eastAsia="en-US" w:bidi="ar-SA"/>
        </w:rPr>
        <w:t xml:space="preserve"> (Toronto: Thomson Reuters, 1989) at 11-6: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object of a damage award in a breach of contract case is to compensate the plaintiff for losses suffered and to place the plaintiff in the position he or she would have occupied had the contract been carried out. Where the plaintiff must mitigate damages, valuation of the loss at the breach date yields a fair result. However, in the field of real estate law, the plaintiff who has entered an agreement to purchase real property may be entitled to claim specific performance in the event the vendor refuses to convey title. In those circumstances, the plaintiff has no obligation to mitigate damages. Circumstances may result in the plaintiff being unable to obtain a judgment for specific performance for reasons unrelated to the merits of the claim,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a third party will not execute a document required for closing. In that case, the plaintiff is forced to accept damages as a remedy. If those damages are valued at the date of breach, and not trial, the plaintiff may be prejudiced.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 am satisfied that Ms. Hundley will only be fully compensated if damages are calculated at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Appraisal Report says the Property was worth $1,050,000 as of July 13, 2010. The plaintiff accepts this valuation. Curiously, despite their assertions that at $912,000 the selling price of the Property was hundreds of thousands of dollars below the fair market price, the defendants now say the Property is worth only $1,000,000.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 accept the value as set out in the Appraisal Report and award damages in lieu of specific performance in the amount of $138,000, representing the appraised value of $1,050,000 less the purchase price of $912,000.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 4: Are the defendants entitled to recover the damages owing to Ms. Hundley from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As outlined above, the defendants allege that the third parties should be required to indemnify them because, they say, any damage suffered by the plaintiff was caused by the third parties'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negligent misrepresentation, breach of fiduciary duty and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allegations are set out in paras. 6-8, 10-15, 18-26 and 28 of the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The defendants rely on s. 5-10 of the </w:t>
      </w:r>
      <w:r>
        <w:rPr>
          <w:rFonts w:ascii="arial" w:eastAsia="arial" w:hAnsi="arial" w:cs="arial"/>
          <w:i/>
          <w:color w:val="000000"/>
          <w:sz w:val="20"/>
          <w:lang w:val="en-US" w:eastAsia="en-US" w:bidi="ar-SA"/>
        </w:rPr>
        <w:t>Council Rules</w:t>
      </w:r>
      <w:r>
        <w:rPr>
          <w:rFonts w:ascii="arial" w:eastAsia="arial" w:hAnsi="arial" w:cs="arial"/>
          <w:color w:val="000000"/>
          <w:sz w:val="20"/>
          <w:lang w:val="en-US" w:eastAsia="en-US" w:bidi="ar-SA"/>
        </w:rPr>
        <w:t xml:space="preserve"> of the Real Estate Council of B.C., adopted by the Council pursuant to s. 86 of the </w:t>
      </w:r>
      <w:r>
        <w:rPr>
          <w:rFonts w:ascii="arial" w:eastAsia="arial" w:hAnsi="arial" w:cs="arial"/>
          <w:i/>
          <w:color w:val="000000"/>
          <w:sz w:val="20"/>
          <w:lang w:val="en-US" w:eastAsia="en-US" w:bidi="ar-SA"/>
        </w:rPr>
        <w:t>Real Estate Services Act,</w:t>
      </w:r>
      <w:r>
        <w:rPr>
          <w:rFonts w:ascii="arial" w:eastAsia="arial" w:hAnsi="arial" w:cs="arial"/>
          <w:color w:val="000000"/>
          <w:sz w:val="20"/>
          <w:lang w:val="en-US" w:eastAsia="en-US" w:bidi="ar-SA"/>
        </w:rPr>
        <w:t xml:space="preserve"> and on s. 4 of the Licensee Practice Manual, now called the Professional Standards Manual, developed by the Council (the "Manual").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The defendants argue Mr. Hunter was in breach of the </w:t>
      </w:r>
      <w:r>
        <w:rPr>
          <w:rFonts w:ascii="arial" w:eastAsia="arial" w:hAnsi="arial" w:cs="arial"/>
          <w:i/>
          <w:color w:val="000000"/>
          <w:sz w:val="20"/>
          <w:lang w:val="en-US" w:eastAsia="en-US" w:bidi="ar-SA"/>
        </w:rPr>
        <w:t>Council Rules</w:t>
      </w:r>
      <w:r>
        <w:rPr>
          <w:rFonts w:ascii="arial" w:eastAsia="arial" w:hAnsi="arial" w:cs="arial"/>
          <w:color w:val="000000"/>
          <w:sz w:val="20"/>
          <w:lang w:val="en-US" w:eastAsia="en-US" w:bidi="ar-SA"/>
        </w:rPr>
        <w:t xml:space="preserve"> in that he did not disclose to the Garniers at the outset the full nature of his relationship with Ms. Hundley.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Section 5-10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5-10</w:t>
      </w:r>
      <w:r>
        <w:rPr>
          <w:rFonts w:ascii="arial" w:eastAsia="arial" w:hAnsi="arial" w:cs="arial"/>
          <w:color w:val="000000"/>
          <w:sz w:val="20"/>
          <w:lang w:val="en-US" w:eastAsia="en-US" w:bidi="ar-SA"/>
        </w:rPr>
        <w:t xml:space="preserve"> Before providing trading services to or on behalf of a party to a trade in real estate, a licensee must disclose the following to the party:</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representation that the licensee will provide to the party;</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applicable,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licensee, or a related licensee, is or expects to be providing trading services to or on behalf of any other person, in any capacity, in relation to the same trade in real estate,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licensee, or a related licensee, is or expects to be receiving remuneration relating to trading services referred to in subparagraph (i) from any other person, and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licensee's relationship, or the relationship of the related licensee, with any person referred to in subparagraph (i) or (ii).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Manual explains the importance of the above section and of providing the information specified in the section at "the first reasonable opportunity". The Manual provides that the Brochure should be provided "at the first substantial opportunity" and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important to stress that the seller's or buyer's informed consent is required before a licensee act on behalf of a seller or buyer. Obtaining such informed consent before acting is also necessary if a licensee wishes to act as a dual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In that section of the Manual covering "Duty of Disclosure by a Limited Dual Agent" the Manual provides that because of the competing interests of the parties the agent is permitted to keep confidential information as to price or other terms a client is willing to accept, the motivation of either client and either client's personal information. The Manual provides the agent is to deal impartially with both clients and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Licensees entering into dual agency agreements with clients often do so by using the Limited Dual Agency Agreement made available by the real estate board. In order to avoid potential misunderstandings, and prior to acting as a dual agent, licensees should review with each party the limitations placed on an agents usual fiduciary duties by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At the heart of defendants' claims against the third parties are their allegations that Mr. Hunter:</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inform them that he was representing Ms. Hundley, or that he had worked with her in the past, before the terms of the Purchase Contract were negotiated;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endeavour to get them the best possible price for the Property;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misrepresented the state of the housing market at the relevant time;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acted solely in the best interests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Mr. Hunter does not deny that he owed the defendants a duty of care and was in the position of fiduciary towards them. However he denies that he was negligent or failed in his duties to them as their real estate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Because the factual underpinnings of the defendants' claims overlap, I will consider the allegations and then outline the legal consequences of my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For the reasons already explained, where the evidence of the Garniers and of Mr. Hunter conflicts, I prefer Mr. Hunter's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Hunter's relationship with Ms. Hundley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Mr. Hunter testified that at his first meeting with the Garniers he explained that he represented a client who was interested in and serious about purchasing their home, he had dealt with her many times, he had known her for many years and she had the financial capacity to complete. I accept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defendants say that the six-week Listing Contract demonstrates that he could not have disclosed this information. In my view, its effect is precisely the opposite. Each of the defendants' prior listing contracts was for a period of three to four months. None resulted in what they considered a "reasonable offer". It is illogical that the defendants, given their real estate experience, expected greater success in less than half the time. I find this evidence is consistent with Mr. Hunter's testimony that he informed the Garniers he represented an interested party; the Listing Contract was tailored to permit negotiations between these two particular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 further find Mr. Hunter reviewed the Brochure with the defendants and their signatures on that document indicate they read and reviewed the document and that Mr. Hunter had explained the types of relationships which can occur between a realtor and the sellers of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One section of the Brochure is particularly relevant. It is titled "Dual Agency" and explains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Dual agency occurs where a Brokerage is representing both the buyer/tenant and the seller/landlord in the same transaction. Since the Brokerage has promised a duty of confidentiality, loyalty and full disclosure to both parties simultaneously, it is necessary to limit these duties in this situation, if both parties consent.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find yourself involved in a dual agency relationship, before making or receiving an offer, both you and the other party will be asked to consent, in writing, to this new limited agency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The Brochure goes on to say the agent will act impartially, and that the duty of disclosure will exclude information as to willingness to alter the price, motivation to sell and personal information. I am satisfied Mr. Hunter explained these issues to the Garniers.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 am therefore satisfied that, having been informed of Mr. Hunter's relationship with the plaintiff and having reviewed and signed the Brochure, the defendants were sufficiently informed about the nature of the dual agency relationship to provide their informed consent to enter into such a relationship and that they did provide that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Agency Agreement did not alter the nature of their relationship. Because I have found they were fully informed from the beginning of their relationship with Mr. Hunter, I place no importance on the time when they signed the Agency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 accept Mr. Hunter's evidence that the Agency Agreement was signed by the Garniers before he presented Ms. Hundley's Offer. If the dual agency relationship concerned the defendants, they were in a position to decline to sign the Purchase Contract. They fully understood it was their decision whether to accept the Offer or make a counter-offer.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Hunter failed to get the defendants the best price for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In light of the Brochure and the Agency Agreement, Mr. Hunter's duty to the defendants regarding setting the price and assisting them to determine whether the Offer price was fair was limited. It was his duty to remain impartial. I find that he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He assisted the defendants to set an asking price which was $20,000 above the $900,000 price they admitted was their minimum price. I accept his evidence that the Garniers suggested $910,000 and he suggested they increase it to $920,000.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He took this price to Ms. Hundley who testified that she determined she would offer $912,000 without Mr. Hunter's advice and in spite of his comment that he thought the defendants would not accept this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He returned to the defendants' with the Offer. I do not accept that he recommended that they not make a counter-offer. The defendants made the Counter-Offer limiting their exposure on the oil tank issue but did not seek to increase the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 reject their evidence that they expected the Property to be listed on MLS and that the price was set to encourage a bidding war. This evidence is improbable given the short duration of the Listing Contract and the fact that on the three previous occasions when they listed the Property, they had not received any offers.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defendants rely on the prices they previously asked for the Property as evidence of its value. As the Property did not sell when marketed at those higher prices, I cannot find that is evidence of the Property's value. The fact the Property did not sell is evidence that the Property was worth less than the amount it was listed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At trial, the defendants also sought to adduce an appraisal dated April 25, 2007. I refused to admit it in evidence, in part, because in the section detailing the scope of the report it says "[t]he mandate of this appraisal did not require a report prepared to the standard appropriate for court purposes or arbitration, therefore primary sources of information were not confirmed."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only evidence of the value of the Property at the relevant time is the Authority's amended assessment of $875,000, Ms. Hundley's willingness to pay $912,000 and the comparables prepared by Mr. Hunter. The Garniers initiated the reassessment and were content with the reassessed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 accept Mr. Hunter's evidence that when requested by Prudential he prepared the bundle of some 43 listings to demonstrate again not only alternate premises within the defendants' price range, but also that at the time, the price they were to receive from Ms. Hundley represented good market value and a fair, if not good,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There is no factual basis from which I can conclude that the Property was worth more than the $920,000 listing price Mr. Hunter recommended.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Hunter misrepresented the state of the housing market at the relevant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I do not accept the Garniers' argument. Mr. Hunter presented a number of comparable listings to the Garniers for their consideration. He left those listings with them following the meeting of February 8, 2007. He subsequently provided them with a further bundle of listings to demonstrate fair market value. The evidence at trial was that the sale price of $912,000 represented the highest sale price for comparable property in the area for several years after the completion date for their transaction.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Hunter acted solely in the plaintiff's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The Garniers say that they became concerned Mr. Hunter was not representing their interests because he inserted a provision in the Purchase Contract which imposed a liability on them should an oil tank be discovered on the Property; he ignored their requests to confirm that Ms. Hundley had made the appropriate deposits as called for in the Purchase Contract and he had misled them when he advised them prices in the neighbourhood were falling.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For the following reasons, I do not accept that Mr. Hunter acted solely for the plaintiff:</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their first meeting, Mr. Hunter told the defendants that he represented Ms. Hundley. It was not in the plaintiff's interest that he do so;</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Hunter recommended the defendants increase their asking price from $910,000 to $920,000; and</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Hundley gave evidence that Mr. Hunter told her he thought the defendants would not accept $912,000.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 have addressed the allegation that Mr. Hunter misrepresented the state of the housing market above and their claims that they sought, but were not given, proof the deposits had been paid. Neither allegation is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term respecting the oil tank concerned the price. Any cost to the defendants to remove a tank would reduce their profit on the sale. As explained in the Brochure, because of the dual agency relationship Mr. Hunter was required to be impartial concerning the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clause was added for Ms. Hundley's benefit and the defendants' exposure was limited for their benefit. It cannot be said Mr. Hunter acted other than impartially in this matter. His testimony concerning the liability which rested on owners arising from unused oil tanks was not contested.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During her testimony Ms. Garnier sought to persuade the Court that Mr. Hunter deliberately tried to depress the market value of the Property when he offered to assist her on the assessment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Mr. Hunter's offer to assist them was nothing other than a good faith offer to assist. Ms. Garnier's attempt to turn that offer into a design to mislead them is but one example of the couple's attempts throughout their testimony to unfairly discredit Mr. Hunter.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 turn now to consider each allegation against the third parties in light of my findings of fact.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The claim for breach of contract is based on the claim that Mr. Hunter breached the Listing Contract, and his contractual duties of loyalty and disclosure under it, by failing to disclose his relationship with Ms. Hundley, failing to act in the defendants' best interests, and failing to assist them to get the best price possible for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I have rejected each of these allegations against Mr. Hunter. There was no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I have found that Mr. Hunter disclosed his relationship with Ms. Hundley and the defendants consented to the dual agency relationship with full knowledge of what it entailed; he did not breach his duty of disclosure as required by Schedule "A" of the Listing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He acted impartially and therefore did not breach his duty of loyalty under Schedule "A" of the Listing Contract.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 defendants' claim for breach of fiduciary duty is based on their allegations that he did not act in their best interests, misrepresented the state of the real estate market at the relevant time, and directed them to list at and accept a lower price than the Property was worth.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xml:space="preserve">  I find Mr. Hunter fully complied with his duties under the </w:t>
      </w:r>
      <w:r>
        <w:rPr>
          <w:rFonts w:ascii="arial" w:eastAsia="arial" w:hAnsi="arial" w:cs="arial"/>
          <w:i/>
          <w:color w:val="000000"/>
          <w:sz w:val="20"/>
          <w:lang w:val="en-US" w:eastAsia="en-US" w:bidi="ar-SA"/>
        </w:rPr>
        <w:t>Real Estate Services Act</w:t>
      </w:r>
      <w:r>
        <w:rPr>
          <w:rFonts w:ascii="arial" w:eastAsia="arial" w:hAnsi="arial" w:cs="arial"/>
          <w:color w:val="000000"/>
          <w:sz w:val="20"/>
          <w:lang w:val="en-US" w:eastAsia="en-US" w:bidi="ar-SA"/>
        </w:rPr>
        <w:t xml:space="preserve"> and the Manual when he informed the defendants of his relationship with Ms. Hundley at both the initial meeting he had with them when they signed the Listing Contract and in the subsequent meetings when he presented Ms. Hundley's Offer and when they accepted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For the reasons explained earlier, I have rejected the defendants' allegations that Mr. Hunter acted improperly in assisting them to determine a list price or when they determined to accept Ms. Hundley's Offer. He made it clear to them that under the Agency Agreement he could not advise them on the Offer; that they would have make their decision on their own. The Garniers, as knowledgeable sellers, acted on Ms. Hundley's Offer of their own volition.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I have not found any wrong-doing on Mr. Hunter's part. Mr. Hunter acted reasonably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xml:space="preserve">  In addition to alleging that he was negligent in his handling of the transaction, the defendants allege Mr. Hunter was negligent in drafting the Purchase Contract. No damages flowed from the wording of the Purchase Contract and therefore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respect is not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Based on the foregoing, I cannot find that Mr. Hunter failed to meet the standard of care required of a real estate agent engaged in a dual agency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 conclude:</w:t>
      </w:r>
      <w:r>
        <w:rPr>
          <w:rFonts w:ascii="arial" w:eastAsia="arial" w:hAnsi="arial" w:cs="arial"/>
          <w:sz w:val="20"/>
          <w:lang w:val="en-US" w:eastAsia="en-US" w:bidi="ar-SA"/>
        </w:rPr>
        <w:cr/>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action against the defendants is allowed;</w:t>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entitled to recover damages in the amount of $138,000;</w:t>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claim against the third parties is dismissed; and</w:t>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and the third parties are entitled to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GREYELL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May 20,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the cover page, Q.T. Duong as counsel for the plaintiff has been added.</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6" style="position:absolute;z-index:251788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9"/>
          <w:headerReference w:type="default" r:id="rId650"/>
          <w:footerReference w:type="even" r:id="rId651"/>
          <w:footerReference w:type="default" r:id="rId652"/>
          <w:headerReference w:type="first" r:id="rId653"/>
          <w:footerReference w:type="first" r:id="rId65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55" w:history="1">
        <w:r>
          <w:rPr>
            <w:rFonts w:ascii="arial" w:eastAsia="arial" w:hAnsi="arial" w:cs="arial"/>
            <w:b/>
            <w:bCs/>
            <w:i/>
            <w:color w:val="0077CC"/>
            <w:kern w:val="32"/>
            <w:sz w:val="28"/>
            <w:szCs w:val="32"/>
            <w:u w:val="single"/>
            <w:shd w:val="clear" w:color="auto" w:fill="FFFFFF"/>
            <w:lang w:val="en-US" w:eastAsia="en-US" w:bidi="ar-SA"/>
          </w:rPr>
          <w:t>Josephson v. Merritt (City), [2003] I.L.R. para. G-1696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Insurance Law Reporter Cases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McEwan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October 1, 2003.</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2003</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[2003] I.L.R. para. G-1696</w:t>
      </w:r>
    </w:p>
    <w:p>
      <w:pPr>
        <w:spacing w:before="120" w:line="260" w:lineRule="atLeast"/>
        <w:rPr>
          <w:lang w:val="en-US" w:eastAsia="en-US" w:bidi="ar-SA"/>
        </w:rPr>
      </w:pPr>
      <w:r>
        <w:rPr>
          <w:rFonts w:ascii="arial" w:eastAsia="arial" w:hAnsi="arial" w:cs="arial"/>
          <w:color w:val="000000"/>
          <w:sz w:val="20"/>
          <w:lang w:val="en-US" w:eastAsia="en-US" w:bidi="ar-SA"/>
        </w:rPr>
        <w:t>Josephson v. Merritt (City)</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27" style="position:absolute;z-index:25168896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15" w:name="Keywords_7"/>
      <w:bookmarkEnd w:id="115"/>
      <w:r>
        <w:rPr>
          <w:rFonts w:ascii="arial" w:eastAsia="arial" w:hAnsi="arial" w:cs="arial"/>
          <w:b/>
          <w:color w:val="000000"/>
          <w:sz w:val="20"/>
          <w:lang w:val="en-US" w:eastAsia="en-US" w:bidi="ar-SA"/>
        </w:rPr>
        <w:t xml:space="preserve">Public nuisance — Parking sign falling — Plaintiff tripping over sign on sidewalk — Sign had been designed to break under force — No public nuisance — City official moving broken sign and replacing it — No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 part of City.</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16" w:name="Case Summary_7"/>
            <w:bookmarkEnd w:id="116"/>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an action in nuisance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City, arising from a broken parking sign. The plaintiff had gone inside a City arena during a fire alarm, and when he returned outside, he tripped over a parking sign lying on the sidewalk. The sign had been pulled down during the fire alarm by some young people. The fire chief had alerted the public works department, and moved the sign to the sidewalk. The post supporting the parking sign had been scored to allow it to break away on impact by a motor vehicle. The plaintiff argued that the City created a public nuisance in scoring the post so that it fell in the circumstances of this case. He also argued that the City was negligent in installing the post. </w:t>
            </w:r>
            <w:r>
              <w:rPr>
                <w:lang w:val="en-US" w:eastAsia="en-US" w:bidi="ar-SA"/>
              </w:rPr>
              <w:cr/>
            </w:r>
          </w:p>
          <w:p>
            <w:pPr>
              <w:spacing w:before="120" w:line="260" w:lineRule="atLeast"/>
              <w:ind w:left="240"/>
              <w:jc w:val="both"/>
              <w:rPr>
                <w:lang w:val="en-US" w:eastAsia="en-US" w:bidi="ar-SA"/>
              </w:rPr>
            </w:pPr>
            <w:bookmarkStart w:id="117" w:name="Holdings of Court_6"/>
            <w:bookmarkEnd w:id="117"/>
            <w:r>
              <w:rPr>
                <w:rFonts w:ascii="arial" w:eastAsia="arial" w:hAnsi="arial" w:cs="arial"/>
                <w:color w:val="000000"/>
                <w:sz w:val="20"/>
                <w:lang w:val="en-US" w:eastAsia="en-US" w:bidi="ar-SA"/>
              </w:rPr>
              <w:t>HELD: The plaintiff's action was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Court found that the area of public nuisance was a poorly understood part of the law. Factors in establishing public nuisance would include the inconvenience caused by the activity, the difficulty involved in avoiding the risk, the usefulness of the activity, the general practice of others, and the character of the neighbourhood. In this case, the posts had been scored to address a safety concern relating to motor vehicles. This did not create an unreasonable interference with public safety, and it was not the City but the wilful conduct of other members of the public that had created the hazard. The City's conduct accorded with general practice in other municipalities. No nuisance was established.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There was insufficient evidence to establish that the degree of scoring on the sign post was a danger to passers-by. When this post fell, it had been quickly moved to a position of relative safety, and was replaced temporarily within about 15 minutes. The City had taken all reasonable care required, and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established. </w:t>
            </w:r>
            <w:r>
              <w:rPr>
                <w:lang w:val="en-US" w:eastAsia="en-US" w:bidi="ar-SA"/>
              </w:rPr>
              <w:cr/>
            </w:r>
          </w:p>
          <w:p>
            <w:pPr>
              <w:rPr>
                <w:lang w:val="en-US" w:eastAsia="en-US" w:bidi="ar-SA"/>
              </w:rPr>
            </w:pPr>
          </w:p>
        </w:tc>
      </w:tr>
    </w:tbl>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740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56"/>
          <w:headerReference w:type="default" r:id="rId657"/>
          <w:footerReference w:type="even" r:id="rId658"/>
          <w:footerReference w:type="default" r:id="rId659"/>
          <w:headerReference w:type="first" r:id="rId660"/>
          <w:footerReference w:type="first" r:id="rId66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62" w:history="1">
        <w:r>
          <w:rPr>
            <w:rFonts w:ascii="arial" w:eastAsia="arial" w:hAnsi="arial" w:cs="arial"/>
            <w:b/>
            <w:bCs/>
            <w:i/>
            <w:color w:val="0077CC"/>
            <w:kern w:val="32"/>
            <w:sz w:val="28"/>
            <w:szCs w:val="32"/>
            <w:u w:val="single"/>
            <w:shd w:val="clear" w:color="auto" w:fill="FFFFFF"/>
            <w:lang w:val="en-US" w:eastAsia="en-US" w:bidi="ar-SA"/>
          </w:rPr>
          <w:t>Kirkpatrick v. Parkinson Estate (Public Trustee of), [2004] B.C.J. No. 157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Goepel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5,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30,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A973073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29 B.C.L.R. (4th) 128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 R.P.R. (4th) 290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128 A.C.W.S. (3d) 834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Gary Joseph Kirkpatrick and Janet Diane Kirkpatrick, plaintiffs, and The Public Trustee in his capacity as the Administrator of the Estate of William Parkinson, Deceased, Rodney Daniel Dick, Kenneth Jacques Acting Registrar of Land Titles for the New Westminster Land Registration District, Attorney General for British Columbia as Representative of the Land Title Assurance Fund, Westminster Savings Credit Union and Vancouver City Savings Credit Union,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(62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Supplementary reasons for judgment were released March 18, 2004. See </w:t>
      </w:r>
      <w:hyperlink r:id="rId663" w:history="1">
        <w:r>
          <w:rPr>
            <w:rFonts w:ascii="arial" w:eastAsia="arial" w:hAnsi="arial" w:cs="arial"/>
            <w:i/>
            <w:color w:val="0077CC"/>
            <w:sz w:val="18"/>
            <w:u w:val="single"/>
            <w:shd w:val="clear" w:color="auto" w:fill="FFFFFF"/>
            <w:lang w:val="en-US" w:eastAsia="en-US" w:bidi="ar-SA"/>
          </w:rPr>
          <w:t>[2004] B.C.J. No. 521</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8" w:name="Counsel_27"/>
      <w:bookmarkEnd w:id="11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9"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Gary Joseph Kirkpatrick and Janet Diane Kirkpatrick, appeared on their own behalf. D.J. Manson, for the defendant, The Public Trustee. J.S. de Villiers, Q.C., for the defendant, Attorney General of British Columbia.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9" w:name="Judgment_27"/>
      <w:bookmarkEnd w:id="119"/>
      <w:r>
        <w:pict>
          <v:line id="_x0000_s1130" style="position:absolute;z-index:2517411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0" w:name="GOEPEL J."/>
            <w:bookmarkEnd w:id="120"/>
            <w:r>
              <w:rPr>
                <w:rFonts w:ascii="arial" w:eastAsia="arial" w:hAnsi="arial" w:cs="arial"/>
                <w:b/>
                <w:color w:val="000000"/>
                <w:sz w:val="30"/>
                <w:lang w:val="en-US" w:eastAsia="en-US" w:bidi="ar-SA"/>
              </w:rPr>
              <w:t>GOEPEL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November 1992 Gary and Janet Kirkpatrick bought a three-acre parcel of land in Maple Ridge. Based on their review of plans in the Land Title Office, they believed their property had road access along its entire frontage. Unbeknownst to the Kirkpatricks, the plans they reviewed were not accurate and the adjoining lands were, in fact, not a road but private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Earlier in this proceeding, the Kirkpatricks sought a declaration that the adjoining property was a road. That application was dismissed (</w:t>
      </w:r>
      <w:hyperlink r:id="rId664" w:history="1">
        <w:r>
          <w:rPr>
            <w:rFonts w:ascii="arial" w:eastAsia="arial" w:hAnsi="arial" w:cs="arial"/>
            <w:i/>
            <w:color w:val="0077CC"/>
            <w:sz w:val="20"/>
            <w:u w:val="single"/>
            <w:shd w:val="clear" w:color="auto" w:fill="FFFFFF"/>
            <w:lang w:val="en-US" w:eastAsia="en-US" w:bidi="ar-SA"/>
          </w:rPr>
          <w:t>[2001] 43 R.P.R. (3d) 60</w:t>
        </w:r>
      </w:hyperlink>
      <w:r>
        <w:rPr>
          <w:rFonts w:ascii="arial" w:eastAsia="arial" w:hAnsi="arial" w:cs="arial"/>
          <w:color w:val="000000"/>
          <w:sz w:val="20"/>
          <w:lang w:val="en-US" w:eastAsia="en-US" w:bidi="ar-SA"/>
        </w:rPr>
        <w:t xml:space="preserve"> (B.C.S.C.), aff'd </w:t>
      </w:r>
      <w:hyperlink r:id="rId665" w:history="1">
        <w:r>
          <w:rPr>
            <w:rFonts w:ascii="arial" w:eastAsia="arial" w:hAnsi="arial" w:cs="arial"/>
            <w:i/>
            <w:color w:val="0077CC"/>
            <w:sz w:val="20"/>
            <w:u w:val="single"/>
            <w:shd w:val="clear" w:color="auto" w:fill="FFFFFF"/>
            <w:lang w:val="en-US" w:eastAsia="en-US" w:bidi="ar-SA"/>
          </w:rPr>
          <w:t>(2002), 8 B.C.L.R. (4th) 24</w:t>
        </w:r>
      </w:hyperlink>
      <w:r>
        <w:rPr>
          <w:rFonts w:ascii="arial" w:eastAsia="arial" w:hAnsi="arial" w:cs="arial"/>
          <w:color w:val="000000"/>
          <w:sz w:val="20"/>
          <w:lang w:val="en-US" w:eastAsia="en-US" w:bidi="ar-SA"/>
        </w:rPr>
        <w:t xml:space="preserve"> (C.A.)). The Kirkpatricks now make a claim against the assurance fund for compensation pursuant to section 298(1) of the Land Title Act,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 xml:space="preserve"> (the "LTA").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Attorney General of British Columbia, as representative of the Land Title Assurance Fund (the "Attorney General") and The Public Trustee, in his capacity as the Administrator of the Estate of William Parkinson, Deceased, (the "Public Trustee") are the only remaining defendants in this litigation. The Attorney General, pursuant to Rules 18 and 19(24), and the Public Trustee, pursuant to Rules 18, 18A and 19(24), now move to dismiss the Kirkpatricks'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Kirkpatricks in turn seek to amend their pleadings so as to recast their claims to reflect findings made in the earlier rulings. The Attorney General opposes these amendments on the ground that they raise a new cause of action which is statute barred. The Public Trustee also opposes the amendments although on somewhat different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Although the claims against the Attorney General and the Public Trustee arise from the same factual matrix, they raise discrete issues. To properly understand these issues it is necessary to review the history in some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genesis of this litigation is a Crown grant of those lands described as the South West Quarter of Section 16, Township 12, New Westminster District issued to Mr. William Parkinson for consideration of $5.00 on January 17, 1884, which lands were said to contain 160 acres "more or less". The grant allowed the Crown to resume up to a 1/20th part of the lands for roads or other works of public utility.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November 25, 1911, Mr. Parkinson deposited two subdivision plans at the Land Registry Office in New Westminster. Reference Plan 1017 subdivided a six-acre parcel of land on the western side of the property. "Road Reserve" is written on a strip outside the boundary line of this subdivided land and extending southward, apparently past the southwest corner of the Quarter Section. Reference Plan 1556A subdivided a ten-acre parcel, described as Parcel B, in the southeast corner of the Quarter Section. This plan shows Parcel B as bounded on its southern side by a strip marked "Road". The lands the Kirkpatricks purchased in 1992 are a portion of Parcel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Although the Crown grant was issued on January 17, 1884, title was not registered in Mr. Parkinson's name until April 15, 1913, when he was issued Absolute Certificate of Title No. 26819F which title encompassed the lands in the original grant other than the two parcels that had been subdivided in 1911.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1916, Mr. Parkinson died intestate and the administration of his estate fell to the Official Administrator. In 1917, the Official Administrator deposited Plan 22259E in the Land Registry Office. The plan depicts the six-acre parcel on the southwest side of the property and the ten-acre parcel in its southeast corner. Along the full southern boundary of the Quarter Section, including the southern boundary of Parcel B, there is a strip marked "Road" (the "Southern Strip"). Along the entire western boundary of the Quarter Section there is a strip marked "North Ast. (Assumed) Road" (the "Western Strip"). The deposit of these instruments raised Certificate of Title No. 22259E and resulted in the concurrent cancellation of Certificate of Title No. 26819F.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Until December 1995 the Southern Strip was designated as a road on all subsequent survey plans accepted by the Land Registry Office, including in particular Plan of Subdivision 35398 accepted and registered on May 23, 1969 and Plan of Subdivision 39988 accepted and registered on September 15, 1971. In Plans 35398 and 39988 the Southern Strip was described as "112th Avenue". Plan 39988 created the Kirkpatricks' parcel of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November 1991, the registrar reinstated Absolute Certificate of Title No. 26819F. The only remaining lands encompassed by the certificate of title were the Southern Strip and the Western Strip (the "Parkinson Remainder Property"). The two strips made up an L-shaped parcel of land comprised of two 66-foot wide corridors of land, each approximately four acres in area. When the registrar reinstated that title, he did not amend or make notes on the accompanying survey plans to indicate that the ten-acre parcel created in 1911 and all subsequent parcels never had road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November 25, 1992, the Kirkpatricks purchased the three-acre parcel which, as previously noted, formed part of Parcel B created in 1911. The Kirkpatricks planned to subdivide and develop their property. Prior to their purchase, the Kirkpatricks had examined Plans 35398 and 39988 which both showed the Southern Strip as 112th Avenue. From their review of the plans, the Kirkpatricks assumed that their property had road access along its entire frontage.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Subsequent to their purchase, the Kirkpatricks became aware of the reinstatement of Absolute Certificate of Title No. 26819F. The Kirkpatricks allege that as a result of the reinstatement their property no longer has road access and consequently they are no longer able to develop and subdivide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Public Trustee first became aware of the Parkinson Remainder Property in February 1992, when it received a letter from the solicitor for Genstar Corporation, a company then considering an assembly of land in the Maple Ridge area. On February 21, 1995, the Public Trustee was granted Letters of Administration de bonis non of the unadministered portion of Mr. Parkinson's estate, being the Parkinson Remainder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Upon investigation, the Public Trustee determined that most of the Western Strip was part of 232nd Street in the Municipality of Maple Ridge. Negotiations took place between the Public Trustee and Maple Ridge that led to the subdivision of the Parkinson Remainder Property into separate indefeasible legal titles for each of the Western Strip and the Southern Strip. Shortly thereafter the Public Trustee sold the Western Strip to Maple Ridge for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June 1995, some discussions took place between the Kirkpatricks and a representative of the Public Trustee. The Kirkpatricks brought to the Public Trustee's attention that part of the Kirkpatricks' driveway and some services to the Kirkpatricks' property crossed the Southern 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August 15, 1996, the Public Trustee listed the Southern Strip for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September 3, 1996, the Kirkpatricks made a written request to the Public Trustee for an easement over the Southern Strip for their driveway and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November 21, 1996, the Public Trustee agreed to sell the Southern Strip to Maple Development Corporation, which subsequently assigned its rights under the agreement of purchase and sale to Mr. Rodney Dick.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January 27, 1997, the Public Trustee completed the sale of the Southern Strip to Mr. Dick for $115,000. The agreement of purchase and sale included a clause which specifically recognized that Mr. Dick acquired title subject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rights of easement or claims to an interest in the property which may be advanced by the Kirkpatricks, the District of Maple Ridge, B.C. Gas, B.C. Hydro, B.C. Tel or Rogers 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Public Trustee never agreed to grant the Kirkpatricks an easement or right-of-way over the Southern Strip and the Kirkpatricks never offered or made any payment to the Public Trustee for such an easement or right-of-way.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Dick mortgaged the Southern Strip to Westminster Savings Credit Union and, in subsequent foreclosure proceedings brought by that mortgagee, the Southern Strip was sold to its present owners, Jeffrey and Nicole Kolebaba. The Kirkpatricks advised at the hearing that they are in the process of concluding negotiations with the Kolebabas to obtain an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Kirkpatricks commenced this action on November 21, 1997. In their amended statement of claim dated December 22, 1998 (the "AMSTC"), the Kirkpatricks claim damages against the Attorney General on the grounds of one alleged mistake and one alleged omission by the Registrar of Land Titles. Other than a claim in the prayer for relief for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AMSTC makes no specific allegations against the Public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claim against the Attorney General the alleged mistake was the reinstatement of title to the Parkinson Remainder Property in 1991. The omission was the registrar's failure to make marginal notes on the various plans and titles affected by the reinstatement of title to the Parkinson Remainder Property. The Kirkpatricks alleged that the registrar should have made marginal notes on the plans filed in the Land Title Office. If that had been done, anyone relying on the plans would have been aware that the lands marked as a road had in fact been converted into private property, meaning certain titles had no legal road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Kirkpatricks alleged that if the registrar had conducted a proper investigation before reinstating Title No. 26819F, he would have concluded that the Parkinson Remainder Property was in fact a public road created by dedication with the deposit of Subdivision Plan 1556A in 1911. They further alleged that the Southern Strip had become a public road by common law dedication, resulting from public use and acceptance, or as a highway under section 4 of the Highway Act, </w:t>
      </w:r>
      <w:hyperlink r:id="rId44" w:history="1">
        <w:r>
          <w:rPr>
            <w:rFonts w:ascii="arial" w:eastAsia="arial" w:hAnsi="arial" w:cs="arial"/>
            <w:i/>
            <w:color w:val="0077CC"/>
            <w:sz w:val="20"/>
            <w:u w:val="single"/>
            <w:shd w:val="clear" w:color="auto" w:fill="FFFFFF"/>
            <w:lang w:val="en-US" w:eastAsia="en-US" w:bidi="ar-SA"/>
          </w:rPr>
          <w:t>R.S.B.C. 1996, c. 188</w:t>
        </w:r>
      </w:hyperlink>
      <w:r>
        <w:rPr>
          <w:rFonts w:ascii="arial" w:eastAsia="arial" w:hAnsi="arial" w:cs="arial"/>
          <w:color w:val="000000"/>
          <w:sz w:val="20"/>
          <w:lang w:val="en-US" w:eastAsia="en-US" w:bidi="ar-SA"/>
        </w:rPr>
        <w:t>. They sought in their prayer for relief a declaration that the Southern Strip was a public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Kirkpatricks brought an application for summary judgment under Rule 18A for a declaration that the Southern Strip was a public highway. Edwards J. ruled against them. He held that the registrar had not erred in reinstating title to the Parkinson Remainder Property ( </w:t>
      </w:r>
      <w:hyperlink r:id="rId664" w:history="1">
        <w:r>
          <w:rPr>
            <w:rFonts w:ascii="arial" w:eastAsia="arial" w:hAnsi="arial" w:cs="arial"/>
            <w:i/>
            <w:color w:val="0077CC"/>
            <w:sz w:val="20"/>
            <w:u w:val="single"/>
            <w:shd w:val="clear" w:color="auto" w:fill="FFFFFF"/>
            <w:lang w:val="en-US" w:eastAsia="en-US" w:bidi="ar-SA"/>
          </w:rPr>
          <w:t>[2001] 43 R.P.R. (3d) 60</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Kirkpatricks' appeal was dismissed: </w:t>
      </w:r>
      <w:hyperlink r:id="rId665" w:history="1">
        <w:r>
          <w:rPr>
            <w:rFonts w:ascii="arial" w:eastAsia="arial" w:hAnsi="arial" w:cs="arial"/>
            <w:i/>
            <w:color w:val="0077CC"/>
            <w:sz w:val="20"/>
            <w:u w:val="single"/>
            <w:shd w:val="clear" w:color="auto" w:fill="FFFFFF"/>
            <w:lang w:val="en-US" w:eastAsia="en-US" w:bidi="ar-SA"/>
          </w:rPr>
          <w:t>(2002), 8 B.C.L.R. (4th) 24</w:t>
        </w:r>
      </w:hyperlink>
      <w:r>
        <w:rPr>
          <w:rFonts w:ascii="arial" w:eastAsia="arial" w:hAnsi="arial" w:cs="arial"/>
          <w:color w:val="000000"/>
          <w:sz w:val="20"/>
          <w:lang w:val="en-US" w:eastAsia="en-US" w:bidi="ar-SA"/>
        </w:rPr>
        <w:t xml:space="preserve"> (C.A.). The Court of Appeal concluded that the Southern Strip had been included in the Crown grant and had not been excepted out. Since the Crown had not elected to resume it as a public road, it was not possible to dedicate it as a public road, nor did it become such in the absence of public travel and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result vindicated the registrar's decision to reinstate title to the Parkinson Remainder Property, leaving only the Kirkpatricks' claim that the registrar should have made marginal notes on all plans and titles affected by the reinstatement of title to the Parkinson Remainder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APPLICATION OF THE ATTORNEY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Attorney General now moves for an order pursuant to Rule 19(24)(a) striking out the AMSTC on the ground that it discloses no reasonable claim, or alternatively, an order pursuant to Rule 18 dismissing the Kirkpatricks' action on the ground there is no merit in the whole or part of their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noted above, previous decisions in this action have determined that the registrar did not make a mistake by reinstating title to the Parkinson Remainder Property. The remaining claim, that the registrar should have made marginal notes on all plans and titles affected by the reinstatement of title to the Parkinson Remainder Property cannot succeed. Although section 383 of the LTA allows the registrar to make corrections to the register or instruments, that power is permissive. The LTA imposes no duty on the registrar to make marginal notes, or, indeed, to make any correction to any plan or title as a consequence of correcting another title or otherwise, whether or not that title affects adjoining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result, there is no merit in whole or in part to the existing claims. Based on the existing pleadings, the Attorney General is entitled to have the action against it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KIRKPATRICKS' APPLICATION TO AMEND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Kirkpatricks bring application to amend the AMSTC. The amendments raise new causes of action against both the Attorney General and the Public Trustee. Both the Attorney General and the Public Trustee oppose the amendments.</w:t>
      </w:r>
      <w:r>
        <w:rPr>
          <w:rFonts w:ascii="arial" w:eastAsia="arial" w:hAnsi="arial" w:cs="arial"/>
          <w:sz w:val="20"/>
          <w:lang w:val="en-US" w:eastAsia="en-US" w:bidi="ar-SA"/>
        </w:rPr>
        <w:cr/>
      </w:r>
    </w:p>
    <w:p>
      <w:pPr>
        <w:numPr>
          <w:numId w:val="1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Amended Claim Against the Attorney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proposed amendments recognize the validity of the registrar's decision to reinstate title to the Parkinson Remainder Property. The Kirkpatricks now say that the various plans filed, commencing with Plan 1556A in 1911, contained material errors and the registrar made a mistake by accepting and registering those plans knowing that they would be relied on by the public. It is further alleged that the registrar erred in 1917 when he cancelled Absolute Certificate of Title No. 26819F.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These allegations clearly constitute a new cause of action. Whereas the original claim alleged that the registrar erred in reinstating title to the Parkinson Remainder Property, the underpinning of the present claim is that the registrar erred in cancelling it in the first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Attorney General submits that if the "mistake" in the proposed amended statement of claim amounts to a mistake within the meaning of section 298 of the LTA, which is not conceded, then the Kirkpatricks' new cause of action is statute barred and should not be allowed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foundation of the Kirkpatricks' claim is section 298 of the LTA. Sections 298(1) and (2) read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sustaining loss or damages caused solely as a result of an omission, mistake or misfeasance of the registrar, or the registrar's employees, in the execution of their respective duties under this Act, may, subject to section 303, proceed in the Supreme Court against the Attorney General as nominal defendant for the purpose of recovering the amount of the loss or damages and costs from the assurance fund.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the Limitation Act, an action may not be brought against the Attorney General under this section unless the action is commenced within a period of 6 years from the time the loss or damage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Under section 298(2), an action must be commenced within six years from the time the loss or damage occurred. The first question for determination is when did the loss or damage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Rieger v. Vancouver (City of), </w:t>
      </w:r>
      <w:hyperlink r:id="rId666" w:history="1">
        <w:r>
          <w:rPr>
            <w:rFonts w:ascii="arial" w:eastAsia="arial" w:hAnsi="arial" w:cs="arial"/>
            <w:i/>
            <w:color w:val="0077CC"/>
            <w:sz w:val="20"/>
            <w:u w:val="single"/>
            <w:shd w:val="clear" w:color="auto" w:fill="FFFFFF"/>
            <w:lang w:val="en-US" w:eastAsia="en-US" w:bidi="ar-SA"/>
          </w:rPr>
          <w:t>[1989] B.C.J. No. 711</w:t>
        </w:r>
      </w:hyperlink>
      <w:r>
        <w:rPr>
          <w:rFonts w:ascii="arial" w:eastAsia="arial" w:hAnsi="arial" w:cs="arial"/>
          <w:color w:val="000000"/>
          <w:sz w:val="20"/>
          <w:lang w:val="en-US" w:eastAsia="en-US" w:bidi="ar-SA"/>
        </w:rPr>
        <w:t xml:space="preserve"> (S.C.), Hinds J., as he then was, held that the loss or damage occurs at the time the registrar makes the mistake. In that case the registrar issued an erroneous title in 1954. The property changed hands several times before Mr. Rieger purchased it in 1983. In 1984, he became aware of a misdescription in his title and brought a claim against the assurance fund. Hinds J. concluded that the damage occurred in 1954 when the registrar made the mistake. Since the writ was not issued until 1984, some 30 years later, the claim was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Armstrong v. West Vancouver (District of) </w:t>
      </w:r>
      <w:hyperlink r:id="rId667" w:history="1">
        <w:r>
          <w:rPr>
            <w:rFonts w:ascii="arial" w:eastAsia="arial" w:hAnsi="arial" w:cs="arial"/>
            <w:i/>
            <w:color w:val="0077CC"/>
            <w:sz w:val="20"/>
            <w:u w:val="single"/>
            <w:shd w:val="clear" w:color="auto" w:fill="FFFFFF"/>
            <w:lang w:val="en-US" w:eastAsia="en-US" w:bidi="ar-SA"/>
          </w:rPr>
          <w:t>(2003), 10 B.C.L.R (4th) 305</w:t>
        </w:r>
      </w:hyperlink>
      <w:r>
        <w:rPr>
          <w:rFonts w:ascii="arial" w:eastAsia="arial" w:hAnsi="arial" w:cs="arial"/>
          <w:color w:val="000000"/>
          <w:sz w:val="20"/>
          <w:lang w:val="en-US" w:eastAsia="en-US" w:bidi="ar-SA"/>
        </w:rPr>
        <w:t xml:space="preserve"> (C.A.), the Court considered whether a claim was barred by the 30-year limitation period prescribed in the Limitation Act, </w:t>
      </w:r>
      <w:hyperlink r:id="rId308"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(the "LA"). In Armstrong, a house had been constructed on improper fill in 1963. The plaintiff purchased the house in 1987 but did not commence proceedings until 1999. Resolution of the case depended on when the damage to the building had occurred. The Court found the claim was statue barred, noting that "damage" in the context of a claim for pure economic loss begins with the defect itself. The Court specifically rejected the plaintiff's argument that the time did not start to run until the plaintiff purchased the property. It held that the cause of action rests with the owner of the property from time to time, and the time to bring a claim does not start anew each time the property changes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Kirkpatricks' claim against the assurance fund is one for pure economic loss. For limitation purposes, the damage arose when the mistake was made. The mistake in this case could be said to have been made at the earliest in 1911 when the first plans were submitted and at the latest in 1971 with the acceptance of Plan 39988. Accordingly, the limitation period for bringing this claim expired, subject to the common law discoverability rule, no later than 1977.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Rieger Hinds J. did not consider the common law discoverability rule. The rule is one of general application where a limiting provision would unfairly preclude actions by a party unaware of the existence of their cause of action: see K.L.B. v. British Columbia </w:t>
      </w:r>
      <w:hyperlink r:id="rId668" w:history="1">
        <w:r>
          <w:rPr>
            <w:rFonts w:ascii="arial" w:eastAsia="arial" w:hAnsi="arial" w:cs="arial"/>
            <w:i/>
            <w:color w:val="0077CC"/>
            <w:sz w:val="20"/>
            <w:u w:val="single"/>
            <w:shd w:val="clear" w:color="auto" w:fill="FFFFFF"/>
            <w:lang w:val="en-US" w:eastAsia="en-US" w:bidi="ar-SA"/>
          </w:rPr>
          <w:t>(1999), 64 B.C.L.R. (3d) 23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common law rule of discoverability is an interpretative tool. The rule does not apply when there is clear legislative intent to the contrary: see Peixeiro v. Haberman, </w:t>
      </w:r>
      <w:hyperlink r:id="rId669" w:history="1">
        <w:r>
          <w:rPr>
            <w:rFonts w:ascii="arial" w:eastAsia="arial" w:hAnsi="arial" w:cs="arial"/>
            <w:i/>
            <w:color w:val="0077CC"/>
            <w:sz w:val="20"/>
            <w:u w:val="single"/>
            <w:shd w:val="clear" w:color="auto" w:fill="FFFFFF"/>
            <w:lang w:val="en-US" w:eastAsia="en-US" w:bidi="ar-SA"/>
          </w:rPr>
          <w:t>[1997] 3 S.C.R. 549</w:t>
        </w:r>
      </w:hyperlink>
      <w:r>
        <w:rPr>
          <w:rFonts w:ascii="arial" w:eastAsia="arial" w:hAnsi="arial" w:cs="arial"/>
          <w:color w:val="000000"/>
          <w:sz w:val="20"/>
          <w:lang w:val="en-US" w:eastAsia="en-US" w:bidi="ar-SA"/>
        </w:rPr>
        <w:t>. When there is such intent the limitation period is considered absolute.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 case at bar, the applicability of the common law discoverability rule is critical to the Kirkpatricks' application. If the rule does apply, then time to bring their action did not begin to run until their purchase of the property in 1992. As the Kirkpatricks brought their action within six years of their purchase, the court would have the discretion, pursuant to section 4(4) of the LA, to allow the amendment even though it raises a new cause of action. Section 4(4) does not apply, however, if the claim was statute barred prior to the issuance of the writ.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determining whether section 298(2) of the LTA was intended to create an absolute limitation period, the legislative history is illuminating. The legislature first created a cause of action against the Attorney General for mistakes of the registrar in section 5 of the Land Registry Act Amendment Act, S.B.C. 1898, c. 29, amending the Land Registry Act, R.S.B.C. 1887, c. 111. The initial legislation did not contain a limitation for claims arising through any omission, mistake or misfeasance of the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Section 2 of the Land Registry Act Amendment Act, S.B.C. 1935, c. 40, amending the Land Registry Act, R.S.B.C. 1924, c. 127, created a two-year limitation period for such claims. That limitation period remained in effect until 1975. It was repealed by the Limitations Act, S.B.C. 1975, c. 37 (the "1975 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Between 1975 and 1978 the 1975 LA governed claims against the registrar. Section 6 of 1975 LA postponed the running of time until a plaintiff was aware of a potential claim, while section 7 postponed the running of time for persons under a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1978 the existing Land Registry Act, R.S.B.C. 1960, c. 208 ("1960 LRA") was repealed and replaced by the Land Titles Act, S.B.C. 1978, c. 25 (the "1978 LTA"). Section 278 of the 1978 LTA was similar to section 224 of the 1960 LRA repealed by the 1975 LA, with the following changes:</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limitation period was increased from two to six years;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words "Notwithstanding the Limitations Act" were added at the beginning of the section;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last phrase of the subsection was changed to read "from the time the loss or damage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278 of the 1978 LTA is identical in substance to section 298 of the current LTA.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From 1975 to 1978 claims brought against the assurance fund were subject to the postponement provisions of the 1975 LA. If the legislature intended that actions under section 298 would be postponed until a claimant was aware of the existence of a cause of action, it is difficult to understand why it removed the governing limitation period from the 1975 LA which included such postponement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This view is strengthened by the opening words of section 298(2): "Despite the Limitation Act". Those words suggest that the postponement provisions in the LA are not to apply to claims arising under s 298(1) of the LTA. That conclusion is reinforced by the provisions of section 296(9) of the LTA. That section allows persons who are deprived of any estate or interest in land to make claims against the assurance fund. Section 296(8) creates a 6-year limitation period. Section 296(9) sets out that if a person is under a disability, the LA applies to the section 296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Given the legislative history, the removal of claims under the equivalent to section 298 from the 1975 LA and the inclusion of a postponement provision in section 296, I conclude that the legislature did not intend the common law discoverability rule to apply to claims brought under section 298(1) of the LTA.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the result, the limitation for bringing claims arising from the registrar's mistake in 1971 expired in 1977, some 15 years before the Kirkpatricks purchased the subject property. The proposed new cause of action being statute barred at the commencement of these proceedings, the amendment is not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This is undoubtedly a harsh result in the circumstances of this case. However, were I to hold otherwise, there would be no limitations for claims arising under section 298 since each time a piece of property changed hands the limitation clock would begin anew. Although that may well have been the legislative intent in the initial 1898 legislation which did not contain a limitation provision, it is no longer.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Kirkpatricks' application to amend their claim against the Attorney General is dismissed. As previously noted, the claims set out in the existing statement of claim against the Attorney General are without merit. The Kirkpatricks' claim against the Attorney General is dismissed.</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Against the Public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their proposed amended statement of claim the Kirkpatricks claim against the Public Trustee as follows:</w:t>
      </w:r>
      <w:r>
        <w:rPr>
          <w:rFonts w:ascii="arial" w:eastAsia="arial" w:hAnsi="arial" w:cs="arial"/>
          <w:sz w:val="20"/>
          <w:lang w:val="en-US" w:eastAsia="en-US" w:bidi="ar-SA"/>
        </w:rPr>
        <w:cr/>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Public Trustee had a duty of care to the Kirkpatricks. A declaration that the Kirkpatricks have suffered loss and damage as a result of a misfeasance or mistake of the Public Trustee and a declaration that the Public Trustee is estopped from denying the unregistered easement or irrevokable [sic] license by proprietary estoppel, or estoppel by representation or equitable estoppel.</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fixing the amount of compensation to which the Kirkpatricks are entitled to from the Public Trustee or in the alternative an apology from the Public Trustee for acting in a manner that misled the Kirkpatricks into believing they would have protection for their driveway and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Public Trustee opposes the amendments. Although a claim to enforce an easement is not governed by a limitation period as per section 3(4)(h) of the LA, the Public Trustee submits that the allegations are frivolous and vexatious and should not be allowed. Further, the Public Trustee submits that the allegations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raise a new cause of action and are statute barred. The Public Trustee acknowledges that the court does in these circumstances have the discretion to amend under section 4(4) of the LA. In the circumstances of this action I think it is best if the allegations against the Public Trustee are dealt with on their merits. I am prepared to allow the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Accordingly, the Kirkpatricks are at liberty to amend their statement of claim in regard to claims against the Public Trustee. Those claims appear to be contained in [paragraph] 34 to 44 of the proposed amended statement of claim and [paragraph] 27 to 29 of the prayer for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Application of the Public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Public Trustee moves, pursuant to Rule 18A, to have the action against it dismissed. As set out earlier in this judgment, the Public Trustee only became involved after the registrar reinstated title to the Parkinson Remainder Property in 1991. Its involvement was as administrator of the Parkinson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relationship between the Kirkpatricks and the Public Trustee was one of adjoining property owners. The Kirkpatricks requested an easement over their neighbour's property. The Public Trustee had no obligation to grant such an easement and did not do so. It ultimately sold the property to Mr. Dick. The purchase and sale agreement put Mr. Dick on notice that the Kirkpatricks and others might have some claim to the Southern Strip. The Public Trustee was not obligated to do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Kirkpatricks have not brought an action to enforce their alleged easement. In any event such an action no longer lies against the Public Trustee, but against the present owners of the property. As noted above, the Kirkpatricks have apparently entered into an agreement with those owners to grant them an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my view there is no merit to the Kirkpatricks' claim brought against the Public Trustee. The Public Trustee did not breach any obligation or duty to them. The claim against the Public Trustee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If either the Public Trustee or the Attorney General seeks costs, they should make submissions in writing within 21 days of receipt of the judgment. The Kirkpatricks will have 14 days to respond to those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summary:</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Kirkpatricks' application to amend their statement of claim as against the Attorney General is dismissed.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Kirkpatricks' application to amend their statement of claim as against the Public Trustee is allowed.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Kirkpatricks' action against the Attorney General is dismissed.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Kirkpatricks' action against the Public Trustee is dismissed.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are at liberty to make submissions in writing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GOEPEL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1" style="position:absolute;z-index:2517893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70"/>
          <w:headerReference w:type="default" r:id="rId671"/>
          <w:footerReference w:type="even" r:id="rId672"/>
          <w:footerReference w:type="default" r:id="rId673"/>
          <w:headerReference w:type="first" r:id="rId674"/>
          <w:footerReference w:type="first" r:id="rId67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76" w:history="1">
        <w:r>
          <w:rPr>
            <w:rFonts w:ascii="arial" w:eastAsia="arial" w:hAnsi="arial" w:cs="arial"/>
            <w:b/>
            <w:bCs/>
            <w:i/>
            <w:color w:val="0077CC"/>
            <w:kern w:val="32"/>
            <w:sz w:val="28"/>
            <w:szCs w:val="32"/>
            <w:u w:val="single"/>
            <w:shd w:val="clear" w:color="auto" w:fill="FFFFFF"/>
            <w:lang w:val="en-US" w:eastAsia="en-US" w:bidi="ar-SA"/>
          </w:rPr>
          <w:t>L.P.E.Y. Holdings Ltd. v. Roshinsky, [2013] B.C.J. No. 2544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Nelson,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P.G. Voith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7,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October 11,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S17587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Nelson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2544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2127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L.P.E.Y. Holdings Ltd., Plaintiff, and Heather Roshinsky, Defendant, and Lana Donaldson and Fred Hanley, dba Hanley and Son Construction, Defendants by Way of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jc w:val="both"/>
        <w:rPr>
          <w:rFonts w:ascii="arial" w:eastAsia="arial" w:hAnsi="arial" w:cs="arial"/>
          <w:sz w:val="20"/>
          <w:lang w:val="en-US" w:eastAsia="en-US" w:bidi="ar-SA"/>
        </w:rPr>
      </w:pPr>
      <w:bookmarkStart w:id="121" w:name="Counsel_28"/>
      <w:bookmarkEnd w:id="12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2"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 Napora.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M.D. Johnson, (Judgment - appearing via teleconference).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by Way of Counterclaim Fred Hanley dba Hanley and Son Construction: Brent Rentiers, (Judgment - appearing via teleconference).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Interested Party, Intact Insurance: K. Duffield, (appearing via teleconference).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2" w:name="Judgment_28"/>
      <w:bookmarkEnd w:id="122"/>
      <w:r>
        <w:pict>
          <v:line id="_x0000_s1133" style="position:absolute;z-index:2517422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3" w:name="P.G. VOITH J. (orally)"/>
            <w:bookmarkEnd w:id="123"/>
            <w:r>
              <w:rPr>
                <w:rFonts w:ascii="arial" w:eastAsia="arial" w:hAnsi="arial" w:cs="arial"/>
                <w:b/>
                <w:color w:val="000000"/>
                <w:sz w:val="30"/>
                <w:lang w:val="en-US" w:eastAsia="en-US" w:bidi="ar-SA"/>
              </w:rPr>
              <w:t>P.G. VOITH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L.P.E.Y. Holdings Ltd., seeks judgment against the defendant, Ms. Roshinsky, under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Rule 9-7. Ms. Roshinsky and the defendant by counterclaim, Mr. Hanley, who conducts business under the name Hanley and Son Construction ("Hanley"), both argue, for various reasons, that the matter is not suitable for summary disposition. They argue instead that this action (the "Nelson Action") should be heard at the same time as Action Number 99417, commenced in the Kelowna Registry of the Supreme Court of British Columbia (the "Kelowna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accepts that if I do not grant it summary judgment on this application, the two actions should be heard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central facts which underlie this application are not in dispute. The plaintiff owns premises at 488 Baker Street in Nelson, British Columbia ("the Premises"). In May 2012, the plaintiff entered into a three-year lease ("the Lease") with Messrs. Parnell and Lawrence, owners of a lingerie store, for tenancy of the Premises. Messrs. Parnell and Lawrence sold their business to Ms. Roshinsky in September 2012. On October 26, 2012, the Lease was assigned to Ms. Roshinsky.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thereafter subcontracted certain building renovations to Hanley. In late January 2013, Ms. Roshinsky became aware that renovation work was being undertaken in the basement below her store. She says she became aware of a foul odour, a taste in her mouth, and that her store was covered in a haze of dust. She advised the plaintiff's representative of what transpired; nevertheless, work by Hanley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Roshinsky contacted her insurance adjuster and was told to post signs on the doors indicating that entry was not permitted. Thereafter, both bulk testing and air sampling were performed by restoration contractors. That testing was apparently either suggested or required by Ms. Roshinsky's insurance adjuster. Ms. Roshinsky did not make the rent payments to L.P.E.Y. that were required of her starting on February 1, 2013. In mid-February, Ms. Roshinsky learned that one of her suppliers did not want its product being sold to the general public because it contained silica dust.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March 20, 2013, she was served with a notice of termination of the Lease by L.P.E.Y. The Kelowna and Nelson Actions were thereafter commenced within a day of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On May 20, 2013, Ms. Roshinsky commenced the Kelowna Action against L.P.E.Y., their representative, Ms. Donaldson, and Hanley. In the Kelowna Action, Ms. Roshinsky alleges,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w:t>
      </w:r>
      <w:r>
        <w:rPr>
          <w:rFonts w:ascii="arial" w:eastAsia="arial" w:hAnsi="arial" w:cs="arial"/>
          <w:sz w:val="20"/>
          <w:lang w:val="en-US" w:eastAsia="en-US" w:bidi="ar-SA"/>
        </w:rPr>
        <w:cr/>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Hanley caused a hazardous substance to enter the premises and settle on her stock;</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attempted to rectify the situation but was unfairly locked from the Premises by L.P.E.Y., who then improperly terminated the Lease;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L.P.E.Y. and Hanley are each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nuisance, Hanley is liable in trespass for the escape of the dust into the Premises, and L.P.E.Y. is liable in contract for breach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the Kelowna Action, L.P.E.Y. filed a Response to Civil Claim alleging,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had the right to terminate the Lease;</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Roshinsky failed to insure the Premises as required by the Lease;</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level of silica crystalline in the Premises was not toxic under relevant government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Hanley filed a response in the Kelowna Action that alleged:</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had done the work required of it properly;</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cement dust did not pose a health risk;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Roshinsky suffered damage, such damage arose as a result of L.P.E.Y.'s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May 21, L.P.E.Y. commenced the Nelson Action against Ms. Roshinsky for rent owing under the Lease. Roshinsky then filed a counterclaim in the Nelson Action that virtually mirrors her Amended Notice of Civil Claim in the Kelowna Action. In this action, L.P.E.Y. seeks to recover the rent it says it is owed for the four-month period between when Ms. Roshinsky stopped paying rent and when the Premises were again leased. It also seeks its legal fees, as well as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L.P.E.Y. argues that the terms of the Lease enable me to address its claim in this action in isolation of the claims raised by Ms. Roshinsky or the role played by Hanley and the legal issues that arise from that role. I do not agree for four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First, quite apart from whether L.P.E.Y. could terminate the Lease for any of the reasons it advances, it is not clear to me that it can make out the claim for unpaid rent that it advances. Thus, the question of whether L.P.E.Y. properly terminated the Lease, and I do not say that it did, because, for example, Ms. Roshinsky failed to procure the kind of insurance she was required to under the Lease, is quite distinct from whether she owes L.P.E.Y. the amounts claimed from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Whether L.P.E.Y. can claim such amounts is contingent, at least in part, on whether Ms. Roshinsky could either suspend rent payments when the events in question arose, or seek abatement of those rents as a result of the damage she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least three clauses in the Lease are relevant and are, on their face, somewhat inconsistent. Clause 4.1 broadly states that the tenant is required through the term of the Lease to pay rent without deduction, abatement, compensation, or set-off.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Clause 6.5(b), to which I will return, prevents the tenant from advancing any claim against the landlord or its agents for "any personal or consequential injury of any sort whatsoever". The clause then goes on to confirm that the tenant cannot seek any abatement of rent for any one of a number of types of conditions or failures of service. Specifically the provision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without limiting the generality of the foregoing, the Landlord shall not be liable for any damages of any nature whatsoever to any such person or property caused by the failure, by reason of a breakdown or other cause, to supply adequate drainage, electricity, or snow or ice removal, or by reason of the interruption of any public utility or service, any interruption in the heating system, or in the event of steam, water, rain, or snow which may leak into, issue, or flow from any part of the Building, or from the water, steam, or drainage pipes or plumbing works, or from any other place or quarter, or for any damage caused by anything done or omitted to be done by any tenant, but the Landlord shall use all reasonable diligence to remedy such condition, failure, or interruption of service when not directly or indirectly attributable to the Tenant, after notice of same, when it is within its power and obligation so to do. The Tenant shall not be entitled to any abatement of the Rent in respect of any such condition, failure, or interruption of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Without making any determination, it does not appear that this provision, to which I was referred during L.P.E.Y.'s submissions, has any relevance to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third clause, s. 6.6(a)(i), which Ms. Roshinsky relied on when this dispute arose and which is relied on in her pleadings under the heading "Damage or Destruction", states:</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Subject to the Landlord's right of termination contained in paragraph 6.6(a)(ii) and subject to subclause 6.6(c), in the event that the Premises or any part thereof shall at any time during the Term be destroyed or damaged as a result of a casualty fully insured against by the Landlord, or by the Tenant but naming the Landlord as co-insured or loss payee, the Landlord shall rebuild, repair, and make the Premises fit for the purpose of the Tenant. If such damage or destruction is not caused by or resulting from any act, omission, default,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Tenant, or persons for whom the Tenant is in law responsible, and if as a result of such occurrence the Premises are rendered unfit either in whole or in part for the business of the Tenant, then the Rent or a proportionate share thereof according to the nature and extent of the destruction or damage sustained, shall be suspended and abated until the Landlord shall have rebuilt, repaired, or made fit the Premises for the purpose of the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clause is interesting. I was provided with no authority which assisted with its interpretation. The opening words of the provision and the subsections that are referred to are not germane in this case. The words that follow contemplate the premises being destroyed or damaged "as a result of a casualty". The word "casualty" is found in the Lease and not in an insurance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Nevertheless, according to </w:t>
      </w:r>
      <w:r>
        <w:rPr>
          <w:rFonts w:ascii="arial" w:eastAsia="arial" w:hAnsi="arial" w:cs="arial"/>
          <w:i/>
          <w:color w:val="000000"/>
          <w:sz w:val="20"/>
          <w:lang w:val="en-US" w:eastAsia="en-US" w:bidi="ar-SA"/>
        </w:rPr>
        <w:t>Black's Law Dictionary</w:t>
      </w:r>
      <w:r>
        <w:rPr>
          <w:rFonts w:ascii="arial" w:eastAsia="arial" w:hAnsi="arial" w:cs="arial"/>
          <w:color w:val="000000"/>
          <w:sz w:val="20"/>
          <w:lang w:val="en-US" w:eastAsia="en-US" w:bidi="ar-SA"/>
        </w:rPr>
        <w:t>, 8th ed., "casualty" can be defined as "a person or thing insured, lost, or destroyed". Further, "casualty insurance" is defined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agreement to indemnify against loss resulting from a broad group of causes such as legal liability, theft, accident, property damage, and workers' compensation. The meaning of casualty insurance has become blurred because of the rapid increase in different types of insurance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defining the term "casualty", Daniel Greenberg, </w:t>
      </w:r>
      <w:r>
        <w:rPr>
          <w:rFonts w:ascii="arial" w:eastAsia="arial" w:hAnsi="arial" w:cs="arial"/>
          <w:i/>
          <w:color w:val="000000"/>
          <w:sz w:val="20"/>
          <w:lang w:val="en-US" w:eastAsia="en-US" w:bidi="ar-SA"/>
        </w:rPr>
        <w:t>Stroud's Judicial Dictionary of Words and Phrases</w:t>
      </w:r>
      <w:r>
        <w:rPr>
          <w:rFonts w:ascii="arial" w:eastAsia="arial" w:hAnsi="arial" w:cs="arial"/>
          <w:color w:val="000000"/>
          <w:sz w:val="20"/>
          <w:lang w:val="en-US" w:eastAsia="en-US" w:bidi="ar-SA"/>
        </w:rPr>
        <w:t xml:space="preserve">, 7th Ed., (London, UK: Sweet &amp; Maxwell, 2006) refers to the English case of </w:t>
      </w:r>
      <w:r>
        <w:rPr>
          <w:rFonts w:ascii="arial" w:eastAsia="arial" w:hAnsi="arial" w:cs="arial"/>
          <w:i/>
          <w:color w:val="000000"/>
          <w:sz w:val="20"/>
          <w:lang w:val="en-US" w:eastAsia="en-US" w:bidi="ar-SA"/>
        </w:rPr>
        <w:t>British and Foreign Marine Insurance Co. v. Gaunt,</w:t>
      </w:r>
      <w:r>
        <w:rPr>
          <w:rFonts w:ascii="arial" w:eastAsia="arial" w:hAnsi="arial" w:cs="arial"/>
          <w:color w:val="000000"/>
          <w:sz w:val="20"/>
          <w:lang w:val="en-US" w:eastAsia="en-US" w:bidi="ar-SA"/>
        </w:rPr>
        <w:t xml:space="preserve"> [1921] 2 A.C. 41 (H.L.), which has been cited with approval by Canadian courts, including by the Supreme Court of Canada in </w:t>
      </w:r>
      <w:r>
        <w:rPr>
          <w:rFonts w:ascii="arial" w:eastAsia="arial" w:hAnsi="arial" w:cs="arial"/>
          <w:i/>
          <w:color w:val="000000"/>
          <w:sz w:val="20"/>
          <w:lang w:val="en-US" w:eastAsia="en-US" w:bidi="ar-SA"/>
        </w:rPr>
        <w:t>Canadian National Railway Co. v. Royal and Sun Alliance Insurance Co. of Canada</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2008 SCC 66</w:t>
        </w:r>
      </w:hyperlink>
      <w:r>
        <w:rPr>
          <w:rFonts w:ascii="arial" w:eastAsia="arial" w:hAnsi="arial" w:cs="arial"/>
          <w:color w:val="000000"/>
          <w:sz w:val="20"/>
          <w:lang w:val="en-US" w:eastAsia="en-US" w:bidi="ar-SA"/>
        </w:rPr>
        <w:t xml:space="preserve"> at paras. 79 and 80, and the British Columbia Court of Appeal in </w:t>
      </w:r>
      <w:r>
        <w:rPr>
          <w:rFonts w:ascii="arial" w:eastAsia="arial" w:hAnsi="arial" w:cs="arial"/>
          <w:i/>
          <w:color w:val="000000"/>
          <w:sz w:val="20"/>
          <w:lang w:val="en-US" w:eastAsia="en-US" w:bidi="ar-SA"/>
        </w:rPr>
        <w:t>Corp. of Dawson Creek (City) v. Zurich Insurance Co.,</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2000 BCCA 158</w:t>
        </w:r>
      </w:hyperlink>
      <w:r>
        <w:rPr>
          <w:rFonts w:ascii="arial" w:eastAsia="arial" w:hAnsi="arial" w:cs="arial"/>
          <w:color w:val="000000"/>
          <w:sz w:val="20"/>
          <w:lang w:val="en-US" w:eastAsia="en-US" w:bidi="ar-SA"/>
        </w:rPr>
        <w:t xml:space="preserve"> at paras. 13 to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Gaunt</w:t>
      </w:r>
      <w:r>
        <w:rPr>
          <w:rFonts w:ascii="arial" w:eastAsia="arial" w:hAnsi="arial" w:cs="arial"/>
          <w:color w:val="000000"/>
          <w:sz w:val="20"/>
          <w:lang w:val="en-US" w:eastAsia="en-US" w:bidi="ar-SA"/>
        </w:rPr>
        <w:t xml:space="preserve"> was cited for the classic statement of the meaning of "all risks" in an all-risk insurance policy, something that does not arise in this instance. It stands for the proposition, however, in the context of a claim under such a policy, that a plaintiff need only prove that the insured object was damaged due to some fortuitous circumstance or "casualty", and it is then for the defendant to prove that the "casualty" was a risk excluded by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the </w:t>
      </w:r>
      <w:r>
        <w:rPr>
          <w:rFonts w:ascii="arial" w:eastAsia="arial" w:hAnsi="arial" w:cs="arial"/>
          <w:i/>
          <w:color w:val="000000"/>
          <w:sz w:val="20"/>
          <w:lang w:val="en-US" w:eastAsia="en-US" w:bidi="ar-SA"/>
        </w:rPr>
        <w:t>Gaunt</w:t>
      </w:r>
      <w:r>
        <w:rPr>
          <w:rFonts w:ascii="arial" w:eastAsia="arial" w:hAnsi="arial" w:cs="arial"/>
          <w:color w:val="000000"/>
          <w:sz w:val="20"/>
          <w:lang w:val="en-US" w:eastAsia="en-US" w:bidi="ar-SA"/>
        </w:rPr>
        <w:t xml:space="preserve"> case, the damage in question was wool which became wet and spoiled during transport on the deck of a ship. The court held that this was damage due to some accident or "casualty" during transport.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appears from the foregoing sources that the term "casualty" can have a very wide meaning which includes any kind of accident that causes damage to an insured object.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With these definitions in hand, it appears that the Premises may have been damaged during the term of the Lease "as a result of a casualty". Clause 6.6(a)(i) then continues with one of two options. The first is that the harm is insured against by the landlord, or alternatively the harm is insured against by the tenant, who has named the landlord as a co-insured. This latter possibility does not arise in this case. Indeed, the failure of Ms. Roshinsky to obtain such insurance is one of the reasons L.P.E.Y. says it terminated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first option may well, however, be relevant. I was given no information or evidence, one way or the other, about the nature of the insurance coverage L.P.E.Y. holds. I was, however, advised that insurance counsel had been appointed for L.P.E.Y. in the Kelowna Action. If, ultimately, the "casualty" in question was insured by the landlord, then Ms. Roshinsky may well have been entitled to suspend and/or abate the payment of rent until the Premises were made fit for their continued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a similar vein, the landlord argues that the various air quality test results that are now available from the experts retained by Ms. Roshinsky and by Hanley do not exceed the eight-hour exposure limits prescribed by the </w:t>
      </w:r>
      <w:r>
        <w:rPr>
          <w:rFonts w:ascii="arial" w:eastAsia="arial" w:hAnsi="arial" w:cs="arial"/>
          <w:i/>
          <w:color w:val="000000"/>
          <w:sz w:val="20"/>
          <w:lang w:val="en-US" w:eastAsia="en-US" w:bidi="ar-SA"/>
        </w:rPr>
        <w:t>Occupational Health and Safety Regulation</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B.C. Reg. 296/97</w:t>
        </w:r>
      </w:hyperlink>
      <w:r>
        <w:rPr>
          <w:rFonts w:ascii="arial" w:eastAsia="arial" w:hAnsi="arial" w:cs="arial"/>
          <w:color w:val="000000"/>
          <w:sz w:val="20"/>
          <w:lang w:val="en-US" w:eastAsia="en-US" w:bidi="ar-SA"/>
        </w:rPr>
        <w:t>. This is true. Those regulations, however, at s. 5.54(1)(a), require that a formal "exposure control plan" be implemented when exposure monitoring indicates that "a worker is or may be exposed to an air contaminant in excess of 50% of its exposure limit". This latter provision, at least on the basis of some of the results available from the testing that was concluded, appears to have been engaged. What such an "exposure control plan" requires or entails again is not clear to me. What influence or importance such a plan may have had on Ms. Roshinsky's conduct or on L.P.E.Y.'s claim is similarly not clear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This action is in its infancy. No discoveries have yet been conducted. Counsel for Ms. Roshinsky should be able to explore the ambit and application of clause 6.6(a)(i), which is central to her pleadings, more fully. If the provision is relevant, the present application may be misconceived.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second central issue or factor that militates against L.P.E.Y. arises from clause 6.5(b), the provision I referred to earlier. That section prevents any action against the landlord or its agents for "any personal or consequential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Amadon Properties Ltd. v. Pacific Apparel</w:t>
      </w:r>
      <w:r>
        <w:rPr>
          <w:rFonts w:ascii="arial" w:eastAsia="arial" w:hAnsi="arial" w:cs="arial"/>
          <w:color w:val="000000"/>
          <w:sz w:val="20"/>
          <w:lang w:val="en-US" w:eastAsia="en-US" w:bidi="ar-SA"/>
        </w:rPr>
        <w:t xml:space="preserve">, </w:t>
      </w:r>
      <w:hyperlink r:id="rId680" w:history="1">
        <w:r>
          <w:rPr>
            <w:rFonts w:ascii="arial" w:eastAsia="arial" w:hAnsi="arial" w:cs="arial"/>
            <w:i/>
            <w:color w:val="0077CC"/>
            <w:sz w:val="20"/>
            <w:u w:val="single"/>
            <w:shd w:val="clear" w:color="auto" w:fill="FFFFFF"/>
            <w:lang w:val="en-US" w:eastAsia="en-US" w:bidi="ar-SA"/>
          </w:rPr>
          <w:t>13 R.P.R. (2d) 186</w:t>
        </w:r>
      </w:hyperlink>
      <w:r>
        <w:rPr>
          <w:rFonts w:ascii="arial" w:eastAsia="arial" w:hAnsi="arial" w:cs="arial"/>
          <w:color w:val="000000"/>
          <w:sz w:val="20"/>
          <w:lang w:val="en-US" w:eastAsia="en-US" w:bidi="ar-SA"/>
        </w:rPr>
        <w:t xml:space="preserve">, </w:t>
      </w:r>
      <w:hyperlink r:id="rId680" w:history="1">
        <w:r>
          <w:rPr>
            <w:rFonts w:ascii="arial" w:eastAsia="arial" w:hAnsi="arial" w:cs="arial"/>
            <w:i/>
            <w:color w:val="0077CC"/>
            <w:sz w:val="20"/>
            <w:u w:val="single"/>
            <w:shd w:val="clear" w:color="auto" w:fill="FFFFFF"/>
            <w:lang w:val="en-US" w:eastAsia="en-US" w:bidi="ar-SA"/>
          </w:rPr>
          <w:t>[1990] B.C.J. No. 2115</w:t>
        </w:r>
      </w:hyperlink>
      <w:r>
        <w:rPr>
          <w:rFonts w:ascii="arial" w:eastAsia="arial" w:hAnsi="arial" w:cs="arial"/>
          <w:color w:val="000000"/>
          <w:sz w:val="20"/>
          <w:lang w:val="en-US" w:eastAsia="en-US" w:bidi="ar-SA"/>
        </w:rPr>
        <w:t xml:space="preserve"> (S.C.), Justice Cashman dealt with a claim by a tenant that arose in very similar circumstances, as well as with a clause that was quite similar to clause 6.5(b) in the Lease. He determined that though the tenants could not advance a claim for their business interruption losses, such losses being consequential in nature, there was no prohibition against the tenant advancing a claim for damages to its clothing merchandise.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Specifically, Cashman J., at para. 194,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view of that clause is that it relates to indirect damages only, but cannot affect any damages which were directly caused to Pacific by Amadon or its workmen.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Such a claim for direct damage by Ms. Roshinsky militates against L.P.E.Y.'s application. It would constitute a form of litigating in slices. It would have me determine the plaintiff's claim in isolation of the balance of the claims raised in Ms. Roshinsky's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Court of Appeal of this province has consistently expressed the concern that dealing with a single issue that arises in the context of more complicated litigation may, in fact, frustrate the just, speedy, and inexpensive determination of a dispute on its merits: see for example </w:t>
      </w:r>
      <w:r>
        <w:rPr>
          <w:rFonts w:ascii="arial" w:eastAsia="arial" w:hAnsi="arial" w:cs="arial"/>
          <w:i/>
          <w:color w:val="000000"/>
          <w:sz w:val="20"/>
          <w:lang w:val="en-US" w:eastAsia="en-US" w:bidi="ar-SA"/>
        </w:rPr>
        <w:t>Bacchus Agents (1981) Ltd. v. Philippe Dandurand Wines Limited</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North Vancouver (District) v. Lunde,</w:t>
      </w:r>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162 D.L.R. (4th) 402</w:t>
        </w:r>
      </w:hyperlink>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[1998] B.C.J. No. 1560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third issue is somewhat related. The judgment that L.P.E.Y. seeks has some prospect of affecting Ms. Roshinsky's claim against Hanley or Hanley's defences. Hanley may have been L.P.E.Y.'s agent. Some provisions in the Lease extend to or pertain to L.P.E.Y.'s agents. Similarly, Hanley pleads, in its defence to counterclaim, that it relied on the plans and specifications provided to it by L.P.E.Y.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do not fully understand at this point what legal significance the judgment that L.P.E.Y. seeks may have on the various other claims or defences that the parties raise in the Kelowna or Nelson Actions. Absent such an understanding, I do not consider that it is prudent or appropriate to grant the judgment that L.P.E.Y. seeks.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fourth issue is, also again, somewhat related. Whether Rule 9-7(2) is available or appropriate in a given case is a function of various discretionary considerations. In this case, most such considerations weigh against the relief L.P.E.Y. seeks. There is no particular urgency associated with this matter. Though the amounts that L.P.E.Y. seeks on this application are relatively modest, the amounts involved in the action at large have, I was told, the prospect of becoming quite significant. The action is somewhat complex. There are several parties, numerous claims and cross-claims, and numerous causes of action involved. The action will likely involve some expert evidence and potentially competing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view of the foregoing considerations, I do not consider the matter is suitable for disposition by way of summary trial. The application of L.P.E.Y. is adjourned. The Nelson and Kelowna Actions are to be heard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Now, counsel, when we spoke last, I asked you to consider which of the two registries you thought would be more appropriate for the ultimate hearing of this matter. Did you have occasion to discuss that?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[SUBMISSIONS RE LOCATION FOR MATTERS TO BE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COURT: In this case, the events that occurred took place in Nelson. The witnesses are overwhelmingly located in Nelson. Two counsel are not based in Nelson, and potentially some experts will similarly be from elsewhere. On balance, it strikes me that the factors arising from the litigation are most centrally associated with the Nelson Registry. Accordingly I consider that this is the appropriate venue for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Having said that, if at some point in time, by virtue of events that arise, the parties, as between themselves, are of the view that the action can or should be moved to Kelowna, they can revisit this issue. For the time being, I am directing that the two actions be heard at the same time out of this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All right. Anything else arising?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JOHNSON: My Lord, Johnson for Roshinsky. We would ask for an order for costs in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COURT: I think the case law that speaks to cost orders following a Rule 9-7 application, Mr. Johnson, does not support such an order. The case law suggests that the issue of costs arising from a Rule 9-7 or summary judgment trial should be dealt with at the ultimate disposition of the hearing itself. I am not prepared to make that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JOHNSON: Thank you, My 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COURT: Anything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RENTIERS: My Lord, just to clarify, does that then [indiscernible] costs are in the cause with respect to the [indiscernible].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COURT: I think this again flows entirely as a matter of law. I did not dismiss this application. A dismissal is a dismissal on the merits. I adjourned it. It is not appropriate for me to decide the issue of costs because that issue will be decided at some subsequent date when this matter is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P.G. VOITH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4" style="position:absolute;z-index:2517903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2"/>
          <w:headerReference w:type="default" r:id="rId683"/>
          <w:footerReference w:type="even" r:id="rId684"/>
          <w:footerReference w:type="default" r:id="rId685"/>
          <w:headerReference w:type="first" r:id="rId686"/>
          <w:footerReference w:type="first" r:id="rId68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8" w:history="1">
        <w:r>
          <w:rPr>
            <w:rFonts w:ascii="arial" w:eastAsia="arial" w:hAnsi="arial" w:cs="arial"/>
            <w:b/>
            <w:bCs/>
            <w:i/>
            <w:color w:val="0077CC"/>
            <w:kern w:val="32"/>
            <w:sz w:val="28"/>
            <w:szCs w:val="32"/>
            <w:u w:val="single"/>
            <w:shd w:val="clear" w:color="auto" w:fill="FFFFFF"/>
            <w:lang w:val="en-US" w:eastAsia="en-US" w:bidi="ar-SA"/>
          </w:rPr>
          <w:t>Lucero v. ID Biomedical Corp., [2008] B.C.J. No. 2681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P.D. Leask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April 10,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S067514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2681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1843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176 A.C.W.S. (3d) 892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Charles S. Lucero, David C. Morse, James H. Morse, and Marilyn B. Morse, both on her own behalf and as Trustee for, Samantha C. Morse, Matthew J. Morse, Katherine G. Morse, Emily J. Morse, John McShane Morse and Allison E. Morse, Plaintiffs, and ID Biomedical Corporation,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(53 paras.)</w:t>
      </w:r>
    </w:p>
    <w:p>
      <w:pPr>
        <w:jc w:val="both"/>
        <w:rPr>
          <w:rFonts w:ascii="arial" w:eastAsia="arial" w:hAnsi="arial" w:cs="arial"/>
          <w:sz w:val="20"/>
          <w:lang w:val="en-US" w:eastAsia="en-US" w:bidi="ar-SA"/>
        </w:rPr>
      </w:pPr>
      <w:bookmarkStart w:id="124" w:name="Counsel_29"/>
      <w:bookmarkEnd w:id="1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5"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J.A. Rost, A.K. Atwal.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B. Kaplan, Q.C., S.K. Boyle.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5" w:name="Judgment_29"/>
      <w:bookmarkEnd w:id="125"/>
      <w:r>
        <w:pict>
          <v:line id="_x0000_s1136" style="position:absolute;z-index:2517432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6" w:name="P.D. LEASK J. (orally)"/>
            <w:bookmarkEnd w:id="126"/>
            <w:r>
              <w:rPr>
                <w:rFonts w:ascii="arial" w:eastAsia="arial" w:hAnsi="arial" w:cs="arial"/>
                <w:b/>
                <w:color w:val="000000"/>
                <w:sz w:val="30"/>
                <w:lang w:val="en-US" w:eastAsia="en-US" w:bidi="ar-SA"/>
              </w:rPr>
              <w:t>P.D. LEASK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held warrants entitling them to purchase stock in the defendant company, ID Biomedical Corporation (IDB). In the fall of 2005, an international pharmaceutical company, GlaxoSmithKline (GSK), proposed to acquire IDB. GSK made an offer for all outstanding shares and warrants of IDB. There was never a dispute about the price offered for the stock, but there was a dispute about the value of the warrants. These plaintiffs sold some or all of their warrants before the proposed acquisition received final court approval. When final court approval was given, it was on the basis of a higher price for the warrants than the original price offered by GSK. This action was brought seeking to recover the difference between the price at which the plaintiffs sold their warrants and the higher price approved by the Court. The plaintiffs base their claim on allegations of negligent misrepresentation and a claim that the company owed them a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issues the Court must resolve are:</w:t>
      </w:r>
      <w:r>
        <w:rPr>
          <w:rFonts w:ascii="arial" w:eastAsia="arial" w:hAnsi="arial" w:cs="arial"/>
          <w:sz w:val="20"/>
          <w:lang w:val="en-US" w:eastAsia="en-US" w:bidi="ar-SA"/>
        </w:rPr>
        <w:cr/>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the company have a complete answer to the plaintiff's claim based on the law as pronounced by the Supreme Court of Canada in </w:t>
      </w:r>
      <w:r>
        <w:rPr>
          <w:rFonts w:ascii="arial" w:eastAsia="arial" w:hAnsi="arial" w:cs="arial"/>
          <w:b/>
          <w:i/>
          <w:color w:val="000000"/>
          <w:sz w:val="20"/>
          <w:lang w:val="en-US" w:eastAsia="en-US" w:bidi="ar-SA"/>
        </w:rPr>
        <w:t>Kerr v. Danier Leather Inc.</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[2007] 3 S.C.R. 331</w:t>
        </w:r>
      </w:hyperlink>
      <w:r>
        <w:rPr>
          <w:rFonts w:ascii="arial" w:eastAsia="arial" w:hAnsi="arial" w:cs="arial"/>
          <w:color w:val="000000"/>
          <w:sz w:val="20"/>
          <w:lang w:val="en-US" w:eastAsia="en-US" w:bidi="ar-SA"/>
        </w:rPr>
        <w:t>;</w:t>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companies have a fiduciary duty to warrant holders; and</w:t>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 the facts in this case support a claim for negligent misrepresentation as outlined by the Supreme Court of Canada in </w:t>
      </w:r>
      <w:r>
        <w:rPr>
          <w:rFonts w:ascii="arial" w:eastAsia="arial" w:hAnsi="arial" w:cs="arial"/>
          <w:b/>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in this action is ID Biomedical Corporation, a publicly traded company specializing in influenza vaccine products. The plaintiffs are former security holders in IDB. Specifically, they are Charles Lucero, David Morse, James Morse and Marilyn Morse, on her own behalf and as the trustee for her infant grandchildren, in whose name securities were held during the material time period. Marilyn and David Morse are married and are the parents of James Morse. All of the plaintiffs held common share purchase warrants that were issued in 2003 when IDB sought to raise US $100 million. The plaintiffs also held common shares in IDB.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Both David Morse and Charles Lucero are sophisticated investors who paid very close attention to their investments in IDB. They attended annual general meetings and reviewed newspaper and online reports. David Morse spoke with the investment relations representative, Dean Linden, on a regular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James and Marilyn Morse relied very heavily on the advice of David Morse in making decisions regarding their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early September 2005, two companies, which carry on business as GSK, entered into a combination agreement with IDB by which IDB would become a wholly owned subsidiary of GSK. This agreement provided that GSK would acquire all of the outstanding IDB shares and warrants through a plan of arrangement process in accordance with the </w:t>
      </w:r>
      <w:r>
        <w:rPr>
          <w:rFonts w:ascii="arial" w:eastAsia="arial" w:hAnsi="arial" w:cs="arial"/>
          <w:b/>
          <w:i/>
          <w:color w:val="000000"/>
          <w:sz w:val="20"/>
          <w:lang w:val="en-US" w:eastAsia="en-US" w:bidi="ar-SA"/>
        </w:rPr>
        <w:t>British Columbia Business Corporations Act</w:t>
      </w:r>
      <w:r>
        <w:rPr>
          <w:rFonts w:ascii="arial" w:eastAsia="arial" w:hAnsi="arial" w:cs="arial"/>
          <w:color w:val="000000"/>
          <w:sz w:val="20"/>
          <w:lang w:val="en-US" w:eastAsia="en-US" w:bidi="ar-SA"/>
        </w:rPr>
        <w:t>. The agreement provided that GSK would pay US $35 for each common share of IDB and CDN $5.33 for each 2003 warrant.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Following the announcement of the takeover, David Morse, James Morse and Marilyn Morse sold all of their IDB shares and purchased additional 2003 warrants. All of these warrants were purchased at a rate higher than the CDN $5.33 per warrant that was stipulated in the combination agreement. David Morse believed and hoped that IDB would become the object of a bidding war and that the price of the warrants would 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Proceedings before this Court, under the provisions of the </w:t>
      </w:r>
      <w:r>
        <w:rPr>
          <w:rFonts w:ascii="arial" w:eastAsia="arial" w:hAnsi="arial" w:cs="arial"/>
          <w:b/>
          <w:i/>
          <w:color w:val="000000"/>
          <w:sz w:val="20"/>
          <w:lang w:val="en-US" w:eastAsia="en-US" w:bidi="ar-SA"/>
        </w:rPr>
        <w:t>BCBCA</w:t>
      </w:r>
      <w:r>
        <w:rPr>
          <w:rFonts w:ascii="arial" w:eastAsia="arial" w:hAnsi="arial" w:cs="arial"/>
          <w:color w:val="000000"/>
          <w:sz w:val="20"/>
          <w:lang w:val="en-US" w:eastAsia="en-US" w:bidi="ar-SA"/>
        </w:rPr>
        <w:t>, were commenced on October 4, 2005, for orders relating to the holding of a special meeting and the related process of approval of a plan of arrangement (the "Plan of Arrangement") by the securityholders of the defendant. On October 17, 2005, Master Donaldson, of this Court, issued an interim order, ordering that a special meeting of the shareholders and other securityholders take place on November 16, 2005 for the purpose of considering and voting on the Plan of Arrangement. With respect to IDB's disclosure obligations, the Interim Order stated, at para. 7,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Circular is hereby deemed to represent sufficient and adequate disclosure, including for the purpose of s. 290(1)(a) of the </w:t>
      </w:r>
      <w:r>
        <w:rPr>
          <w:rFonts w:ascii="arial" w:eastAsia="arial" w:hAnsi="arial" w:cs="arial"/>
          <w:b/>
          <w:i/>
          <w:color w:val="000000"/>
          <w:sz w:val="20"/>
          <w:lang w:val="en-US" w:eastAsia="en-US" w:bidi="ar-SA"/>
        </w:rPr>
        <w:t>BCBCA,</w:t>
      </w:r>
      <w:r>
        <w:rPr>
          <w:rFonts w:ascii="arial" w:eastAsia="arial" w:hAnsi="arial" w:cs="arial"/>
          <w:color w:val="000000"/>
          <w:sz w:val="20"/>
          <w:lang w:val="en-US" w:eastAsia="en-US" w:bidi="ar-SA"/>
        </w:rPr>
        <w:t xml:space="preserve"> and IDB shall not be required to send to the Securityholders any other or additional statement pursuant to s. 290(1)(a) of the </w:t>
      </w:r>
      <w:r>
        <w:rPr>
          <w:rFonts w:ascii="arial" w:eastAsia="arial" w:hAnsi="arial" w:cs="arial"/>
          <w:b/>
          <w:i/>
          <w:color w:val="000000"/>
          <w:sz w:val="20"/>
          <w:lang w:val="en-US" w:eastAsia="en-US" w:bidi="ar-SA"/>
        </w:rPr>
        <w:t>BCBCA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Interim Order further stated, at para. 25,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persons entitled to appear and be heard at any hearing to sanction and approve the Arrangement shall be only:</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IDB, [GlaxoSmithKline Inc.], and [GlaxoSmithKline plc]; and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persons who have served and filed an Appearance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Interim Order also stated, at para. 26, that the sending of the Notice of Special Meeting of Securityholders, the Management Proxy Circular and the forms of proxy: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shall constitute good and sufficient service and no other form of service need be effected and no other material need be served on such persons in respect of these proceedings, except with respect to any persons who shall ... file an Appearance ... and deliver the filed Appearance ... to IDB's counsel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Finally, at para. 28, the Interim Order stated, with regard to a potential adjournment of the hearing of the application for a final order approving the Plan of Arrangement,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event that the hearing of the [application for an order approving the Arrangement and declaring that the Arrangement is fair and reasonable] is adjourned, then only those persons who filed and delivered an Appearance need be served and provided with notice of the adjourned hearing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IDB complied with the terms of the Interim Order and properly served all the plaintiffs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is no evidence that the Morses were the least bit dissatisfied with the warrant price that was set out in the Plan of Arrangement. David Morse had always voted with management, and it was his intention to do so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Lucero, on the other hand, believed that the price was low, but on the advice of a lawyer in the United States did not file an Appearance, nor did he pursue any other avenue for disputing the valuation of the warrants or learning more about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 number of warrantholders, sometimes referred to as the "Informal Committee," were unhappy with the price that was to be paid per warrant under the Plan of Arrangement and filed an Appearance in order to dispute the valuation of the warrants. They also obtained an expert opinion valuing the 2003 warrants at CDN $10.57 each. The plaintiffs did not know of the Informal Committee nor did they file Appearances.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specified in the Interim Order, there was a meeting on November 16, 2005, at which the securityholders voted in favour of the Plan of Arrangement by a margin of over 80 percent. The Morses voted in favour of the Plan of Arrangement, while Mr. Lucero voted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November 18, 2005, IDB applied for and obtained an adjournment in respect of the court date for approval of the Plan of Arrangement in order to prepare and file material answering the Informal Committee's opposition to the valuation of the 2003 warrants. The hearing was rescheduled for December 2,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November 18, 2005, IDB issued a news release, which gave notice that the matter had been rescheduled, but did not provide any information as to the reason for the rescheduling. Specifically, the news release made no mention of the Informal Committee or their challenge to the valuation of the warrants.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An internal e-mail between senior IDB management shows that the IDB president, Todd Patrick,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to explain the reason for the delay so people are going to know there is opposition.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Following the issue of the press release, the Morses sold all of their warrants and Mr. Lucero sold some, but not all, of his warrants.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James Morse, on the advice of his father, sold all of his warrants on November 22, 2005. Before selling the warrants held by himself and his wife, David Morse called Dean Linden. There is disputed affidavit evidence concerning the contents of the telephone conversation, but there is no dispute that Mr. Linden made no mention of the existence of the Informal Committee or their challenge to the valuation of the 2003 warrants.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December 6, 2005, this Court approved the Plan of Arrangement with two modifications: firstly, that the holders of the 2003 warrants would receive CDN $9.20 instead of CDN $5.33 for each warrant held; and secondly, that warrantholders were given the right to dissent.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argue that the press release of November 18 and the conversation with Mr. Linden, taken separately or together, constitute negligent misrepresentation and a breach of a fiduciary duty owed to the plaintiffs. They further argue that had they known of the existence of the Informal Committee and the evidence it filed in Court, they would not have sold their warrants when they did and, consequently, would have benefited from the increased price set for the warrants on December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Defendant's Position Regarding the Statutory Duty to Disclose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defendant argues that their only disclosure duties with respect to information regarding the combination of GSK and IDB are laid out in the </w:t>
      </w:r>
      <w:r>
        <w:rPr>
          <w:rFonts w:ascii="arial" w:eastAsia="arial" w:hAnsi="arial" w:cs="arial"/>
          <w:b/>
          <w:i/>
          <w:color w:val="000000"/>
          <w:sz w:val="20"/>
          <w:lang w:val="en-US" w:eastAsia="en-US" w:bidi="ar-SA"/>
        </w:rPr>
        <w:t>Securities Act</w:t>
      </w:r>
      <w:r>
        <w:rPr>
          <w:rFonts w:ascii="arial" w:eastAsia="arial" w:hAnsi="arial" w:cs="arial"/>
          <w:color w:val="000000"/>
          <w:sz w:val="20"/>
          <w:lang w:val="en-US" w:eastAsia="en-US" w:bidi="ar-SA"/>
        </w:rPr>
        <w:t xml:space="preserve">. Furthermore, they argue that </w:t>
      </w:r>
      <w:r>
        <w:rPr>
          <w:rFonts w:ascii="arial" w:eastAsia="arial" w:hAnsi="arial" w:cs="arial"/>
          <w:b/>
          <w:i/>
          <w:color w:val="000000"/>
          <w:sz w:val="20"/>
          <w:lang w:val="en-US" w:eastAsia="en-US" w:bidi="ar-SA"/>
        </w:rPr>
        <w:t>Danier Leather</w:t>
      </w:r>
      <w:r>
        <w:rPr>
          <w:rFonts w:ascii="arial" w:eastAsia="arial" w:hAnsi="arial" w:cs="arial"/>
          <w:color w:val="000000"/>
          <w:sz w:val="20"/>
          <w:lang w:val="en-US" w:eastAsia="en-US" w:bidi="ar-SA"/>
        </w:rPr>
        <w:t xml:space="preserve"> stands for the proposition that the statutory disclosure requirements, for reporting issuers, fully define their disclosure obligations and such obligations cannot be extended by the common law principles of negligent misrepresentation. They argue that this is dispositive of the case at bar, and that, on this basis alone, the plaintiffs' claim should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plaintiffs, on the other hand, submit that </w:t>
      </w:r>
      <w:r>
        <w:rPr>
          <w:rFonts w:ascii="arial" w:eastAsia="arial" w:hAnsi="arial" w:cs="arial"/>
          <w:b/>
          <w:i/>
          <w:color w:val="000000"/>
          <w:sz w:val="20"/>
          <w:lang w:val="en-US" w:eastAsia="en-US" w:bidi="ar-SA"/>
        </w:rPr>
        <w:t>Danier Leather</w:t>
      </w:r>
      <w:r>
        <w:rPr>
          <w:rFonts w:ascii="arial" w:eastAsia="arial" w:hAnsi="arial" w:cs="arial"/>
          <w:color w:val="000000"/>
          <w:sz w:val="20"/>
          <w:lang w:val="en-US" w:eastAsia="en-US" w:bidi="ar-SA"/>
        </w:rPr>
        <w:t xml:space="preserve"> is not authority for the proposition that the applicable securities legislation is a complete code barring all common law claims. Their submission is that </w:t>
      </w:r>
      <w:r>
        <w:rPr>
          <w:rFonts w:ascii="arial" w:eastAsia="arial" w:hAnsi="arial" w:cs="arial"/>
          <w:b/>
          <w:i/>
          <w:color w:val="000000"/>
          <w:sz w:val="20"/>
          <w:lang w:val="en-US" w:eastAsia="en-US" w:bidi="ar-SA"/>
        </w:rPr>
        <w:t>Danier Leather</w:t>
      </w:r>
      <w:r>
        <w:rPr>
          <w:rFonts w:ascii="arial" w:eastAsia="arial" w:hAnsi="arial" w:cs="arial"/>
          <w:color w:val="000000"/>
          <w:sz w:val="20"/>
          <w:lang w:val="en-US" w:eastAsia="en-US" w:bidi="ar-SA"/>
        </w:rPr>
        <w:t xml:space="preserve"> is expressly restricted to statutory liability of an issuer for misrepresentation in a prospectus. They argue that </w:t>
      </w:r>
      <w:r>
        <w:rPr>
          <w:rFonts w:ascii="arial" w:eastAsia="arial" w:hAnsi="arial" w:cs="arial"/>
          <w:b/>
          <w:i/>
          <w:color w:val="000000"/>
          <w:sz w:val="20"/>
          <w:lang w:val="en-US" w:eastAsia="en-US" w:bidi="ar-SA"/>
        </w:rPr>
        <w:t>Danier Leather</w:t>
      </w:r>
      <w:r>
        <w:rPr>
          <w:rFonts w:ascii="arial" w:eastAsia="arial" w:hAnsi="arial" w:cs="arial"/>
          <w:color w:val="000000"/>
          <w:sz w:val="20"/>
          <w:lang w:val="en-US" w:eastAsia="en-US" w:bidi="ar-SA"/>
        </w:rPr>
        <w:t xml:space="preserve"> is a statutory misrepresentation case and does not deal with the common law. They quote Mr. Justice Binnie, who poses the question as follows, at para.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essence, the legal question is whether a compliant issuer can be civilly liable for statutory misrepresentation for failing to update its prospectus with information that comes to light during the period of distribution (i.e. after the prospectus was filed on May 6, 1998, but prior to closing) to correct a statement that was correct when made but which became misleading. More succinctly, is compliance with the regulatory demands of ss. 56 to 58 a shield against an action for statutory misrepresentation under s. 130(1)?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Justice Binnie further stated, at para. 43 of the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when (as here) a prospectus (or an amendment) contains no misrepresentation on the date the document is filed, information amounting to material facts (but not material changes) that arises subsequently cannot support an action under s. 130(1). (Of course, if a material change arises during the period of distribution, failure to disclose this change as required by s. 57(1) could support an action under s. 130(1).) In the case at bar, however, the trial judge found that the intra-quarterly results were not a material change, and as will be explained, I agree with the trial judge in this regard. Such is the prospectus disclosure policy presently mandated by the Act and the courts are obliged to give effect to it. In contexts other than 'prospectus misrepresentation', including regulatory or stock exchange oversight, a different policy may prevail, depending on the governing rules and enactments. This appeal is concerned only with s. 130(1).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 agree with the plaintiffs' position, which is supported by </w:t>
      </w:r>
      <w:r>
        <w:rPr>
          <w:rFonts w:ascii="arial" w:eastAsia="arial" w:hAnsi="arial" w:cs="arial"/>
          <w:b/>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another Supreme Court of Canada decision, in which Mr. Justice Major stated,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Legislative standards are relevant to the common law standard of care, but the two are not necessarily co-extensive. The fact that a statute prescribes or prohibits certain activities may constitute evidence of reasonable conduct in a given situation, but it does not extinguish the underlying obligation of reasonableness ... Thus, a statutory breach does not automatically give rise to civil liability; it is merely some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By the same token, mere compliance with a statute does not, in and of itself, preclude a finding of civil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an alternative basis for finding IDB liable, counsel for the plaintiffs argued that the corporation owed a fiduciary duty to the plaintiffs. In argument, counsel conceded that there are no decided cases finding that a corporation owes a fiduciary duty to its shareholders. At the material time, these plaintiffs had sold their shares in IDB and only owned warrants. Even if corporations were in a fiduciary relationship with their shareholders, it would require a further extension of the fiduciary principle to find that such a duty was owed to a person whose only connection to the corporation was a contractual right to become a shareholder. Nothing in the facts of this case causes me to believe that such a novel extension of fiduciary responsibility is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real issue at the centre of this litigation is whether the press release issued by IDB on November 18, 2005, constituted a negligent misrepresentation. In </w:t>
      </w:r>
      <w:r>
        <w:rPr>
          <w:rFonts w:ascii="arial" w:eastAsia="arial" w:hAnsi="arial" w:cs="arial"/>
          <w:b/>
          <w:i/>
          <w:color w:val="000000"/>
          <w:sz w:val="20"/>
          <w:lang w:val="en-US" w:eastAsia="en-US" w:bidi="ar-SA"/>
        </w:rPr>
        <w:t>Cognos</w:t>
      </w:r>
      <w:r>
        <w:rPr>
          <w:rFonts w:ascii="arial" w:eastAsia="arial" w:hAnsi="arial" w:cs="arial"/>
          <w:color w:val="000000"/>
          <w:sz w:val="20"/>
          <w:lang w:val="en-US" w:eastAsia="en-US" w:bidi="ar-SA"/>
        </w:rPr>
        <w:t xml:space="preserve">, the Supreme Court of Canada articulated a five-part test for finding liability in negligent misrepresentation. The five requirements under </w:t>
      </w:r>
      <w:r>
        <w:rPr>
          <w:rFonts w:ascii="arial" w:eastAsia="arial" w:hAnsi="arial" w:cs="arial"/>
          <w:b/>
          <w:i/>
          <w:color w:val="000000"/>
          <w:sz w:val="20"/>
          <w:lang w:val="en-US" w:eastAsia="en-US" w:bidi="ar-SA"/>
        </w:rPr>
        <w:t>Cognos</w:t>
      </w:r>
      <w:r>
        <w:rPr>
          <w:rFonts w:ascii="arial" w:eastAsia="arial" w:hAnsi="arial" w:cs="arial"/>
          <w:color w:val="000000"/>
          <w:sz w:val="20"/>
          <w:lang w:val="en-US" w:eastAsia="en-US" w:bidi="ar-SA"/>
        </w:rPr>
        <w:t xml:space="preserve"> are:</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representee;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in question must be untrue, inaccurate, or misleading;</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said representation;</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relied, in a reasonable manner, on said negligent misrepresentation;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that they suffered resulting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first inquiry under the </w:t>
      </w:r>
      <w:r>
        <w:rPr>
          <w:rFonts w:ascii="arial" w:eastAsia="arial" w:hAnsi="arial" w:cs="arial"/>
          <w:b/>
          <w:i/>
          <w:color w:val="000000"/>
          <w:sz w:val="20"/>
          <w:lang w:val="en-US" w:eastAsia="en-US" w:bidi="ar-SA"/>
        </w:rPr>
        <w:t>Cognos</w:t>
      </w:r>
      <w:r>
        <w:rPr>
          <w:rFonts w:ascii="arial" w:eastAsia="arial" w:hAnsi="arial" w:cs="arial"/>
          <w:color w:val="000000"/>
          <w:sz w:val="20"/>
          <w:lang w:val="en-US" w:eastAsia="en-US" w:bidi="ar-SA"/>
        </w:rPr>
        <w:t xml:space="preserve"> test is whether or not there was a duty of care based on a special relationship. In Canada, the existence of a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is determined by the application of the two-part test which has come to be referred to as the </w:t>
      </w:r>
      <w:r>
        <w:rPr>
          <w:rFonts w:ascii="arial" w:eastAsia="arial" w:hAnsi="arial" w:cs="arial"/>
          <w:b/>
          <w:i/>
          <w:color w:val="000000"/>
          <w:sz w:val="20"/>
          <w:lang w:val="en-US" w:eastAsia="en-US" w:bidi="ar-SA"/>
        </w:rPr>
        <w:t>Anns/Kamloops</w:t>
      </w:r>
      <w:r>
        <w:rPr>
          <w:rFonts w:ascii="arial" w:eastAsia="arial" w:hAnsi="arial" w:cs="arial"/>
          <w:color w:val="000000"/>
          <w:sz w:val="20"/>
          <w:lang w:val="en-US" w:eastAsia="en-US" w:bidi="ar-SA"/>
        </w:rPr>
        <w:t xml:space="preserve"> test. The test was first established by Lord Wilberforce in </w:t>
      </w:r>
      <w:r>
        <w:rPr>
          <w:rFonts w:ascii="arial" w:eastAsia="arial" w:hAnsi="arial" w:cs="arial"/>
          <w:b/>
          <w:i/>
          <w:color w:val="000000"/>
          <w:sz w:val="20"/>
          <w:lang w:val="en-US" w:eastAsia="en-US" w:bidi="ar-SA"/>
        </w:rPr>
        <w:t>Anns v. Merton London Borough Council</w:t>
      </w:r>
      <w:r>
        <w:rPr>
          <w:rFonts w:ascii="arial" w:eastAsia="arial" w:hAnsi="arial" w:cs="arial"/>
          <w:color w:val="000000"/>
          <w:sz w:val="20"/>
          <w:lang w:val="en-US" w:eastAsia="en-US" w:bidi="ar-SA"/>
        </w:rPr>
        <w:t>, [1978] A.C. 728 (H.L.) at 751-752: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position has now been reached that in order to establish that a duty of care arises in a particular situation, it is not necessary to bring the facts of that situation within those of previous situations in which a duty of care has been held to exist. Rather the question has to be approached in two stages. First one has to ask whether, as between the alleged wrongdoer and the person who has suffered damage there is a sufficient relationship of proximity or neighbourhood such that, in the reasonable contemplation of the former, carelessness on his part may be likely to cause damage to the latter - in which case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arises. Secondly, if the first question is answered affirmatively, it is necessary to consider whether there are any considerations which ought to negative, or to reduce or limit the scope of the duty or the class of person to whom it is owed or the damages to which a breach of it may give rise.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Accordingly, the first part of the </w:t>
      </w:r>
      <w:r>
        <w:rPr>
          <w:rFonts w:ascii="arial" w:eastAsia="arial" w:hAnsi="arial" w:cs="arial"/>
          <w:b/>
          <w:i/>
          <w:color w:val="000000"/>
          <w:sz w:val="20"/>
          <w:lang w:val="en-US" w:eastAsia="en-US" w:bidi="ar-SA"/>
        </w:rPr>
        <w:t>Anns/Kamloops</w:t>
      </w:r>
      <w:r>
        <w:rPr>
          <w:rFonts w:ascii="arial" w:eastAsia="arial" w:hAnsi="arial" w:cs="arial"/>
          <w:color w:val="000000"/>
          <w:sz w:val="20"/>
          <w:lang w:val="en-US" w:eastAsia="en-US" w:bidi="ar-SA"/>
        </w:rPr>
        <w:t xml:space="preserve"> test involves a determination of whether the defendant had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whereas the second part involves policy considerations regarding the negativing of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The test was explicitly adopted by the Supreme Court of Canada in </w:t>
      </w:r>
      <w:r>
        <w:rPr>
          <w:rFonts w:ascii="arial" w:eastAsia="arial" w:hAnsi="arial" w:cs="arial"/>
          <w:b/>
          <w:i/>
          <w:color w:val="000000"/>
          <w:sz w:val="20"/>
          <w:lang w:val="en-US" w:eastAsia="en-US" w:bidi="ar-SA"/>
        </w:rPr>
        <w:t>Neilson v. The City of Kamloops</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Anns/Kamloops</w:t>
      </w:r>
      <w:r>
        <w:rPr>
          <w:rFonts w:ascii="arial" w:eastAsia="arial" w:hAnsi="arial" w:cs="arial"/>
          <w:color w:val="000000"/>
          <w:sz w:val="20"/>
          <w:lang w:val="en-US" w:eastAsia="en-US" w:bidi="ar-SA"/>
        </w:rPr>
        <w:t xml:space="preserve"> test applies in the context of a tort of negligent misrepresentation, as Mr. Justice La Forest determined in </w:t>
      </w:r>
      <w:r>
        <w:rPr>
          <w:rFonts w:ascii="arial" w:eastAsia="arial" w:hAnsi="arial" w:cs="arial"/>
          <w:b/>
          <w:i/>
          <w:color w:val="000000"/>
          <w:sz w:val="20"/>
          <w:lang w:val="en-US" w:eastAsia="en-US" w:bidi="ar-SA"/>
        </w:rPr>
        <w:t>Hercules Management Limited. v. Ernst &amp; Young</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see no reason in principle why the same approach should not be taken in the present case. Indeed, to create a "pocket" of negligent misrepresentation cases (to use Professor Stapleton's term) in which the existence of a duty of care is determined differently from other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would, in my view, be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discussing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in the context of negligent misrepresentation, Mr. Justice La Forest said this at paras. 22 and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first branch of the </w:t>
      </w:r>
      <w:r>
        <w:rPr>
          <w:rFonts w:ascii="arial" w:eastAsia="arial" w:hAnsi="arial" w:cs="arial"/>
          <w:b/>
          <w:i/>
          <w:color w:val="000000"/>
          <w:sz w:val="20"/>
          <w:lang w:val="en-US" w:eastAsia="en-US" w:bidi="ar-SA"/>
        </w:rPr>
        <w:t>Anns/Kamloops</w:t>
      </w:r>
      <w:r>
        <w:rPr>
          <w:rFonts w:ascii="arial" w:eastAsia="arial" w:hAnsi="arial" w:cs="arial"/>
          <w:color w:val="000000"/>
          <w:sz w:val="20"/>
          <w:lang w:val="en-US" w:eastAsia="en-US" w:bidi="ar-SA"/>
        </w:rPr>
        <w:t xml:space="preserve"> test demands an inquiry into whether there is a sufficiently close relationship between the plaintiff and the defendant that in the reasonable contemplation of the latter, carelessness on its part may cause damage to the former.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cases of negligent misrepresentation, the relationship between the plaintiff and the defendant arises through reliance by the plaintiff on the defendant's words. Thus, if 'proximity' is meant to distinguish the cases where the defendant has a responsibility to take reasonable care of the plaintiff from those where he or she has no such responsibility, then in negligent misrepresentation cases, it must pertain to some aspect of the relationship of reliance. To my mind, proximity can be seen to inhere between a defendant-representor and a plaintiff-representee when two criteria relating to reliance may be said to exist on the facts: (a) the defendant ought reasonably to foresee that the plaintiff will rely on his or her representation; and (b) reliance by the plaintiff would, in the particular circumstances of the case, be reasonable. To use the term employed by my colleague, Iacobucci J., in </w:t>
      </w:r>
      <w:r>
        <w:rPr>
          <w:rFonts w:ascii="arial" w:eastAsia="arial" w:hAnsi="arial" w:cs="arial"/>
          <w:b/>
          <w:i/>
          <w:color w:val="000000"/>
          <w:sz w:val="20"/>
          <w:lang w:val="en-US" w:eastAsia="en-US" w:bidi="ar-SA"/>
        </w:rPr>
        <w:t>Cognos</w:t>
      </w:r>
      <w:r>
        <w:rPr>
          <w:rFonts w:ascii="arial" w:eastAsia="arial" w:hAnsi="arial" w:cs="arial"/>
          <w:color w:val="000000"/>
          <w:sz w:val="20"/>
          <w:lang w:val="en-US" w:eastAsia="en-US" w:bidi="ar-SA"/>
        </w:rPr>
        <w:t>, supra, at p. 110, the plaintiff and the defendant can be said to be in a "special relationship" whenever these two factors inhere.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Accordingly, while reasonable reliance is an independent element of proof of the claim, an analysis of that reliance is also necessary to determine whether, in a particular circumstance, there is sufficient "proximity", commonly based on reasonable foreseeability, such that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With respect to the second part of the </w:t>
      </w:r>
      <w:r>
        <w:rPr>
          <w:rFonts w:ascii="arial" w:eastAsia="arial" w:hAnsi="arial" w:cs="arial"/>
          <w:b/>
          <w:i/>
          <w:color w:val="000000"/>
          <w:sz w:val="20"/>
          <w:lang w:val="en-US" w:eastAsia="en-US" w:bidi="ar-SA"/>
        </w:rPr>
        <w:t>Anns/Kamloops</w:t>
      </w:r>
      <w:r>
        <w:rPr>
          <w:rFonts w:ascii="arial" w:eastAsia="arial" w:hAnsi="arial" w:cs="arial"/>
          <w:color w:val="000000"/>
          <w:sz w:val="20"/>
          <w:lang w:val="en-US" w:eastAsia="en-US" w:bidi="ar-SA"/>
        </w:rPr>
        <w:t xml:space="preserve"> test - policy considerations for negativing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 Mr. Justice La Forest recognized in </w:t>
      </w:r>
      <w:r>
        <w:rPr>
          <w:rFonts w:ascii="arial" w:eastAsia="arial" w:hAnsi="arial" w:cs="arial"/>
          <w:b/>
          <w:i/>
          <w:color w:val="000000"/>
          <w:sz w:val="20"/>
          <w:lang w:val="en-US" w:eastAsia="en-US" w:bidi="ar-SA"/>
        </w:rPr>
        <w:t>Hercules</w:t>
      </w:r>
      <w:r>
        <w:rPr>
          <w:rFonts w:ascii="arial" w:eastAsia="arial" w:hAnsi="arial" w:cs="arial"/>
          <w:color w:val="000000"/>
          <w:sz w:val="20"/>
          <w:lang w:val="en-US" w:eastAsia="en-US" w:bidi="ar-SA"/>
        </w:rPr>
        <w:t xml:space="preserve">, at para. 31 (citing Cardozo C.J., in </w:t>
      </w:r>
      <w:r>
        <w:rPr>
          <w:rFonts w:ascii="arial" w:eastAsia="arial" w:hAnsi="arial" w:cs="arial"/>
          <w:b/>
          <w:i/>
          <w:color w:val="000000"/>
          <w:sz w:val="20"/>
          <w:lang w:val="en-US" w:eastAsia="en-US" w:bidi="ar-SA"/>
        </w:rPr>
        <w:t>Ultramares Corp. v. Touche Niven &amp; Co.</w:t>
      </w:r>
      <w:r>
        <w:rPr>
          <w:rFonts w:ascii="arial" w:eastAsia="arial" w:hAnsi="arial" w:cs="arial"/>
          <w:color w:val="000000"/>
          <w:sz w:val="20"/>
          <w:lang w:val="en-US" w:eastAsia="en-US" w:bidi="ar-SA"/>
        </w:rPr>
        <w:t>, 174 N.E., 441 (U.S.C.A. 1931) at 444) that its purpose is to avoid the possibility of exposing defendants in negligent misrepresentation claims to "liability in an indeterminate amount for an indeterminate time to an indeterminate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Since the reasonable foreseeability/reasonable reliance test for ascertaining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may well be satisfied in many negligent misrepresentation claims, the problem of indeterminate liability will often arise. To address this problem Mr. Justice La Forest proposed, at para. 37, that two factors should be considered at the second part of the </w:t>
      </w:r>
      <w:r>
        <w:rPr>
          <w:rFonts w:ascii="arial" w:eastAsia="arial" w:hAnsi="arial" w:cs="arial"/>
          <w:b/>
          <w:i/>
          <w:color w:val="000000"/>
          <w:sz w:val="20"/>
          <w:lang w:val="en-US" w:eastAsia="en-US" w:bidi="ar-SA"/>
        </w:rPr>
        <w:t>Anns/Kamloops</w:t>
      </w:r>
      <w:r>
        <w:rPr>
          <w:rFonts w:ascii="arial" w:eastAsia="arial" w:hAnsi="arial" w:cs="arial"/>
          <w:color w:val="000000"/>
          <w:sz w:val="20"/>
          <w:lang w:val="en-US" w:eastAsia="en-US" w:bidi="ar-SA"/>
        </w:rPr>
        <w:t xml:space="preserve"> test:</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knew the identity of the plaintiff;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defendant's impugned statements were used for the specific purpose or transaction for which they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IDB submits that the plaintiffs' case fails to satisfy either aspect of the </w:t>
      </w:r>
      <w:r>
        <w:rPr>
          <w:rFonts w:ascii="arial" w:eastAsia="arial" w:hAnsi="arial" w:cs="arial"/>
          <w:b/>
          <w:i/>
          <w:color w:val="000000"/>
          <w:sz w:val="20"/>
          <w:lang w:val="en-US" w:eastAsia="en-US" w:bidi="ar-SA"/>
        </w:rPr>
        <w:t>Anns/Kamloops</w:t>
      </w:r>
      <w:r>
        <w:rPr>
          <w:rFonts w:ascii="arial" w:eastAsia="arial" w:hAnsi="arial" w:cs="arial"/>
          <w:color w:val="000000"/>
          <w:sz w:val="20"/>
          <w:lang w:val="en-US" w:eastAsia="en-US" w:bidi="ar-SA"/>
        </w:rPr>
        <w:t xml:space="preserve"> test. Specifically, they allege the plaintiffs' case fails on the first part of the test because it was not reasonably foreseeable that they would rely on IDB to keep them apprised of the court proceedings. It fails on the second part of the test because IDB's impugned statements were not used for the specific purpose for which they were made and because IDB was not required under the applicable legislation, common law, and the Court's Interim Order to disclose the information the plaintiffs say they were missing. I agree with IDB's submissions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Focusing on the two key elements outlined by Mr. Justice La Forest in </w:t>
      </w:r>
      <w:r>
        <w:rPr>
          <w:rFonts w:ascii="arial" w:eastAsia="arial" w:hAnsi="arial" w:cs="arial"/>
          <w:b/>
          <w:i/>
          <w:color w:val="000000"/>
          <w:sz w:val="20"/>
          <w:lang w:val="en-US" w:eastAsia="en-US" w:bidi="ar-SA"/>
        </w:rPr>
        <w:t>Hercules</w:t>
      </w:r>
      <w:r>
        <w:rPr>
          <w:rFonts w:ascii="arial" w:eastAsia="arial" w:hAnsi="arial" w:cs="arial"/>
          <w:color w:val="000000"/>
          <w:sz w:val="20"/>
          <w:lang w:val="en-US" w:eastAsia="en-US" w:bidi="ar-SA"/>
        </w:rPr>
        <w:t xml:space="preserve"> Management -- that is that (a) the defendant ought reasonably to foresee that the plaintiff will rely on his or her representation, and (b) reliance by the plaintiff would, in the particular circumstance of the case be reasonable -- the case law often focuses on whether or not the plaintiff, to the knowledge of the representor, had other means of accessing or checking the information provided by the defendant: see, for example, </w:t>
      </w:r>
      <w:r>
        <w:rPr>
          <w:rFonts w:ascii="arial" w:eastAsia="arial" w:hAnsi="arial" w:cs="arial"/>
          <w:b/>
          <w:i/>
          <w:color w:val="000000"/>
          <w:sz w:val="20"/>
          <w:lang w:val="en-US" w:eastAsia="en-US" w:bidi="ar-SA"/>
        </w:rPr>
        <w:t>Keith Plumbing &amp; Heating Company v. Newport City Club Ltd.</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(2000), 184 D.L.R. (4th) 75</w:t>
        </w:r>
      </w:hyperlink>
      <w:r>
        <w:rPr>
          <w:rFonts w:ascii="arial" w:eastAsia="arial" w:hAnsi="arial" w:cs="arial"/>
          <w:color w:val="000000"/>
          <w:sz w:val="20"/>
          <w:lang w:val="en-US" w:eastAsia="en-US" w:bidi="ar-SA"/>
        </w:rPr>
        <w:t xml:space="preserve"> (B.C.C.A.), leave to appeal to the SCC ref'd </w:t>
      </w:r>
      <w:hyperlink r:id="rId695" w:history="1">
        <w:r>
          <w:rPr>
            <w:rFonts w:ascii="arial" w:eastAsia="arial" w:hAnsi="arial" w:cs="arial"/>
            <w:i/>
            <w:color w:val="0077CC"/>
            <w:sz w:val="20"/>
            <w:u w:val="single"/>
            <w:shd w:val="clear" w:color="auto" w:fill="FFFFFF"/>
            <w:lang w:val="en-US" w:eastAsia="en-US" w:bidi="ar-SA"/>
          </w:rPr>
          <w:t>[2000] S.C.C.A. No. 193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in this case claim they had "no alternative source of information with respect to what was happening in court other than the updates that IDB was providing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cannot accept this statement as factual. First, the Interim Order specified that by filing an Appearance, securityholders would receive notification of adjournment hearing dates. Second, the court process was public. Anyone could attend or send a representative to learn what transpired. Third, either the Court registry or a Vancouver lawyer could provide an interested party with relevant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These facts go to both branches of the </w:t>
      </w:r>
      <w:r>
        <w:rPr>
          <w:rFonts w:ascii="arial" w:eastAsia="arial" w:hAnsi="arial" w:cs="arial"/>
          <w:b/>
          <w:i/>
          <w:color w:val="000000"/>
          <w:sz w:val="20"/>
          <w:lang w:val="en-US" w:eastAsia="en-US" w:bidi="ar-SA"/>
        </w:rPr>
        <w:t>Hercules Management</w:t>
      </w:r>
      <w:r>
        <w:rPr>
          <w:rFonts w:ascii="arial" w:eastAsia="arial" w:hAnsi="arial" w:cs="arial"/>
          <w:color w:val="000000"/>
          <w:sz w:val="20"/>
          <w:lang w:val="en-US" w:eastAsia="en-US" w:bidi="ar-SA"/>
        </w:rPr>
        <w:t xml:space="preserve"> test. It was not reasonable for the defendant to foresee that the plaintiffs would rely on their representation nor, and I emphasize these words, "in the particular circumstances of this case" would reliance by the plaintiff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This finding, on the first element of the </w:t>
      </w:r>
      <w:r>
        <w:rPr>
          <w:rFonts w:ascii="arial" w:eastAsia="arial" w:hAnsi="arial" w:cs="arial"/>
          <w:b/>
          <w:i/>
          <w:color w:val="000000"/>
          <w:sz w:val="20"/>
          <w:lang w:val="en-US" w:eastAsia="en-US" w:bidi="ar-SA"/>
        </w:rPr>
        <w:t>Cognos</w:t>
      </w:r>
      <w:r>
        <w:rPr>
          <w:rFonts w:ascii="arial" w:eastAsia="arial" w:hAnsi="arial" w:cs="arial"/>
          <w:color w:val="000000"/>
          <w:sz w:val="20"/>
          <w:lang w:val="en-US" w:eastAsia="en-US" w:bidi="ar-SA"/>
        </w:rPr>
        <w:t xml:space="preserve"> test, is sufficient to dispose of the plaintiffs' claim. Nevertheless, I will provide my views on the other elements of the </w:t>
      </w:r>
      <w:r>
        <w:rPr>
          <w:rFonts w:ascii="arial" w:eastAsia="arial" w:hAnsi="arial" w:cs="arial"/>
          <w:b/>
          <w:i/>
          <w:color w:val="000000"/>
          <w:sz w:val="20"/>
          <w:lang w:val="en-US" w:eastAsia="en-US" w:bidi="ar-SA"/>
        </w:rPr>
        <w:t>Cognos</w:t>
      </w:r>
      <w:r>
        <w:rPr>
          <w:rFonts w:ascii="arial" w:eastAsia="arial" w:hAnsi="arial" w:cs="arial"/>
          <w:color w:val="000000"/>
          <w:sz w:val="20"/>
          <w:lang w:val="en-US" w:eastAsia="en-US" w:bidi="ar-SA"/>
        </w:rPr>
        <w:t xml:space="preserv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second element of the </w:t>
      </w:r>
      <w:r>
        <w:rPr>
          <w:rFonts w:ascii="arial" w:eastAsia="arial" w:hAnsi="arial" w:cs="arial"/>
          <w:b/>
          <w:i/>
          <w:color w:val="000000"/>
          <w:sz w:val="20"/>
          <w:lang w:val="en-US" w:eastAsia="en-US" w:bidi="ar-SA"/>
        </w:rPr>
        <w:t>Cognos</w:t>
      </w:r>
      <w:r>
        <w:rPr>
          <w:rFonts w:ascii="arial" w:eastAsia="arial" w:hAnsi="arial" w:cs="arial"/>
          <w:color w:val="000000"/>
          <w:sz w:val="20"/>
          <w:lang w:val="en-US" w:eastAsia="en-US" w:bidi="ar-SA"/>
        </w:rPr>
        <w:t xml:space="preserve"> test is whether there was an untrue, inaccurate or misleading statement. </w:t>
      </w:r>
      <w:r>
        <w:rPr>
          <w:rFonts w:ascii="arial" w:eastAsia="arial" w:hAnsi="arial" w:cs="arial"/>
          <w:b/>
          <w:i/>
          <w:color w:val="000000"/>
          <w:sz w:val="20"/>
          <w:lang w:val="en-US" w:eastAsia="en-US" w:bidi="ar-SA"/>
        </w:rPr>
        <w:t>Cognos</w:t>
      </w:r>
      <w:r>
        <w:rPr>
          <w:rFonts w:ascii="arial" w:eastAsia="arial" w:hAnsi="arial" w:cs="arial"/>
          <w:color w:val="000000"/>
          <w:sz w:val="20"/>
          <w:lang w:val="en-US" w:eastAsia="en-US" w:bidi="ar-SA"/>
        </w:rPr>
        <w:t xml:space="preserve"> itself held that implied representations can be a basis for liability in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November 18 press statement was neither untrue nor inaccurate. However, despite the forceful submissions of counsel for the defendant, I am satisfied that it was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Counsel for the defendant submitted that for an implied misrepresentation to be misleading it must be the only reasonable inference a person could draw from the direct representation. This argument was derived from the passage in </w:t>
      </w:r>
      <w:r>
        <w:rPr>
          <w:rFonts w:ascii="arial" w:eastAsia="arial" w:hAnsi="arial" w:cs="arial"/>
          <w:b/>
          <w:i/>
          <w:color w:val="000000"/>
          <w:sz w:val="20"/>
          <w:lang w:val="en-US" w:eastAsia="en-US" w:bidi="ar-SA"/>
        </w:rPr>
        <w:t>Cognos</w:t>
      </w:r>
      <w:r>
        <w:rPr>
          <w:rFonts w:ascii="arial" w:eastAsia="arial" w:hAnsi="arial" w:cs="arial"/>
          <w:color w:val="000000"/>
          <w:sz w:val="20"/>
          <w:lang w:val="en-US" w:eastAsia="en-US" w:bidi="ar-SA"/>
        </w:rPr>
        <w:t xml:space="preserve"> where Iacobucci J. said,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implied misrepresentation found by the trial judge is not only reasonable in the surrounding circumstances, but it is also perhaps the only inference that could be drawn from the direct representations made to the appellant.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 believe counsel is reading </w:t>
      </w:r>
      <w:r>
        <w:rPr>
          <w:rFonts w:ascii="arial" w:eastAsia="arial" w:hAnsi="arial" w:cs="arial"/>
          <w:b/>
          <w:i/>
          <w:color w:val="000000"/>
          <w:sz w:val="20"/>
          <w:lang w:val="en-US" w:eastAsia="en-US" w:bidi="ar-SA"/>
        </w:rPr>
        <w:t>Cognos</w:t>
      </w:r>
      <w:r>
        <w:rPr>
          <w:rFonts w:ascii="arial" w:eastAsia="arial" w:hAnsi="arial" w:cs="arial"/>
          <w:color w:val="000000"/>
          <w:sz w:val="20"/>
          <w:lang w:val="en-US" w:eastAsia="en-US" w:bidi="ar-SA"/>
        </w:rPr>
        <w:t xml:space="preserve"> too narrowly and I reject his interpretation based on Mr. Justice Iacobucci's language in the previous paragraph of his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unnecessary for me to set out in detail the circumstances in which so-called implied representations can be enough to sustain an action in tort for negligent misrepresentation. I prefer leaving this task to trial judges dealing with specific factual situations. Suffice it to say that the case at bar falls well within this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agree with the views of IDB's president, Todd Patrick: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to explain the reason for the delay so people are going to know there is opposition.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third </w:t>
      </w:r>
      <w:r>
        <w:rPr>
          <w:rFonts w:ascii="arial" w:eastAsia="arial" w:hAnsi="arial" w:cs="arial"/>
          <w:b/>
          <w:i/>
          <w:color w:val="000000"/>
          <w:sz w:val="20"/>
          <w:lang w:val="en-US" w:eastAsia="en-US" w:bidi="ar-SA"/>
        </w:rPr>
        <w:t>Cognos</w:t>
      </w:r>
      <w:r>
        <w:rPr>
          <w:rFonts w:ascii="arial" w:eastAsia="arial" w:hAnsi="arial" w:cs="arial"/>
          <w:color w:val="000000"/>
          <w:sz w:val="20"/>
          <w:lang w:val="en-US" w:eastAsia="en-US" w:bidi="ar-SA"/>
        </w:rPr>
        <w:t xml:space="preserve"> factor is that the representor must have acted negligently in making the representation. I find that the company was negligent in failing to follow the advice of its president to disclose the existence of the Informal Committee's opposition and the basis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fourth </w:t>
      </w:r>
      <w:r>
        <w:rPr>
          <w:rFonts w:ascii="arial" w:eastAsia="arial" w:hAnsi="arial" w:cs="arial"/>
          <w:b/>
          <w:i/>
          <w:color w:val="000000"/>
          <w:sz w:val="20"/>
          <w:lang w:val="en-US" w:eastAsia="en-US" w:bidi="ar-SA"/>
        </w:rPr>
        <w:t>Cognos</w:t>
      </w:r>
      <w:r>
        <w:rPr>
          <w:rFonts w:ascii="arial" w:eastAsia="arial" w:hAnsi="arial" w:cs="arial"/>
          <w:color w:val="000000"/>
          <w:sz w:val="20"/>
          <w:lang w:val="en-US" w:eastAsia="en-US" w:bidi="ar-SA"/>
        </w:rPr>
        <w:t xml:space="preserve"> factor is that the representee must have relied, in a reasonable manner, on the negligent misrepresentation. I find that all of the plaintiffs have failed this branch of the test. James and Marilyn Morse relied on David Morse rather than IDB's press release. David Morse relied on his own judgment. He was not holding IDB warrants because he believed GSK and IDB had undervalued them; he held them because he anticipated a bidding war in which ownership of the warrants would be a cost-effective means to profit from any higher value put on the company as a whole. Once the Plan of Arrangement was approved by an overwhelming majority of securityholders (including himself and his family) he had no reason to hold the warrants and sold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Charles Lucero is different. He did think the warrants were undervalued and he voted against the Plan of Arrangement for that reason. However, he was aware of the possibility of entering an Appearance in Court. He sought legal advice from a Montana lawyer and relied upon that advice rather than IDB's press release. His failure, and his American lawyer's failure, to take reasonable steps to learn what was happening in the court-approval process was the proximate cause of his failure to hold all of his warrants.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the issue of reliance, the plaintiffs seek to rely on the expert opinion of Mr. Smith. I did not find it to be of assistance and preferred the views expressed in the expert opinion of Mr. Leon Getz.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fifth test is that the reliance must have been detrimental to the representee. Having found no reasonable reliance by any of the plaintiffs, the fifth test has no relevance.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result is that the plaintiffs' case is dismissed with costs to the defendant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P.D. LEASK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7" style="position:absolute;z-index:2517913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96"/>
          <w:headerReference w:type="default" r:id="rId697"/>
          <w:footerReference w:type="even" r:id="rId698"/>
          <w:footerReference w:type="default" r:id="rId699"/>
          <w:headerReference w:type="first" r:id="rId700"/>
          <w:footerReference w:type="first" r:id="rId70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02" w:history="1">
        <w:r>
          <w:rPr>
            <w:rFonts w:ascii="arial" w:eastAsia="arial" w:hAnsi="arial" w:cs="arial"/>
            <w:b/>
            <w:bCs/>
            <w:i/>
            <w:color w:val="0077CC"/>
            <w:kern w:val="32"/>
            <w:sz w:val="28"/>
            <w:szCs w:val="32"/>
            <w:u w:val="single"/>
            <w:shd w:val="clear" w:color="auto" w:fill="FFFFFF"/>
            <w:lang w:val="en-US" w:eastAsia="en-US" w:bidi="ar-SA"/>
          </w:rPr>
          <w:t>Magdalena v. Vancouver Coastal Health Authority (c.o.b. Vancouver Hospital and Health Sciences Centre, U.B.C. Site), [2014] B.C.J. No. 3492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E.J. Adair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December 11,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S106678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3492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2651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Gavriael Magdalena, also known as Keyvan Economi, Plaintiff, and Vancouver Coastal Health Authority, operating a Public Hospital under the name and style of Vancouver Hospital and Health Sciences Centre, U.B.C. Site, and Dr. Andrzej Buczkowski,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(57 paras.)</w:t>
      </w:r>
    </w:p>
    <w:p>
      <w:pPr>
        <w:jc w:val="both"/>
        <w:rPr>
          <w:rFonts w:ascii="arial" w:eastAsia="arial" w:hAnsi="arial" w:cs="arial"/>
          <w:sz w:val="20"/>
          <w:lang w:val="en-US" w:eastAsia="en-US" w:bidi="ar-SA"/>
        </w:rPr>
      </w:pPr>
      <w:bookmarkStart w:id="127" w:name="Counsel_30"/>
      <w:bookmarkEnd w:id="12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8"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his own behalf: G. Magdalena.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Buczkowski: J.R. Woznesensky.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8" w:name="Judgment_30"/>
      <w:bookmarkEnd w:id="128"/>
      <w:r>
        <w:pict>
          <v:line id="_x0000_s1139" style="position:absolute;z-index:2517442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9" w:name="E.J. ADAIR J. (orally)"/>
            <w:bookmarkEnd w:id="129"/>
            <w:r>
              <w:rPr>
                <w:rFonts w:ascii="arial" w:eastAsia="arial" w:hAnsi="arial" w:cs="arial"/>
                <w:b/>
                <w:color w:val="000000"/>
                <w:sz w:val="30"/>
                <w:lang w:val="en-US" w:eastAsia="en-US" w:bidi="ar-SA"/>
              </w:rPr>
              <w:t>E.J. ADAIR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Mr. Magdalena, claims damages from the defendant Dr. Buczkowski arising out of surgery performed by Dr. Buczkowski on Mr. Magdalena in October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Magdalena says that at the consultation with Dr. Buczkowski, when the surgery, a laparoscopic cholecystectomy, was discussed, Dr. Buczkowski represented to Mr. Magdalena (reading from paragraph 12 of the amended Notice of Civil Claim):</w:t>
      </w:r>
      <w:r>
        <w:rPr>
          <w:rFonts w:ascii="arial" w:eastAsia="arial" w:hAnsi="arial" w:cs="arial"/>
          <w:sz w:val="20"/>
          <w:lang w:val="en-US" w:eastAsia="en-US" w:bidi="ar-SA"/>
        </w:rPr>
        <w:cr/>
      </w:r>
    </w:p>
    <w:p>
      <w:pPr>
        <w:numPr>
          <w:numId w:val="1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cholecystectomy was a superior approach to the relief of the pain of the Plaintiff's gallstones than was either ultrasound treatment or the surgical removal of the gallstones themselves;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body would quickly adjust to the removal of his gall bladder without any significant or long-term ill effects because of his age;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particular, the Plaintiff would not suffer,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chronic diarrhea and the loss of the ability to control his bowels as a result of a cholecystectomy because of his age; and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particulars as may become apparent...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That is called the "Advice" in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Magdalena says that the Advice was negligent because (reading from paragraph 13 of the amended Notice of Civil Claim):</w:t>
      </w:r>
      <w:r>
        <w:rPr>
          <w:rFonts w:ascii="arial" w:eastAsia="arial" w:hAnsi="arial" w:cs="arial"/>
          <w:sz w:val="20"/>
          <w:lang w:val="en-US" w:eastAsia="en-US" w:bidi="ar-SA"/>
        </w:rPr>
        <w:cr/>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cholecystectomy is a highly invasive procedure, involving the complete removal of the patient's gall bladder;</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less invasive forms of treatment could have relieved or significantly reduced the Plaintiff's pain;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Advice] did not warn the Plaintiff that there was a statistically significant possibility that the cholecystectomy would cause or contribute to chronic diarrhea and the loss of [Mr. Magdalena's] ability to control his bowel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Magdalena says that, as a result of the surgery, he has suffered and will continue to suffer, among other things, chronic diarrhea and an inability to control his bowel function, requiring him to discontinue activities on a moment's notice to seek bathroom facilities to attend to his bowel functions (reading from paragraph 19 of the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Magdalena says that, if he had been properly advised, he would have likely accepted the extreme but occasional pain from his gall bladder symptoms over the very unpleasant, highly embarrassing and life-changing circumstances he experiences today. These are described, in some cases in graphic detail, in Mr. Magdalena's two affidavits. The affidavits filed on behalf of Mr. Magdalena from Ms. Hughes and Mr. Magdalena's brother, to the extent that those affidavits are admissible, also provide some insight into Mr. Magdalena's current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This action was dismissed by consent in July 2012 against the other defendant, the Vancouver Coastal Health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trial is set for five days beginning January 26,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Dr. Buczkowski applies for a dismissal of the action as against him on a summary trial. He says that in a medical malpractice case such as this, the onus is on the plaintiff, by way of expert evidence, to establish that Dr. Buczkowski failed to meet the standard of care expected of an ordinary, competent surgeon practicing in British Columbia in 2008 in similar circumstances, and since the plaintiff, Mr. Magdalena, has failed to provide any such expert evidence, the action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am going to at this point set out some procedural background, since it is relevant to the suitability of a summary trial and whether it is unjust to decide the issues on the basis of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This action was filed in October 2010, almost exactly two years after Mr. Magdalena had his surgery. An examination for discovery of Dr. Buczkowski was done in July 2012. An examination for discovery of Mr. Magdalena was done in October 2012 and continued in April of 2013. Counsel for Dr. Buczkowski delivered the expert report of Dr. Turner (which is part of the record on the summary trial) concerning standard of care in September of 2013. The report was delivered against a background where Dr. Buczkowski's counsel had stated her intention to bring on a summary trial seeking dismissal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January 2014, a summary trial date was set for March of 2014, but the application did not proceed, as counsel for Dr. Buczkowski became unavailable. No materials were delivered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June 10, 2014, the summary trial was scheduled for October 22, 2014, with the agreement of counsel. On June 27, 2014, counsel for the plaintiff, Mr. Magdalena, sent a notice of intention to withdraw as counsel, and the notice of withdrawal was then filed on July 10,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July 2, 2014, counsel for Dr. Buczkowski served a copy of the application materials on Mr. White, who was still counsel for the plaintiff. The materials were served on the plaintiff himself on July 7, 2014, along with a letter urging him to seek counsel and respond to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July 21, 2014, counsel for Dr. Buczkowski sent Mr. Magdalena a copy of the book of authorities that she intended to rely on at the summary trial. Then, by letter dated July 31, 2014, counsel for Dr. Buczkowski again advised Mr. Magdalena to file response materials if he wished to oppose the application for the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August 6, 2014, counsel for Dr. Buczkowski called Mr. Magdalena to confirm that he had received the summary trial materials and that he was aware of the application. Mr. Magdalena apparently said that he wished to adjourn the application, and he then sent an email requesting an adjournment to allow him to obtain legal advice and new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August 7, 2014, counsel for Dr. Buczkowski told Mr. Magdalena that she would not consent to an adjournment, and told Mr. Magdalena that he needed to file an application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August 22, 2014, the parties appeared before Madam Justice Burke. The plaintiff, Mr. Magdalena, requested an adjournment on the basis that he was unrepresented and he was seeking legal counsel. Madam Justice Burke granted the adjournment and the summary trial was adjourned generally, but she noted in her reasons that Mr. Magdalena had been aware of the application or the prospect of the application since February and told him that the application could be brought on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Magdalena was advised on September 10, 2014 that the application had been reset for November 10, 2014, and he was reminded of that on September 25 and October 6, 2014. Mr. Magdalena's efforts to retain counsel are set out in his Affidavit Number 1. The summary trial application again came on for hearing on November 10, 2014. I will note that the deadline for delivery of any expert reports in connection with the January 26, 2015, trial date was November 2, 2014, so by the time the summary trial application came on for hearing on November 10, that deadline had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On November 10, the parties appeared before Madam Justice Maisonville. Mr. Magdalena again requested an adjournment because he did not have counsel, and an adjournment was granted, but only to today's date, December 11, 2014, which was the last day a summary trial could be brought in accordance with the provisions of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 and this date was set as a peremptory date as far as Mr. Magdalena was concerned, regardless of whether he was able to obtain counsel. Mr. Magdalena indicated to me today, during the hearing, that he understood today's date was peremptory and he was not seeking an adjournment.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That completes my summary of the procedural background so far as it is relevant to the 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will turn then to the issue of suitability.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Although the defendant Dr. Buczkowski is the one bringing the application for a summary trial, since a summary trial is a trial, the burden of proof remains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Moreover, evidence that would not be admissible at a trial is not admissible on a summary trial. Thus, in this case, what Mr. Magdalena was told by others, if it is tendered for the truth of what he was told, is not admissible because it is hearsay. Generally speaking, and with some exceptions, opinion evidence is only admissible from someone who is properly qualified as an expert and able to give opinion evidence. So, to the extent that opinions are expressed in the affidavits from Ms. Hughes or your brother, Mr. Magdalena, or you yourself in your affidavits, those opinions are not admissible on this application because they would not be admissible at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court may grant judgment on a summary trial, either on an issue or generally, unless the court is unable, on the whole of the evidence, to find the facts necessary to decide the issues of fact or law, or the court is of the opinion that it would be unjust to decide the issues on the application. Judgment may be granted on a summary trial, even if there are conflicting affidavits or conflicting evidence where the court is able to make the necessary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deciding whether it would be unjust to give judgment, the court is entitled to consider, among other things, the amount involved, the complexity of the matter, its urgency, any prejudice likely to arise by reason of delay, the cost of taking the case forward to a conventional trial in relation to the amount involved, the course of the proceedings, and any other matters which arise for consideration on this important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summary trial procedure cannot be open to frustration by one of the parties delaying pre-trial procedures or not responding to an application once it is brought.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 party facing an application for a summary trial faces a very grave risk of having judgment go against him or her, unless that party takes the appropriate steps to ensure that the affidavit evidence and the party's submissions are properly placed before the court in opposition to the application, in accordance with the provisions and procedures set out in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It falls on the party facing an application for summary trial, in this case Mr. Magdalena, to take every reasonable step and to put himself in a position to present his case appropriately, adequately and fully when the summary trial application comes on for hearing. The party cannot, by failing to abide by the provisions of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 xml:space="preserve"> relating to such matters as filing and delivery of an application response and any affidavit material in response and any expert opinion evidence necessary, frustrate the benefits of the summary trial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Today's date, as I have noted, was set as a peremptory date after two adjournments. Dr. Buczkowski faces serious complaints about his professional conduct and he is entitled to ask the court to rule on the merits of Mr. Magdalena's claims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am satisfied that I am able to find the facts necessary to decide the issues of fact and law on the application and that it would not be unjust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order to succeed in his case, Mr. Magdalena must first prove that Dr. Buczkowski failed to meet the appropriate standard of care. The test is conveniently summarized by Mr. Justice Savage in </w:t>
      </w:r>
      <w:r>
        <w:rPr>
          <w:rFonts w:ascii="arial" w:eastAsia="arial" w:hAnsi="arial" w:cs="arial"/>
          <w:b/>
          <w:i/>
          <w:color w:val="000000"/>
          <w:sz w:val="20"/>
          <w:lang w:val="en-US" w:eastAsia="en-US" w:bidi="ar-SA"/>
        </w:rPr>
        <w:t>Tripp v. Ur</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2013 BCSC 785</w:t>
        </w:r>
      </w:hyperlink>
      <w:r>
        <w:rPr>
          <w:rFonts w:ascii="arial" w:eastAsia="arial" w:hAnsi="arial" w:cs="arial"/>
          <w:color w:val="000000"/>
          <w:sz w:val="20"/>
          <w:lang w:val="en-US" w:eastAsia="en-US" w:bidi="ar-SA"/>
        </w:rPr>
        <w:t xml:space="preserve">, at paragraphs 30 and 31 (and I paraphrase). In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the court must judge a physician, and, for that matter, other health professionals, based on the standard of an ordinary average specialist in the same field under similar circumstances. Except, perhaps, in the most obvious of cases, it is not a standard that can be determined </w:t>
      </w:r>
      <w:r>
        <w:rPr>
          <w:rFonts w:ascii="arial" w:eastAsia="arial" w:hAnsi="arial" w:cs="arial"/>
          <w:i/>
          <w:color w:val="000000"/>
          <w:sz w:val="20"/>
          <w:lang w:val="en-US" w:eastAsia="en-US" w:bidi="ar-SA"/>
        </w:rPr>
        <w:t>a priori</w:t>
      </w:r>
      <w:r>
        <w:rPr>
          <w:rFonts w:ascii="arial" w:eastAsia="arial" w:hAnsi="arial" w:cs="arial"/>
          <w:color w:val="000000"/>
          <w:sz w:val="20"/>
          <w:lang w:val="en-US" w:eastAsia="en-US" w:bidi="ar-SA"/>
        </w:rPr>
        <w:t xml:space="preserve"> or in an evidentiary vacuum by a court or tribunal. It is therefore incumbent on the plaintiff to produce expert evidence of a standard of care that should be imposed on the defendant 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See also </w:t>
      </w:r>
      <w:r>
        <w:rPr>
          <w:rFonts w:ascii="arial" w:eastAsia="arial" w:hAnsi="arial" w:cs="arial"/>
          <w:b/>
          <w:i/>
          <w:color w:val="000000"/>
          <w:sz w:val="20"/>
          <w:lang w:val="en-US" w:eastAsia="en-US" w:bidi="ar-SA"/>
        </w:rPr>
        <w:t>Assuman v. Kent</w:t>
      </w:r>
      <w:r>
        <w:rPr>
          <w:rFonts w:ascii="arial" w:eastAsia="arial" w:hAnsi="arial" w:cs="arial"/>
          <w:color w:val="000000"/>
          <w:sz w:val="20"/>
          <w:lang w:val="en-US" w:eastAsia="en-US" w:bidi="ar-SA"/>
        </w:rPr>
        <w:t xml:space="preserve">, </w:t>
      </w:r>
      <w:hyperlink r:id="rId704" w:history="1">
        <w:r>
          <w:rPr>
            <w:rFonts w:ascii="arial" w:eastAsia="arial" w:hAnsi="arial" w:cs="arial"/>
            <w:i/>
            <w:color w:val="0077CC"/>
            <w:sz w:val="20"/>
            <w:u w:val="single"/>
            <w:shd w:val="clear" w:color="auto" w:fill="FFFFFF"/>
            <w:lang w:val="en-US" w:eastAsia="en-US" w:bidi="ar-SA"/>
          </w:rPr>
          <w:t>2009 BCSC 1964</w:t>
        </w:r>
      </w:hyperlink>
      <w:r>
        <w:rPr>
          <w:rFonts w:ascii="arial" w:eastAsia="arial" w:hAnsi="arial" w:cs="arial"/>
          <w:color w:val="000000"/>
          <w:sz w:val="20"/>
          <w:lang w:val="en-US" w:eastAsia="en-US" w:bidi="ar-SA"/>
        </w:rPr>
        <w:t xml:space="preserve"> at paragraphs 32 to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this case, the due date for delivery of any expert reports in connection with the January 26, 2015, trial date was November 2, 2014. No report has been delivered by Mr. Magdalena by the due date or in response to the summary trial application. Although Mr. Magdalena has had several years, for most of which he was represented by counsel, to assemble opinion evidence to support his case, and ample notice of Dr. Buczkowski's intention to seek dismissal on a summary trial, Mr. Magdalena did not submit any expert evidence going to the key issue of standard of care. He did not submit any expert evidence diagnosing his current medical condition or conditions and linking those conditions in any way to the events involving Dr. Buczkowski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There is no opinion evidence on Mr. Magdalena's side from which I can conclude that he would or might have been a suitable candidate in 2008 for lithotripsy rather than a laparoscopic cholecystectomy, or that in his handling of Mr. Magdalena's case, Dr. Buczkowski failed to meet the standard of care of a surgeon practising in British Columbia in 2008, or that any of Mr. Magdalena's current problems are likely caused by or the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Dr. Buczkowski.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Magdalena also did not submit any evidence based on which I could reasonably conclude that, with more time, he would or even might be in a position to put evidence before the court to support his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consultation report from Dr. Cleator is not admissible expert opinion evidence in this case. Mr. Magdalena's statements in his affidavits about what he has been told or concluded are not admissible on the issue of Dr. Buczkowski's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Mr. Magdalena's evidence concerning his depression and panic attacks, for example, is not admissible to prove that he actually suffers from either condition in the absence of an admissible opinion from a qualified doctor who can provide the court with a diagnosis and, more importantly, link that diagnosis to anything that Dr. Buczkowski did or might have failed to have done in 2008. There is simply no evidence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Internet printouts attached to Mr. Magdalena's Affidavit Number 1 are also not admissible. Even if, from Mr. Magdalena's perspective, they describe the symptoms from which he is suffering, I cannot rely on them as evidence of a medical diagnosis. They are simply inadmissible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this case, like in </w:t>
      </w:r>
      <w:r>
        <w:rPr>
          <w:rFonts w:ascii="arial" w:eastAsia="arial" w:hAnsi="arial" w:cs="arial"/>
          <w:b/>
          <w:i/>
          <w:color w:val="000000"/>
          <w:sz w:val="20"/>
          <w:lang w:val="en-US" w:eastAsia="en-US" w:bidi="ar-SA"/>
        </w:rPr>
        <w:t>Tripp</w:t>
      </w:r>
      <w:r>
        <w:rPr>
          <w:rFonts w:ascii="arial" w:eastAsia="arial" w:hAnsi="arial" w:cs="arial"/>
          <w:color w:val="000000"/>
          <w:sz w:val="20"/>
          <w:lang w:val="en-US" w:eastAsia="en-US" w:bidi="ar-SA"/>
        </w:rPr>
        <w:t>, Mr. Magdalena has not met the evidentiary burden on him to adduce evidence of a standard of care that Dr. Buczkowski failed to meet. The courts have indicated clearly that the burden is on the plaintiff to prove that a defendant doctor fell below his or her required standard of care and to provide evidence to support those allegations. That simply has not been done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Buczkowski has gone the extra step of providing evidence, in the form of Dr. Turner's opinion, to show that the standard of care has been met, and there is no admissible evidence to the contrary. The failure of Mr. Magdalena to present any expert evidence that Dr. Buczkowski failed to meet the standard of care required of him is fatal to Mr. Magdalena's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action is therefore dismissed as against Dr. Buczkowski,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That concludes my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GAVRIAEL MAGDALENA: Your Honour, if I may ask you two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COURT: All right, Mr. Magdalena, but you appreciate that I have dismissed the action against Dr. Buczkowski?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GAVRIAEL MAGDALENA: Yes, I just want to be -- clarification. One, on the fact that you mentioned that the affidavits from Harriet Hughes and Mikhail Magdalena are not admissible, they did not provide any medical opinion, so I just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COURT: No, but there are other things in their affidavits that would not be admissible on a summary trial, so I have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GAVRIAEL MAGDALENA: Such as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COURT: -- disregarded those portions that are inadmissible. There are other things, to the extent that they describe their own observations, for example, that would be something that they would be able to give admissible evidence about. But there are other things in their affidavits that are not admissible and I could not consider.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GAVRIAEL MAGDALENA: And then my next point is that your assertion that I will not be able to obtain expert evidence, that is not -- I did not say that I wouldn't be able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COURT: Well, the point is that, and I will just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GAVRIAEL MAGDALENA: And I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COURT: I will just repeat what I said, because I am not satisfied on the basis of the evidence that you did permit -- sorry, that you did submit, that with more time, and frankly you do not have more time because the deadline based on the January trial date was November 2, and that has already passed, that you would have been able to assemble the necessary evidence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GAVRIAEL MAGDALENA: Yes, Your Honour, but I -- I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COURT: -- to support your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GAVRIAEL MAGDALENA: -- I can always apply to have the trial moved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COURT: Well, I am not dealing with that, and I have dismissed the action as against Dr. Buczkowski on the summary trial application that was before me for hearing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[SUBMISSIONS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COURT: I am going to order that the defendant [Dr. Buczkowski], in view of the offer to settle, recover costs of the hearing before Madam Justice Maisonville, and that the defendant recover double costs of today's hearing; that is today's hearing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my view, in the circumstances, particularly in the light of Mr. Magdalena's circumstances, being unrepresented and when he became unrepresented, awarding the defendant Dr. Buczkowski costs of the hearing on November 10 and double costs of today's hearing represents a sufficient recognition of the offer to settle that was made in June 2013. So that is my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E.J. ADAIR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0" style="position:absolute;z-index:2517923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05"/>
          <w:headerReference w:type="default" r:id="rId706"/>
          <w:footerReference w:type="even" r:id="rId707"/>
          <w:footerReference w:type="default" r:id="rId708"/>
          <w:headerReference w:type="first" r:id="rId709"/>
          <w:footerReference w:type="first" r:id="rId7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11" w:history="1">
        <w:r>
          <w:rPr>
            <w:rFonts w:ascii="arial" w:eastAsia="arial" w:hAnsi="arial" w:cs="arial"/>
            <w:b/>
            <w:bCs/>
            <w:i/>
            <w:color w:val="0077CC"/>
            <w:kern w:val="32"/>
            <w:sz w:val="28"/>
            <w:szCs w:val="32"/>
            <w:u w:val="single"/>
            <w:shd w:val="clear" w:color="auto" w:fill="FFFFFF"/>
            <w:lang w:val="en-US" w:eastAsia="en-US" w:bidi="ar-SA"/>
          </w:rPr>
          <w:t>Malhotra v. Waterfront Homes Ltd., [2015] B.C.J. No. 1899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D.W. Thompson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3,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S65786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Nanaimo</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1899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1575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2533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257 A.C.W.S. (3d) 531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47 C.L.R. (4th) 315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Inder Paul Singh Malhotra and Harpal Kaur Malhotra, Plaintiffs, and Waterfront Homes Ltd. and Ramnik Manhas,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 paras.)</w:t>
      </w:r>
    </w:p>
    <w:p>
      <w:pPr>
        <w:jc w:val="both"/>
        <w:rPr>
          <w:rFonts w:ascii="arial" w:eastAsia="arial" w:hAnsi="arial" w:cs="arial"/>
          <w:sz w:val="20"/>
          <w:lang w:val="en-US" w:eastAsia="en-US" w:bidi="ar-SA"/>
        </w:rPr>
      </w:pPr>
      <w:bookmarkStart w:id="130" w:name="Counsel_31"/>
      <w:bookmarkEnd w:id="13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1"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W.W. Geselbracht.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 Pagé.</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1" w:name="Judgment_31"/>
      <w:bookmarkEnd w:id="131"/>
      <w:r>
        <w:pict>
          <v:line id="_x0000_s1142" style="position:absolute;z-index:2517452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on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2" w:name="D.W. THOMPSON J._0"/>
            <w:bookmarkEnd w:id="132"/>
            <w:r>
              <w:rPr>
                <w:rFonts w:ascii="arial" w:eastAsia="arial" w:hAnsi="arial" w:cs="arial"/>
                <w:b/>
                <w:color w:val="000000"/>
                <w:sz w:val="30"/>
                <w:lang w:val="en-US" w:eastAsia="en-US" w:bidi="ar-SA"/>
              </w:rPr>
              <w:t>D.W. THOMPSON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Following a trial, and shortly after his retirement, Mr. Justice McKinnon released reasons for judgment: </w:t>
      </w:r>
      <w:r>
        <w:rPr>
          <w:rFonts w:ascii="arial" w:eastAsia="arial" w:hAnsi="arial" w:cs="arial"/>
          <w:i/>
          <w:color w:val="000000"/>
          <w:sz w:val="20"/>
          <w:lang w:val="en-US" w:eastAsia="en-US" w:bidi="ar-SA"/>
        </w:rPr>
        <w:t>Malhotra v. Waterfront Homes Ltd.</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2015 BCSC 1068</w:t>
        </w:r>
      </w:hyperlink>
      <w:r>
        <w:rPr>
          <w:rFonts w:ascii="arial" w:eastAsia="arial" w:hAnsi="arial" w:cs="arial"/>
          <w:color w:val="000000"/>
          <w:sz w:val="20"/>
          <w:lang w:val="en-US" w:eastAsia="en-US" w:bidi="ar-SA"/>
        </w:rPr>
        <w:t>. I have been directed by the Chief Justice to adjudicate on costs, and have received written submissions from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company built a home for the plaintiffs. In this action, the plaintiffs claimed:</w:t>
      </w:r>
      <w:r>
        <w:rPr>
          <w:rFonts w:ascii="arial" w:eastAsia="arial" w:hAnsi="arial" w:cs="arial"/>
          <w:sz w:val="20"/>
          <w:lang w:val="en-US" w:eastAsia="en-US" w:bidi="ar-SA"/>
        </w:rPr>
        <w:cr/>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$89,248 alleged to be owed to them in connection with the building contract;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assault;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negligent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trial judge gave judgment to the plaintiffs for $51,380 on the contract claim, principally on the footing of his acceptance of the plaintiffs' evidence that the defendant Manhas received $50,000 cash (paras. 34-35). The assault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were wholly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their part, the defendants denied any liability to the plaintiffs and filed a counterclaim. In their submissions at trial, the defendants claimed that the plaintiffs owed $16,005 in relation to the contract. The trial judge dismissed this counterclaim as being based on "a quantum leap in speculation"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plaintiffs submit that they should recover 90% of their costs and the defendants should recover 10% of their costs. The plaintiffs argue that they were substantially successful because most of the trial time was taken up on the accounting issues, and little trial time was used on the assault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The plaintiffs also point to the trial judge's conclusions taxing the credibility of one of the defendants'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submit that each party should bear their own costs. They place particular reliance on the trial judge's closing observation at para. 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Clearly, the Plaintiffs have not succeeded to the extent they claimed and, equally, the Defendants have not been entirely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plaintiff succeeded in some measure on the "accounting" issue: each side claimed it was owed money by the other. The plaintiffs claimed they were owed about $89,000. The defendants claimed they were owed about $16,000. Thus, the trial result was somewhat closer to the plaintiffs' position than the defendants' position on this issue. On the other hand, balanced against this modest success for the plaintiffs on the "accounting" issue is the complete failure on their assault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Further, I note that in the course of his reasons McKinnon J. describes the particular challenge to fact-finding presented by the "fiddle" engaged in by both sides with the goal of minimizing tax liability (para. 31). There were four witnesses called at trial: the two plaintiffs, the defendant Manhas and his wife. It is true that the judge found Mrs. Manhas to be a "very unreliable" witness (para. 29) -- but it is also true that the judge was unimpressed with all the witnesses, concluding that each slanted events to suit their bias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these circumstances, and having regard to the above-quoted observation of the trial judge summarizing his views on the trial outcome, I conclude that neither party enjoyed substantial success in this action. I think the fair result is that each party bear their own costs of the action -- this result encompasses both the plaintiffs' claim and the defendants' counterclaim, and includes this costs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Order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D.W. THOMPSON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3" style="position:absolute;z-index:2517934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3"/>
          <w:headerReference w:type="default" r:id="rId714"/>
          <w:footerReference w:type="even" r:id="rId715"/>
          <w:footerReference w:type="default" r:id="rId716"/>
          <w:headerReference w:type="first" r:id="rId717"/>
          <w:footerReference w:type="first" r:id="rId7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19" w:history="1">
        <w:r>
          <w:rPr>
            <w:rFonts w:ascii="arial" w:eastAsia="arial" w:hAnsi="arial" w:cs="arial"/>
            <w:b/>
            <w:bCs/>
            <w:i/>
            <w:color w:val="0077CC"/>
            <w:kern w:val="32"/>
            <w:sz w:val="28"/>
            <w:szCs w:val="32"/>
            <w:u w:val="single"/>
            <w:shd w:val="clear" w:color="auto" w:fill="FFFFFF"/>
            <w:lang w:val="en-US" w:eastAsia="en-US" w:bidi="ar-SA"/>
          </w:rPr>
          <w:t>Miller v. Resurreccion, [2019] B.C.J. No. 1900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W.A. Baker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19-22, 25-28 and March 1, 4-5,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9,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M133817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1900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1719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Shannon Miller, Plaintiff, and Mario Resurreccion,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(155 paras.)</w:t>
      </w:r>
    </w:p>
    <w:p>
      <w:pPr>
        <w:jc w:val="both"/>
        <w:rPr>
          <w:rFonts w:ascii="arial" w:eastAsia="arial" w:hAnsi="arial" w:cs="arial"/>
          <w:sz w:val="20"/>
          <w:lang w:val="en-US" w:eastAsia="en-US" w:bidi="ar-SA"/>
        </w:rPr>
      </w:pPr>
      <w:bookmarkStart w:id="133" w:name="Counsel_32"/>
      <w:bookmarkEnd w:id="13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4"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A. Maragos, J. De Vita.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D. Bretton, V. Rasidagic.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other appearances made.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4" w:name="Judgment_32"/>
      <w:bookmarkEnd w:id="134"/>
      <w:r>
        <w:pict>
          <v:line id="_x0000_s1145" style="position:absolute;z-index:2517463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Did the accidents cause or exacerbate Ms. Miller's injuries?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 Ms. Miller's abilities and health pre-accident</w:t>
      </w:r>
    </w:p>
    <w:p>
      <w:pPr>
        <w:numPr>
          <w:numId w:val="1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Work and social life</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Neck, shoulders and upper back pain</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Depression, anxiety, sleep disorders</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Miller's abilities and health post-accident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Neck, shoulders and upper back pain</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Depression, anxiety, sleep disorders</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Work and social life</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Neck, shoulders and upper back pain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Depression, anxiety, sleep disorders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What is Ms. Miller's prognosis?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Is Ms. Miller entitled to damages?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mitigate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Remoteness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Pre-trial loss of earning</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homemaking capacity</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5" w:name="W.A. BAKER J."/>
            <w:bookmarkEnd w:id="135"/>
            <w:r>
              <w:rPr>
                <w:rFonts w:ascii="arial" w:eastAsia="arial" w:hAnsi="arial" w:cs="arial"/>
                <w:b/>
                <w:color w:val="000000"/>
                <w:sz w:val="30"/>
                <w:lang w:val="en-US" w:eastAsia="en-US" w:bidi="ar-SA"/>
              </w:rPr>
              <w:t>W.A. BAKER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Shannon Miller was in a car accident on July 23, 2011. Ms. Miller says that as she crossed an intersection in her car, the defendant failed to remain stopped at a stop sign and drove his car into the driver's side of her car. The defendant has admitted liability for the accident. While Ms. Miller was able to drive away from the accident, she says that within hours of the accident she began experiencing severe pain in her upper back, neck and head. She says she has sustained lasting injuries, both physical and psychological, for which she seeks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case raises the following issues:</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accident cause or exacerbate Ms. Miller's injuries?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Ms. Miller's prognosis?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Ms. Miller entitled to any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Did the accidents cause or exacerbate Ms. Miller's injuries</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Ms. Miller's abilities and health pre-accident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Work and social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Miller had a challenging youth and young adulthood. Her family life was difficult and at times traumatizing. Nevertheless, she put herself through college and obtained a diploma in criminology in 1999. She also obtained an advanced specialty certificate in forensic science technology in December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She attempted to complete a Bachelor of Arts degree through distance education with Thompson Rivers University; however, she found the distance education program difficult. She originally enrolled in 2001, but then ran into a number of personal problems related to her family and did not return to the program until November 2009 when she enrolled in one course. By winter 2011 she had successfully completed another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2003 Ms. Miller started working at PLEA Community Services ("PLEA"). After temping with PLEA for 1 year, she began a full time position in 2004. She has remained employed with PLEA from 2004 to the date of trial. At the time of trial she was a case management assistant.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Miller was a very successful employee at PLEA before the accident. Her supervisors testified as to her performance, abilities, and attitude.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founder of PLEA, Ms. Ann Alexander, testified. She described Ms. Miller as a real bright light, performing in an outstanding way. She said Ms. Miller was spirited, smart, willing, generous with her time, respected and well liked. She also said Ms. Miller could juggle more things than she could, and that Ms. Miller was a central figure in the programs they were trying to build. Ms. Miller had no performance or attendance issues before the accident, and Ms. Alexander could not recall any physical problems experienced by Ms. Miller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Alexander's assessment of Ms. Miller's pre-accident abilities at work was corroborated by Mr. Michael Jeffreys, who also worked with Ms. Miller at PLEA before the accident, and is her current supervisor. Other co-workers at PLEA testified. Although they were not supervisors of Ms. Miller, they confirmed that Ms. Miller was an active participant in the work of PLEA, contributed on committees, and was a friendly and upbeat team member with no apparent physical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None of the witnesses from PLEA were shaken under cross examination. I accept that prior to the accident Ms. Miller was a strong and competent member of the team at PLEA, respected by her peers, and relied on by the other members of PLEA. She was able to juggle and complete multiple tasks, challenged herself to do more than was required, and worked without physical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Prior to the accident, Ms. Miller had a social life and participated in various activities. She developed a number of friendships in an online community, and had a number of good friends that she socialized with in Vancouver. She liked to visit with her friends a couple of times a month, read, write, cook, knit, crochet, and listen to music. She also used to bike a little bit, and ride horses a couple of times a month. Her most frequent activity was online gaming, where she developed a number of friends. Her gaming activities took up a lot of her social time - up to 2 hours a night, and 3-4 hours a day on the weekends.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Several friends of Ms. Miller testified as to her pre-accident social life. They confirmed that before the accident Ms. Miller periodically participated in local hikes and other activities. Ms. Kinneard was Ms. Miller's closest friend, and described how Ms. Miller would organize group outings with friends, such as movie nights, riding, rafting, etc. She confirmed that she and Ms. Miller would frequently get together at each other's houses for dinner and knitting; they camped and traveled together as well. Ms. Roberts, another friend, described Ms. Miller as confident, strong, sassy, and someone who could take on the world. Ms. Roberts confirmed that she saw no physical limitations with Ms. Miller before the accident, and that they would get together for meals every couple of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am satisfied that Ms. Miller had a normal, moderately active social life prior to the accident. While she did not participate in a wide range of physical activities, she had no physical limitations to her activities.</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Neck, shoulders and upper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years before the accident, Ms. Miller periodically received massage therapy for tension in her upper back and neck. A significant amount of cross examination focussed on the records of her visits with Ms. Gaelen Gibson, a massage therapist. These visits were also noted by many of the experts in their reviews of her past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Originally Ms. Miller was a caregiver for Ms. Gibson's children and through that relationship they developed a friendship. Ms. Gibson would offer massages to Ms. Miller. Based on the evidence of Ms. Miller and Ms. Gibson, I am satisfied that these massage sessions were in the nature of relaxation massages which are commonly enjoyed by people with no underlying medical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Further, Dr. Miles, who was Ms. Miller's treating physician from the 1990s until 2016 when he retired, confirmed that with the exception of one incident of dorsal muscle strain, he had not treated her for any other neck or upper back problems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find that Ms. Miller did not suffer from any soft tissue injuries to, or disorders in, her neck, shoulders or upper back prior to the accident.</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Miller suffered from occasional headaches prior to the accident. She had two significant headaches prior to the accident which occurred in 2008. In July 2008 she attended hospital complaining of headache and neck stiffness. Her symptoms eventually resolved. She was tested for meningitis, and her results were negative for bacterial meningitis. Her family doctor, Dr. Miles, testified that he suspected she had been suffering from a viral infection at that time which gave rise to the headaches. Dr. Miles also confirmed that Ms. Miller had a 5 day headache following a particularly stressful time with her mother in 2008. He confirmed in evidence that she was not a "headache patient"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Miller agreed that she also suffered a headache in March 2011, which she attributed to stress around the anniversary of her mother's death. Dr. Miles did not treat her for this March 2011 headache. I do not attach any significance to the March 2011 headache which for which Ms. Miller sought no medical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find that although Ms. Miller had suffered two severe headaches approximately 3 years prior to the accident, she was not suffering from or being treated for headaches at the time of the accident.</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Depression, anxiety, sleep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Miller did have a medical history prior to the accident which is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Miller had a difficult childhood and young adulthood. Her mother was an alcoholic who suffered from depression. Ms. Miller described her life in her teenage years as chaotic and she was responsible to care for the family and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grade 10 she was diagnosed with agoraphobia, which required treatment with Prozac. She was home schooled during this year, as she was unable to leave her home. She was able to bring the agoraphobia under control and return to school in grade 11. She graduated high school with honours in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Her parents separated in 2007, and she moved out on her own at that time. This was difficult for her and she began experiencing panic attacks. To assist with intermittent panic attacks, her family doctor prescribed various drugs, including Xanax or Ativan, to be used on an as needed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Her family doctor recommended that she see a psychiatrist to address her problems with depression. There was a significant wait time to see a psychiatrist. However, Dr. Kevin Kjernisted, a psychiatrist, was engaged in a drug trial program and accepted Ms. Miller as a candidate for his program. This allowed her to access Dr. Kjernisted's services more quickly. Dr. Kjernisted assessed her as a participant in the drug trial, but decided she was not an appropriate candidate. He did accept her as a patient, however, and she had 6 sessions from March 4 to September, 2008, where he prescribed different antidepressants. At times she required medication to assist with sleep difficulties arising from her adjustment to the different medications, and she continued to use Ativan periodically to assist with panic attacks.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2009 Ms. Miller's mother died of alcoholism. This was very traumatic for her. She started seeing Dr. Kjernisted again in April 2009, following her mother's death. Ms. Miller suffered two more deaths in the family in 2009, which impacted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Kjernisted recommended a group therapy program at Vancouver General Hospital ("VGH") to address her depression, which Ms. Miller attended from January 2011 to April 2011. She was referred to Dr. David Yaxley who made recommendations pertaining to sleep, eating and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Since 2006 Ms. Miller had been prescribed a number of psychiatric medications as doctors attempted to find a medication which would help her without developing unwanted side effects. In 2011 prior to the accident she had been prescribed a number of different medications including clonazepam, Ativan, and Cipralex.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Yaxley testified that by the time she was discharged from the VGH therapy program in April 2011 she had weaned off trazodone and clonazepam, which he stated was a good sign. He also stated that her major depressive disorder was in remission at that time. He noted that while she was in remission, she still had indications of vulnerabilities and had to be careful to prevent a relapse of symptoms. He also confirmed that she still had some issues with anxiety and insomnia at the time of her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find that Ms. Miller had a history of depression for at least four years before the accident. This depression was being effectively managed through medication and therapy at the time of the accident. She also suffered at times from insomnia, which may or may not be related to side effects from the different drugs, anxiety, and vertigo prior to the accident. None of these psychiatric conditions were disabling prior to the accident and, indeed, were unknown to the people she worked with at PLEA. Nevertheless, they were present prior to the accident and must be taken into account in my assessment of damages.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Ms. Miller's abilities and health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accident happened on July 23, 2011. Ms. Miller says that within a couple of hours of the accident her neck and upper back began to seize up and she experienced pain. She went to the doctor the next day, where she reported an ongoing headache, and pain to her neck, upper back and shoulders. Dr. Miles recommended Tylenol 3s, muscle relaxers, RMT and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Miller remained off work until September 19, 2011. Throughout this initial period when she was off work, Ms. Miller suffered from an ongoing headache, back pain and problems focusing and concentrating. She attended a physiotherapy clinic and received IMS treatment. On her return to work, Ms. Miller continued to suffer from pain, fatigue and headaches.</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fall of 2011 Ms. Miller began to distinguish between two types of headaches. She had minor headaches, which she described as "baby headaches", and migraine headaches. She was able to manage the minor headaches with over the counter medications. However, her migraines were intense and she was not able to adequately manage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She described the migraines as pain and tightness beginning in her mid back which moved up and over her head. The migraines caused her to become sensitive to light, smell and sound. At times the migraines lasted for up to 3 days, with continuing impact lasting for several days after the main pain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Miller reported her severe headaches to Dr. Miles in the fall of 2011 and early 2012. In 2012 she was referred to Dr. Beckman, a neurologist. Dr. Beckman diagnosed her with migraines and recommended Relpax to assist her with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By the end of 2012 Ms. Miller was experiencing migraine headaches at least once a month, and sometimes up to 2-3 times a month. The migraines were severe enough to prevent her from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Because Ms. Miller could not predict when a migraine would come on, she took steps to modify her work environment. She often worked with her door closed to reduce noise and interruptions and kept the lights dimmed. She placed a heating pad on her shoulders. If a migraine came on, she had to leave work and go home where she would take medication and rest until she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Following the accident, she attended hospital emergency wards 7 times for pain relief from migraines when she found the pain unbearable. She went once in 2014, twice in 2015, three times in 2016 and once in 2017. At the hospital visits she would be administered IV fluids and what she described as a "migraine cocktail". While these treatments did not cure the pain, they took the edge off. In 2017, she says she was put in a room and forgotten about. That was her last hospital visit. She said she has not returned for hospital treatment because she was frustrated with the long wait times and, as the treatments only took the edge off her pain, she decided to wait out the migraines at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2016 Dr. Miles referred Ms. Miller to Dr. Spacey, a neurologist, to assist with her ongoing headaches. Ms. Miller continues to be treated by Dr. Spacey and her colleague Dr. Butterfield. In 2017 Dr. Spacey referred Ms. Miller to the CHANGEpain Clinic, where she attended 14 sessions until the fall of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accept that since the accident Ms. Miller has suffered from minor headaches and severe migraine headaches.</w:t>
      </w:r>
      <w:r>
        <w:rPr>
          <w:rFonts w:ascii="arial" w:eastAsia="arial" w:hAnsi="arial" w:cs="arial"/>
          <w:sz w:val="20"/>
          <w:lang w:val="en-US" w:eastAsia="en-US" w:bidi="ar-SA"/>
        </w:rPr>
        <w:cr/>
      </w:r>
    </w:p>
    <w:p>
      <w:pPr>
        <w:numPr>
          <w:numId w:val="2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Neck, shoulders and upper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Miller experienced tightness and pain in the muscles of her upper back immediately after the accident. This tightness and pain increased and continued in the days and months following the accident. She began physiotherapy and massage therapy, which resulted in moderate improvement but she did not return to her pre-accident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She described experiencing pain in 2011 following the accident, which started at her mid back and went up to her head. She said that area of her body felt locked up and in pain. It interfered with her sleep, and her ability to concentrate. This pain continued through 2012. In 2013 she was treated with trigger point injections in the right side of her neck and shoulders, which provided some temporary, but not permanent, relief. These treatments were eventually done on her left side as well. Because she was only getting temporary relief from them, she decided to discontinue the trigger point injections as she was concerned about the side effects associated with their long term use. She started them again for 7 sessions in 2017 when she was treated by a rheumatologist, referred through the CHANGEpain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2013 she also began receiving acupuncture in her upper back and shoulder areas. This treatment provided her with short term relief. She continued receiving acupuncture treatments through 2015. Also in 2015 she began active rehabilitation sessions at Marpole Physiotherapy, which continued until the spring of 2016. In the summer of 2016 Ms. Miller began working with an occupational therapist to try to get her life back on track, as her depression had worsened and she was minimally functioning. The occupational therapist set Ms. Miller up with some active rehabilitation assistance again in the fall of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of the date of trial, Ms. Miller testified that she was still not pain free in her neck, shoulders and upper back, and she continues to suffer from a constant dull ache in these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Miles provided primary care to Ms. Miller at the time of the accident. He diagnosed Ms. Miller with cervical, trapezius and dorsal - lumbar strains in the accident. While the lower back pain resolved, it was his opinion that Ms. Miller continues to suffer from chronic pain disorder and myofascial pain involving her neck and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Miller was assessed by Dr. Frobb, a medical doctor with expertise in pain management. Dr. Frobb diagnosed Ms. Miller with chronic myofascial pain syndrome affecting her neck and upper back, and chronic pain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Travlos, an expert in physical and rehabilitation medicine, assessed Ms. Miller. He confirmed that she suffers from neck, shoulder and upper back symptoms, which were soft tissue in origin. She has "reduced flexibility and mobility, consistent with deconditioning, and limited muscular endurance associated with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accept the evidence of the experts noted above. I find that since the accident Ms. Miller has suffered from ongoing chronic pain in her neck, shoulders and upper back.</w:t>
      </w:r>
      <w:r>
        <w:rPr>
          <w:rFonts w:ascii="arial" w:eastAsia="arial" w:hAnsi="arial" w:cs="arial"/>
          <w:sz w:val="20"/>
          <w:lang w:val="en-US" w:eastAsia="en-US" w:bidi="ar-SA"/>
        </w:rPr>
        <w:cr/>
      </w:r>
    </w:p>
    <w:p>
      <w:pPr>
        <w:numPr>
          <w:numId w:val="2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Depression, anxiety, sleep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Miller testified that since the accident her depression, anxiety and sleep disorders have worsened. There is no question that the pain Ms. Miller experiences in her upper back, neck and shoulders, and particularly the pain she experiences from her headaches, have contributed to her worsening mental state. She has tried many different therapies, but none have resolved her pain. As a result, she suffers from feelings of hopelessness and exhaustion.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2016 she returned to Dr. Kjernisted, the psychiatrist who treated her previously from 2008 to 2010. She saw Dr. Kjernisted from August 2016 through to trial. Dr. Kjernisted stated that when she came back to him in 2016 it was her neck pain and headaches which were causing her despair. He prescribed various drugs to assist her, trying to find one that would help her and not give her problematic side effects. Some of the side effects of different drugs include sleep and concentration impacts while the patient is taking the drugs, and then when the patient stops taking the drugs there can be dizziness, anxiety, and panic attacks.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2017 Ms. Miller began seeing a clinical counsellor, Ms. Goranson-Coleman, to assist her with her psycho-social barriers, or difficulties in daily living. She continues to see Ms. Goranson-Coleman once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Muir, a psychiatrist, assessed Ms. Miller in 2016 and 2018 and provided an expert opinion. He concluded that at the time of the 2018 assessment she continued to suffer from debilitating migraine headaches which were her main concern, coupled with some residual pain. He found that her depression had persisted and may have worsened since 2016. She continues to experience significant depressive symptoms. He notes that she has problems with concentration and her sleep remains disrupted.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Solomons, a psychiatrist, assessed Ms. Miller and provided an expert opinion. Dr. Solomons' practice is generally limited to providing medico-legal reports, with 95% of his work under retainer for defendants. He agreed he received approximately $1,282,000 from ICBC for reports he generated in the previous 15 months. He currently has minimal MSP billings and has no hospital privileges.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was Dr. Solomons' opinion that Ms. Miller did not suffer a head injury or develop any neurocognitive impairments from the accident. He did note that the records indicate her headaches began following the accident. Dr. Solomons noted Ms. Miller reported worsening of mood since the accident, but concluded that she had no psychiatric requirements to be off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his report, Dr. Solomons stated Ms. Miller's worsening of mood was related to her pain and pain-induced restrictions, and was related to the deaths of two close friends after the accident. Under cross examination, Dr. Solomons emphasized the suicide of a friend as being a primary source of her worsening mood. He emphasized this suicide to a much greater degree under cross examination than he did in his report. Under cross examination he also diminished the impact of Ms. Miller's pain on her mood. He acknowledged that pain can affect mood, but stated that her persisting pain was minor.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cannot accept the opinion of Dr. Solomons. His assessment of Ms. Miller's pain and the impact of her injuries on her work and social life are completely at odds with the evidence at trial. The evidence of Ms. Miller was credible, as was the evidence of her co-workers, supervisors, and friends. All of these witnesses described significant pain and impacts on her daily life. While she was upset as any person would be by the suicide of a friend, none of the witnesses described the suicide of Ms. Miller's friend as having a significant or lasting psychological impact on Ms. Miller. In fact, Dr. Kjernisted, who was Ms. Miller's treating psychiatrist from 2008 to 2018, testified that she did not mention her friend's suicide to him. Overall, I find that Dr. Solomons was not an impartial or credible witness, and tailored his evidence to meet the position of his defendant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am satisfied that Ms. Miller's depression and anxiety have significantly worsened since the accident, and that the accident has also had a worsening impact on her sleep disorders.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Work and social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Following the accident Ms. Miller began to withdraw from leisure and social activities. Her friends testified as to the changes they saw in her. Ms. Miller testified that her life consists of struggling through her work day and returning home to crawl into bed. She testified that her ability to manage her home has been affected. Many tasks aggravate her symptoms and her mood disorder creates a further barrier by the fact she is demotivated to do much to maintain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Miller began to withdraw from leisure activities as they would tire her out, or cause her symptoms to flare. She found horseback riding to be a very positive experience for her before the accident. She said that no matter how bad her day was, it all changed when she got on the horse. After the accident, she found that her migraines affected her ability to grip properly, and she no longer had the strength or mental capability to continue to ride. She slid off the horse a couple of times because she couldn't maintain her grip. After those experiences, she decided horseback riding was no longer something she could safely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She also described withdrawing from her friends. She said she no longer had the energy to socialize, as all her energy was spent trying to maintain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Roberts said that Ms. Miller frequently cancels plans now. She said that when she and Ms. Miller go out for dinner, they can only go out for a short time and she watches Ms. Miller get tired and glassy eyed. She says it is like watching a battery draining.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Kinneard, who considered Ms. Miller to be like a sister to her, observed significant changes in Ms. Miller after the accident. Ms. Miller was heavily involved in organizing Ms. Kinneard's first wedding. After the accident Ms. Kinneard got married again. For the second wedding, Ms. Miller was not involved in the planning because she was no longer reliably able to contribute, and she was unable to attend any of the pre-wedding celebrations. Ms. Kinneard says that Ms. Miller canceled plans and her energy was greatly reduced. Ms. Miller did not move as quickly as before, was not as lively as before, and suffered from headaches which she had not had before the accident. When Ms. Miller was experiencing a migraine, Ms. Kinneard described Ms. Miller as lethargic, unfocused, having trouble holding thoughts or focussing, and showing her pain on her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Miller has seen many impacts in her work from her injuries. She is always anxious that a migraine will arise, and modifies her behaviour to protect against this happening. Her work moved to a new building in 2017. In this new building she was in a more open space and could not control the light and sound around her work area as she could previously. Her concentration is affected, so she is not able to complete as many tasks as she could in the past. When a migraine does come on, she has to leave work and return home, lay down on the bed with ice packs, eye shades, and a neck brace to try to keep calm and still to allow the migraine to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Pauline Chan, a co-worker, testified that after the accident she noticed that Ms. Miller was frequently absent from work, was withdrawn, and was not socializing as much. Ms. Chan said she could see that Ms. Miller was not doing well. Ms. Miller stopped responding to invitations from Ms. Chan, or would cancel plans because she was not feeling well enough to go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Caitlin Turner, another friend, testified that after the accident Ms. Miller was much less social, was not as bright, and often canceled plans. They both worked at PLEA, and Ms. Turner often saw Ms. Miller working in a darkened room, with a heating pad on her shoulders and headphones on. She says the quality of Ms. Miller's work slipped in the years following the accident. While they used to go out to do things together, after the accident when they get together they stay in at Ms. Turner's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Alexander testified that the changes she saw in Ms. Miller following the accident were dramatic. When Ms. Miller returned to work in the fall of 2011 she was physically ill, her personality had changed, and she withdrew into her office where she placed heating pads on her shoulders, dimmed the lights, and closed the door. Ms. Alexander said that she took tasks away from Ms. Miller, and restricted her to project tasks that she could complete without interruptions. Ms. Alexander says she saw Ms. Miller as having trouble dealing with the chronic pain she was experiencing.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Alexander also noted that Ms. Miller was not working regular hours as much; she would stay late on her good days, and leave early or not come in on her bad days. Ms. Miller had flex time available to her, which she used to manage her work and her symptoms. Ms. Miller began to take her work home with her, as she was not able to complete it during normal working hours. Ms. Miller began using her holidays as sick days, and using all her flex days as sick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Jeffreys confirmed the evidence of Ms. Alexander. He confirmed that after she returned to work following the accident, Ms. Miller deteriorated. She looked in pain and was withdrawn. She often left early because she was not feeling well. Mr. Jeffreys noted that Ms. Miller was no longer reliable - her work was sometimes good, but other times it was a struggle. He said that they really needed someone to do the job, and Ms. Miller was not up to it for quite a while. This resulted in the decision to recommend that she go on disability. Mr. Jeffreys said that the decision should have been made much earlier as Ms. Miller was struggling for a number of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Finally in 2016, Ms. Alexander and Mr. Jeffreys decided that Ms. Miller needed to go on disability. Ms. Miller was on disability for one year, beginning in April 2016. She began her return to work in March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PLEA modified her duties on her return. At the time of trial she was still not able to do all of the duties of her job, even though she is a full time employee. There were changes to her job upon her return, and she is no longer permitted to accumulate or use flex time. She is required to be in the office from 8:30 to 4:30. Mr. Jeffreys stated that Ms. Miller has the highest amount of sick days in the entire agency. Most people don't go over 6 sick days in a year, but Ms. Miller has taken over 20 days. Mr. Jeffreys is considering whether Ms. Miller should go on disability again. He met with Ms. Miller shortly before the trial to suggest that she should consider a medical leave again. While he did not state he was planning to fire Ms. Miller, he did state that her current performance is problematic and that he would be following the union protocol with respect to her employment. This is likely to lead to short term and then long term disability. It may also lead to her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Woolfenden, a neurologist who examined Ms. Miller for the defence, opined that to the extent that the accident might have exacerbated Ms. Miller's headache symptoms, the exacerbation was very mild and had no significant impact on her work, domestic chores, or leisure activities. I cannot accept this opinion of Dr. Woolfenden as it is inconsistent with the evidence of Ms. Miller, her friends and her co-workers at PLEA. Their evidence was credible and 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find that there has been a significant impact on Ms. Miller's work and leisure activities as a result of her ongoing neck, shoulder and back pain and her severe headaches.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Mr. Justice Kent, in </w:t>
      </w:r>
      <w:r>
        <w:rPr>
          <w:rFonts w:ascii="arial" w:eastAsia="arial" w:hAnsi="arial" w:cs="arial"/>
          <w:i/>
          <w:color w:val="000000"/>
          <w:sz w:val="20"/>
          <w:lang w:val="en-US" w:eastAsia="en-US" w:bidi="ar-SA"/>
        </w:rPr>
        <w:t>Kallstrom v. Yip</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2016 BCSC 829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Kallstrom</w:t>
      </w:r>
      <w:r>
        <w:rPr>
          <w:rFonts w:ascii="arial" w:eastAsia="arial" w:hAnsi="arial" w:cs="arial"/>
          <w:color w:val="000000"/>
          <w:sz w:val="20"/>
          <w:lang w:val="en-US" w:eastAsia="en-US" w:bidi="ar-SA"/>
        </w:rPr>
        <w:t>], summarized the law of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[318] The basic legal principles respecting causation are found in the seminal case of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repeated many times since, and which include:</w:t>
      </w:r>
    </w:p>
    <w:p>
      <w:pPr>
        <w:numPr>
          <w:numId w:val="2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but not necessarily conclusive test for causation is the "but for" test requiring the plaintiff show his injury and loss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causation test must not be applied too rigidly. Causation need not be determined by scientific precision as it is essentially a practical question of fact best answered by ordinary common sense;</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necessary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color w:val="000000"/>
          <w:sz w:val="20"/>
          <w:u w:val="single"/>
          <w:lang w:val="en-US" w:eastAsia="en-US" w:bidi="ar-SA"/>
        </w:rPr>
        <w:t>sole</w:t>
      </w:r>
      <w:r>
        <w:rPr>
          <w:rFonts w:ascii="arial" w:eastAsia="arial" w:hAnsi="arial" w:cs="arial"/>
          <w:color w:val="000000"/>
          <w:sz w:val="20"/>
          <w:lang w:val="en-US" w:eastAsia="en-US" w:bidi="ar-SA"/>
        </w:rPr>
        <w:t xml:space="preserve"> cause of the injury and damage. As long as it is it is </w:t>
      </w:r>
      <w:r>
        <w:rPr>
          <w:rFonts w:ascii="arial" w:eastAsia="arial" w:hAnsi="arial" w:cs="arial"/>
          <w:color w:val="000000"/>
          <w:sz w:val="20"/>
          <w:u w:val="single"/>
          <w:lang w:val="en-US" w:eastAsia="en-US" w:bidi="ar-SA"/>
        </w:rPr>
        <w:t>part</w:t>
      </w:r>
      <w:r>
        <w:rPr>
          <w:rFonts w:ascii="arial" w:eastAsia="arial" w:hAnsi="arial" w:cs="arial"/>
          <w:color w:val="000000"/>
          <w:sz w:val="20"/>
          <w:lang w:val="en-US" w:eastAsia="en-US" w:bidi="ar-SA"/>
        </w:rPr>
        <w:t xml:space="preserve"> of the cause of an injury, the defendant is liable; and</w:t>
      </w:r>
    </w:p>
    <w:p>
      <w:pPr>
        <w:numPr>
          <w:numId w:val="30"/>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apportionment does not lie between tortious causes and non-tortious causes of the injury or loss. The law does not excuse the defendant from liability merely because causal factors for which he is not responsible also helped to produce the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assessing damages, the court must ensure that the plaintiff is not put in a better position than her original position. This concept has relevance in the case before me as a significant amount of time was spent addressing whether any of Ms. Miller's symptoms pre-existed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35,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Therefore, if I find that there is a realistic chance that some or all of Ms. Miller's present injuries or conditions would have occurred at some point in the future even had the accident not occurred, then I must reduce the overall damage aware to reflect this possibility. This is described as the "crumbling skull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On the other hand, if I find that any of Ms. Miller's pre-existing conditions were not likely to worsen, but for the accident, but those conditions rendered her more vulnerable to the effects arising from the accident, she is to be compensated. The defendant is liable for any damages arising from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"even though the plaintiff's losses are more dramatic than they would be for the average person":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34.</w:t>
      </w:r>
      <w:r>
        <w:rPr>
          <w:rFonts w:ascii="arial" w:eastAsia="arial" w:hAnsi="arial" w:cs="arial"/>
          <w:sz w:val="20"/>
          <w:lang w:val="en-US" w:eastAsia="en-US" w:bidi="ar-SA"/>
        </w:rPr>
        <w:cr/>
      </w:r>
    </w:p>
    <w:p>
      <w:pPr>
        <w:numPr>
          <w:numId w:val="3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Miles formed the opinion that the accident resulted in Ms. Miller suffering from post-traumatic headaches, as well as severe migrainous type headaches. He confirmed, as her family physician, that she was not suffering from these types of headaches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Robinson, a neurologist, provided an opinion on Ms. Miller's headaches. He noted Ms. Miller's pre-accident headaches, which were mild to moderate and were treatable with simple analgesics, and stated that these headaches would not have gotten worse if the accident had not occurred. With respect to her migraine headaches, Dr. Robinson diagnosed her with chronic post-traumatic headaches related to the neck injury she received in the accident. He stated that Ms. Miller's experience of having the headaches originate with a tightness in her neck, shoulders and upper back is consistent with headaches related to soft tissue injury to the neck. He opined that her migrainous headaches were probably, but not definitively, casually related to the accident. He was of the view that the accident aggravated her pre-accident headaches, and resulted in an increase in the severity of her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Frobb diagnosed Ms. Miller with chronic migraine and cervicogenic headaches which were secondary to the whiplash injuries she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Woolfenden, a neurologist, opined that Ms. Miller's headaches were attributable to the cervical strain she suffered in the accident, and that the headaches became chronic once they had been present for more than 3 months following the accident. In his first report, Dr. Woolfenden was unable to say whether Ms. Miller's severe and more frequent headaches resulted from the accident or from her pre-existing tendency for headaches. In his second report he questioned whether the flare up of symptoms experienced by Ms. Miller in 2016 could be related to the accident. He did note that migraines fluctuate and can worsen when psychological issues develop.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Woolfenden's opinions were based in part on his understanding that Ms. Miller had a longstanding history of pre-accident headaches, including severe headaches, and neck pain. Under cross examination, Dr. Woolfenden agreed that his understanding of Ms. Miller's pre-accident pain and headaches arose primarily from the records of Ms. Gibson and Dr. Miles. Both Ms. Gibson and Dr. Miles testified at trial, and their evidence did not support the understanding Dr. Woolfenden gained from their notes. As such, I place little weight on Dr. Woolfenden's conclusions on the possible origin of Ms. Miller's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Woolfenden also concluded in his second report that any future fluctuations in her migraine headaches would result from her underlying migraine headache disorder and not the accident. I have already found that Dr. Woolfenden's assessment of what he describes as her underlying migraine headache disorder is based in part on a flawed understanding of her history of headaches. Therefore, while I accept his assessment that her migraine condition may fluctuate in the future, I do not accept his assessment that her migraine condition is not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find on a balance of probabilities that the increased number of headaches, and the migraine headaches, experienced by Ms. Miller following the accident were caused by the accident. Ms. Miller had experienced periodic minor headaches and two severe headaches prior the accident. The two severe headaches were linked to specific events, namely a viral infection and stress relating to her family issues. I find that the frequency with which she experienced minor headaches after the accident, and the migraines she suffered after the accident, are not conditions that would have occurred at some point in the future had the accident not occurred.</w:t>
      </w:r>
      <w:r>
        <w:rPr>
          <w:rFonts w:ascii="arial" w:eastAsia="arial" w:hAnsi="arial" w:cs="arial"/>
          <w:sz w:val="20"/>
          <w:lang w:val="en-US" w:eastAsia="en-US" w:bidi="ar-SA"/>
        </w:rPr>
        <w:cr/>
      </w:r>
    </w:p>
    <w:p>
      <w:pPr>
        <w:numPr>
          <w:numId w:val="3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Neck, shoulders and upper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severe pain experienced by Ms. Miller in her neck, shoulders and upper back manifested immediately following the accident. Dr. Frobb and Dr. Miles were of the opinion that the accident was the cause of Ms. Miller's chronic pain in her neck, shoulders and upper back. Dr. Travlos was of the opinion that some symptoms pre-existed the accident, and that the accident was responsible for significantly elevating her symptoms. Dr. Robinson also found that Ms. Miller had symptoms in her neck, shoulders and upper back which pre-dated the accident, but that the accident aggravated these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 find on a balance of probabilities the accident is the cause of Ms. Miller's ongoing chronic pain in her neck, shoulders and upper back. I do not accept that Ms. Miller had any pre-existing disorder in her upper back, shoulders or neck which would engage the analysis set out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3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Depression, anxiety, sleep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Muir opined that Ms. Miller had a long history of depression and was likely to have difficulties with depression regardless of the accident. However, Dr. Muir also opined that the accident exacerbated her major depressive disorder. He also identified that her depression works to demotivate her in engaging in active rehabilitation, which has the circular effect of hindering her recovery from her physical injuries which then further exacerbates her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Muir was of the opinion that the chronic pain she has experienced since the accident has resulted in a psychiatric disorder described as "somatoform disorder with predominant pain". He states in his 2016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no reason to suspect that Ms. Miller was malingering. The pain resulting from a somatoform disorder is as real and valid as that experienced with pain from physical causes. Additionally, one's experience of pain is impacted by depression, with depression worsening one's experience of pain. Her pre-existing depression will have an impact on the severity and outcome of her somatoform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Miles was of the opinion that the "occurrence of the accident and its significant life altering effects on her increased the degree of her depression to major levels requiring the use of several psychotropic medications and regular visits to her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Woolfenden was of the opinion that Ms. Miller did not suffer a traumatic brain injury in the accident, but that she had a mild impairment of her attention span which accounted for her memory complaints. It was his view that this impairment did not result from a brain injury, but rather resulted from her pain, psychological issues, and sleep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Solomons agreed that Dr. Miles, as her long standing family doctor, would be in an excellent position to comment on whether the accident affected Ms. Miller's depression. Dr. Miles clearly links the accident to a significant aggravation of Ms. Miler's depression. I accept the opinion of Dr. Miles in this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Miller had fluctuating depression for many years before the accident. I find that Ms. Miller's pre-existing depression made her more vulnerable to the injuries and symptoms she experienced as a result of the accident. I find on a balance of probabilities that the accident caused a recurrence and exacerbation of Ms. Miller's pre-existing depression, anxiety and sleep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However, while she was in remission at the time of the accident, I also find there is a real possibility that she would have had further incidents of depression in her lifetime. This possibility will be taken into account in my assessment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What is Ms. Miller's prognosis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Miller has received extensive treatments from physicians and health care professionals since the accident. She attended over 90 physiotherapist visits between 2011 and 2016. She attended approximately 30 massage therapy appointments, and had approximately 30 acupuncture treatments. She has had IMS treatments and trigger point injections. She has attended counselling sessions for her depression, anxiety and mood disorders, she worked with an occupational therapist to develop a rehabilitation program, she attended a neurologist who treated her 8 times between 2016 and 2018, and she attended the CHANGEpain Clinic. She has been given active rehabilitation programs and exercises to perform on her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am satisfied that Ms. Miller has undertaken all recommendations made by her treating professionals, with the exception of the active rehabilitation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Miller frankly agreed in her testimony that all health care professionals have recommended that she exercise more, and that such exercise is important to her recovery. Nevertheless, Ms. Miller has not fully complied with this important recommendation. She says that she does the recommended stretches every day, but that she has not regularly undertaken an exercise program at a gym or swimming pool, and has not even regularly maintained a walking program. She has not faithfully done the exercises prescribed to assist in her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Travlos stated that Ms. Miller is "extremely inactive, which is negative for her physical, emotional, and medical health. Increasing her physical activity level would have positive spinoffs in all of her areas of difficulty, including her sleep and mental health." In testimony, he confirmed that if she were to increase her activity level as he recommends, it would be more likely than not that she see a 20-30% improvement in her symptoms. He was also of the opinion that it was probable that even with exercise, "she will remain with persistent neck, shoulder, and upper back tightness and aching, with some elements of persistent migraine headaches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his 2015 report, Dr. Frobb expressed the opinion that "although there is a possibility that functional capacity will improve over time, in light of the chronic nature of the complaints, this outcome is not certain, indicating that Ms. Miller's present clinical condition likely represents a status of maximum medical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Muir assessed Ms. Miller in 2016 and 2018. While Dr. Muir initially was of the opinion that Ms. Miller would be able to recover with treatment, by 2018 his opinion had changed. In 2018, Dr. Muir opined that her depression and somatic symptom disorder would fluctuate over time. He expected her function to be impaired into mid-2020, and that it was likely that she would experience some degree of permanent disability related to depression and somatic symptom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Miles concluded that although Ms. Miller has been compliant with her attendance at specialists, physiotherapists and occupational therapists, she remains unable to function at her pre-accident level, and can no longer function at the same capacity or speed as before. Dr. Miles stated that it was difficult to prognosticate in cases like Ms. Miller's, but that it would not surprise him if her headaches and myofascial pain were permanent fixtures in her life. While he has seen some improvement, Dr. Miles opined that Ms. Miller remains significantly debilitated and will require ongoing therapy and psychiatric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Robinson was of the view that her headaches may improve over time, but that she will probably have recurring headaches that are occasionally severe on an indefinite basis. He did not believe that "her headaches alone are disabling aside from occasional severe headaches that are probably occurring less than once in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Woolfenden opined that Ms. Miller was sedentary and did not stretch, strengthen or exercise regularly. He was of the opinion that if Ms. Miller resumed these activities, her headaches and neck, back and shoulder pain would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Woolfenden stated that Ms. Miller has resumed all previous domestic chores, and only post-accident leisure disability was that she stopped horseback riding for one year. He notes that she returned to work full time. He concluded that no future disability related to the accident would be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For the reasons already expressed, I do not accept the opinion of Dr. Woolfenden which is based on assumptions inconsistent with the evidence proven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find that Ms. Miller is unlikely to fully recover from her injuries. With exercise she may experience some improvement in her symptoms, as noted by Dr. Travlos. However, she is unlikely to return to her pre-accident state. I find that Ms. Miller is permanently impacted by her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Is Ms. Miller entitled to damages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plaintiff claims non-pecuniary damages, and the following pecuniary damages: loss of income earning capacity (past and future), cost of future care and loss of housekeeping capacity, and special damages.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defence argues that Ms. Miller failed to mitigate her losses, and that her failure to mitigate should be taken into account in any damage award. The burden of proof is on the defence to establish that Ms. Miller could have mitigated her loss, but failed to do so. The defence must prove not only that Ms. Miller could have mitigated her loss if she had acted reasonably, but also how and to what extent that loss could have been minimized: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at pp. 163-164.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defence argues that Ms. Miller has consistently failed to comply with the recommendations of her various health care professionals to participate in active rehabilitation and an ongoing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defence also submits that Ms. Miller did not reduce her use of medication as recommended by Dr. Spacey and that this failure contributed to her increased headaches. The evidence at trial did not establish this fact. Rather, the evidence at trial established that Ms. Miller did follow Dr. Spacey's recommendation.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relation to the exercise recommendations, however, all health care professionals recommended that Ms. Miller participate in an exercise program, and stated that such exercise is important to her recovery. Nevertheless, Ms. Miller did not fully comply with this important recommendation, which she candidly admitted in her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plaintiff's expert, Dr. Travlos, stated in evidence that if Ms. Miller were to consistently participate in an active exercise program, he would expect her injuries to improve 20-30% over a period of 3-4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find that it was objectively reasonable for Ms. Miller to have more actively participated in exercise programs, as recommended by the medical professionals, to improve her recovery from her injuries. The evidence established that if her physical injuries improved, this would reduce her pain, which would in turn reduce her headache symptoms and likely lessen her depressive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No expert gave an opinion that Ms. Miller's condition rendered her incapable of choosing to follow recommendations for exercise. Dr. Muir opined that her somatic symptom disorder is contributing to her fear of active physical rehabilitation. However, I am not satisfied that this contributing factor satisfies the test set out in </w:t>
      </w:r>
      <w:r>
        <w:rPr>
          <w:rFonts w:ascii="arial" w:eastAsia="arial" w:hAnsi="arial" w:cs="arial"/>
          <w:i/>
          <w:color w:val="000000"/>
          <w:sz w:val="20"/>
          <w:lang w:val="en-US" w:eastAsia="en-US" w:bidi="ar-SA"/>
        </w:rPr>
        <w:t>Janiak</w:t>
      </w:r>
      <w:r>
        <w:rPr>
          <w:rFonts w:ascii="arial" w:eastAsia="arial" w:hAnsi="arial" w:cs="arial"/>
          <w:color w:val="000000"/>
          <w:sz w:val="20"/>
          <w:lang w:val="en-US" w:eastAsia="en-US" w:bidi="ar-SA"/>
        </w:rPr>
        <w:t xml:space="preserve">, namely that the objective standard of reasonableness is beyond Ms. Miller's capacity to obtain: </w:t>
      </w:r>
      <w:r>
        <w:rPr>
          <w:rFonts w:ascii="arial" w:eastAsia="arial" w:hAnsi="arial" w:cs="arial"/>
          <w:i/>
          <w:color w:val="000000"/>
          <w:sz w:val="20"/>
          <w:lang w:val="en-US" w:eastAsia="en-US" w:bidi="ar-SA"/>
        </w:rPr>
        <w:t>Janiak</w:t>
      </w:r>
      <w:r>
        <w:rPr>
          <w:rFonts w:ascii="arial" w:eastAsia="arial" w:hAnsi="arial" w:cs="arial"/>
          <w:color w:val="000000"/>
          <w:sz w:val="20"/>
          <w:lang w:val="en-US" w:eastAsia="en-US" w:bidi="ar-SA"/>
        </w:rPr>
        <w:t>, p. 160.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the result, I find that the defence has met its burden of proving that Ms. Miller has failed to fully mitigate her losses by failing to comply with medical recommendations for exercise. Ms. Miller's failure to mitigate will be taken into account in my assessment of damages.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Remoteness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evidence of Ms. Alexander and Mr. Jeffreys established that in 2016 they told Ms. Miller that they wanted her to take time off to address her health issues arising from the accident. They were very clear that since the accident they had witnessed a dramatic change in Ms. Miller, and they were very concerned for her health. This discussion with Ms. Miller did result in her taking a disability leave from PLEA. She was off work for one year, and then came back on a graduated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defence submitted that Ms. Miller either took or extended her leave in 2016-2017 because there was a death in her family, and because she got pneumonia. The defence then submitted that this disability period was too remote from causation to be attributable to the accident and, therefore, was not reasonably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defence position on remoteness is simply not sustainable on the evidence at trial. The evidence was overwhelming that Ms. Miller's leave in 2016-2017 was directly attributable to the injuries she sustained in the accident. As such, I reject entirely this position of the defence.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Non-pecuniary damages are awarded to compensate a plaintiff for pain, suffering, loss of enjoyment of life, and loss of amenities. As stated by our Court of Appeal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b/>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3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3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3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3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3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43"/>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b/>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723"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Ms. Miller seeks $135,000 in non-pecuniary damages. The defence agrees some non-pecuniary damages are properly awarded, but submits that the award should only reflect the two years from the date of the accident to the day she slid off her horse in April 2013. The defence submits the correct award is between $20,000 and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Ms. Miller relies on </w:t>
      </w:r>
      <w:r>
        <w:rPr>
          <w:rFonts w:ascii="arial" w:eastAsia="arial" w:hAnsi="arial" w:cs="arial"/>
          <w:i/>
          <w:color w:val="000000"/>
          <w:sz w:val="20"/>
          <w:lang w:val="en-US" w:eastAsia="en-US" w:bidi="ar-SA"/>
        </w:rPr>
        <w:t>Alafianpour-Esfahani v. Jolliffe</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2017 BCSC 701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Alafianpour-Esfahani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Kallstrom</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Olson v. Ironside</w:t>
      </w:r>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2012 BCSC 546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Olson</w:t>
      </w:r>
      <w:r>
        <w:rPr>
          <w:rFonts w:ascii="arial" w:eastAsia="arial" w:hAnsi="arial" w:cs="arial"/>
          <w:color w:val="000000"/>
          <w:sz w:val="20"/>
          <w:lang w:val="en-US" w:eastAsia="en-US" w:bidi="ar-SA"/>
        </w:rPr>
        <w:t>] where awards ranged from $100,000 to $180,000 for plaintiffs suffering from complaints including chronic pain, soft tissue injuries, headaches, sleep disruption, 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defence relies on </w:t>
      </w:r>
      <w:r>
        <w:rPr>
          <w:rFonts w:ascii="arial" w:eastAsia="arial" w:hAnsi="arial" w:cs="arial"/>
          <w:i/>
          <w:color w:val="000000"/>
          <w:sz w:val="20"/>
          <w:lang w:val="en-US" w:eastAsia="en-US" w:bidi="ar-SA"/>
        </w:rPr>
        <w:t>Welygan v. Willms</w:t>
      </w:r>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2013 BCSC 219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Keenan v. Fletcher</w:t>
      </w:r>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2011 BCSC 520</w:t>
        </w:r>
      </w:hyperlink>
      <w:r>
        <w:rPr>
          <w:rFonts w:ascii="arial" w:eastAsia="arial" w:hAnsi="arial" w:cs="arial"/>
          <w:color w:val="000000"/>
          <w:sz w:val="20"/>
          <w:lang w:val="en-US" w:eastAsia="en-US" w:bidi="ar-SA"/>
        </w:rPr>
        <w:t xml:space="preserve"> where awards ranged from $35,000 to $48,000 for non-pecuniary damages in cases where the plaintiffs suffered from soft tissue injuries and headaches, but also had pre-existing psychological problems which continued notwithstanding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Each case is unique. Non-pecuniary damages must be assessed taking into account the unique factors arising in the case at bar. Of the cases noted above, I find the following to be useful comparators: </w:t>
      </w:r>
      <w:r>
        <w:rPr>
          <w:rFonts w:ascii="arial" w:eastAsia="arial" w:hAnsi="arial" w:cs="arial"/>
          <w:i/>
          <w:color w:val="000000"/>
          <w:sz w:val="20"/>
          <w:lang w:val="en-US" w:eastAsia="en-US" w:bidi="ar-SA"/>
        </w:rPr>
        <w:t>Alafianpour-Esfahani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Olson</w:t>
      </w:r>
      <w:r>
        <w:rPr>
          <w:rFonts w:ascii="arial" w:eastAsia="arial" w:hAnsi="arial" w:cs="arial"/>
          <w:color w:val="000000"/>
          <w:sz w:val="20"/>
          <w:lang w:val="en-US" w:eastAsia="en-US" w:bidi="ar-SA"/>
        </w:rPr>
        <w:t>. I was not assisted by the cases referred to by the defence as in both cases the plaintiffs suffered much less severe injuries, and the injuries were either resolved by trial or were significantly improved to the point the pain was tolerable and manageable.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Ms. Miller was in her early 30s at the time of the accident. Her injuries are serious and have had a significant impact on her life. As a result of the accidents, she suffers from pain in her upper back, shoulders and neck, and suffers from frequent debilitating pain from migraine headaches. Her injuries have resulted in a reoccurrence of depression and have changed her personality and relationships with friends and family. She can no longer do many of the things which brought her pleasure in the past. She is unlikely to work again at the level she did before the accident. While she suffered from depression prior to the accident, it was not debilitating and did not interfere with her daily life or her work. I find that an award of $120,000 is appropriate for non-pecuniary damages.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 Pre-trial loss of earning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Ms. Miller has continued to work at PLEA since the accident. She took a short term leave from July 25, 2011 to October 14, 2011. Her gross wage loss claim for this period in 2011 is not in dispute and is valued at $6,296. Counsel have advised that any tax implications arising from the past loss of earning award will be calculated after trial. Therefore, my reasons will reflect the gross loss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2016 Ms. Miller continued to suffer from the injuries she received in the accident. She was asked by her employer to go on leave to see if she could recover from her ongoing symptoms and injuries. From April 15, 2016 to March 6, 2017 Ms. Miller was off work from PLEA on disability. The plaintiff submits that her loss over this period can be calculated as the difference between what she would have earned had she been working full time, or $46,928.76, and what she actually earned during the weeks she was able to work in those two years. She earned $14,114 in 2016 and $32,018 in 2017. Her gross loss over 2016 and 2017 is calculated at $54,021.46.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Woolfenden, who provided an opinion for the defence, was of the view that her time off in 2016-2017 was related to her underlying conditions and not the accident. I reject his opinion in this respect. The defence argued that her leave in 2016-2017 was not related to the accident, and this disability period was too remote and not reasonably foreseeable. I have rejected the defence argument on remoteness. I am satisfied that her leave during this time is directly related to the injuries she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find that Ms. Miller has suffered past loss of earnings resulting from the accident in the total gross amount of $60,000.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5.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Ms. Miller has been employed by PLEA since 2004. I heard from the founder of PLEA and Ms. Miller's supervisors as to the possibilities for advancement within PLEA. PLEA is very supportive of its employees, paying for their continued education and supporting them in moving to more challenging positions within the organization.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Ms. Miller had started on a path of continuing her education through distance learning at Thompson Rivers University, while continuing to work full time. She anticipated completing her university program by 2017/2018, and anticipated getting credits in her program for the work she was doing at PLEA. Had she completed this program, she would be a candidate to move into a coordinator position which would have paid $60,000 to $65,000 a year, and eventually a program manager position, which would have paid approximately $80,000.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Ms. Rodrigues, an employee at PLEA, testified as to her career trajectory. She began in an equivalent administrative position to Ms. Miller. While working she completed a degree, which allowed her to move through two positions to her current position as an executive assistant, where she makes $78,000 a year. She testified that PLEA paid for her schooling, and that there are many opportunities to advance at PLEA. The evidence of Ms. Alexander clearly supported a similar trajectory for Ms. Miller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After Ms. Miller completed her one year of disability in 2017, she returned to work under a graduated return to work program, developed with the assistance of Ms. Phan, an occupational therapist. This program started in March 2017, but had to be revised numerous times as Ms. Miller struggled with resuming her work duties. By October 2017 Ms. Miller was back at work full time although with a much reduced number of duties. She continues to struggle. Her struggles are reflected in the high number of sick days she has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Ms. Miller is no longer a candidate to complete further education while working full time. Her abilities at work are compromised. While her supervisors are supportive of her, they are also concerned that she may not be able to continue as she is marginally able to fulfil her job requirements as a result of her ongoing pain and migraines.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At trial Ms. Miller expressed concern that she will be required to take another extended leave, and may not be able to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van den Berg, a vocational rehabilitation consultant, assessed Ms. Miller and concluded that, because of her physical, cognitive and psychological symptoms, her ability to compete in the open job market is compromised. He was of the opinion that she would require workplace accommodations and compensatory strategies for the rest of her working life. As a result, her job options are more limited than a person without her symptoms, and she is at risk of vocational instability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Ms. Jodi Fischer, an occupational therapist, assessed Ms. Miller's functional capacity and concluded that Ms. Miller had difficulties working in noisy and busy work environments, and in taking on work that requires high levels of energy, concentration and attention to detail. Ms. Miller's functional abilities are also impacted by her ongoing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Benning, an economist, provided a report calculating the present value multiplier for Ms. Miller's future income losses. Ms. Miller submits that the economic multiplier of $14,596 from trial to retirement at age 67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Ms. Miller submits that she has lost the ability to progress to more higher paying positions in PLEA. Ms. Miller's current position pays her approximately $50,000 a year. The present value of this income is $730,000. The higher level opportunities at PLEA would have resulted in annual incomes of between $60,000 and $75,000. Using the economic multiplier calculated by Mr. Benning, Ms. Miller argues that her loss of opportunity to progress at PLEA can be valued at between $145,000 to $365,000, which is the present value of the difference between the higher paying positions and her current wage.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Ms. Miller also argues that she is likely to be out of work in the future given her injuries. She argues that I should find she will suffer a 50% reduction in the present value of her annual income of $50,000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defence argues that Ms. Miller has suffered no income loss. The defendant submits that Ms. Miller has not been told she will be fired, and that the PLEA supervisors did not testify that they intend to fire her. However, I find that this position does not fairly reflect the evidence at trial. Mr. Jeffreys did not state that he had told Ms. Miller she would be fired. However, he clearly indicated that he was very concerned that she was not able to continue, that he had met with Ms. Miller to discuss his concerns, and that he would follow union protocol if he had to let her go. I took from Mr. Jeffreys' evidence that Ms. Miller's employment at PLEA was at some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am satisfied that Ms. Miller's ability to progress to higher level positions at PLEA has been impaired by her injuries from the accident. I find that her future loss in this respect is valued at $200,000. I also find that there is a real possibility that Ms. Miller may lose her employment at PLEA in the future as a result of her injuries. I assess this possibility at approximately 15%, with a value of $110,000. As such, I find that Ms. Miller's future loss of earnings is $310,000.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6.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Any claim for cost of future care must be medically justified, and must be reasonable to both parties. The plaintiff is entitled to services, medications and aids that are reasonably necessary to promote her health, and which she is likely to access in the future: </w:t>
      </w:r>
      <w:r>
        <w:rPr>
          <w:rFonts w:ascii="arial" w:eastAsia="arial" w:hAnsi="arial" w:cs="arial"/>
          <w:i/>
          <w:color w:val="000000"/>
          <w:sz w:val="20"/>
          <w:lang w:val="en-US" w:eastAsia="en-US" w:bidi="ar-SA"/>
        </w:rPr>
        <w:t>Bouchard v. Brown Bros. Motor Lease Canada Ltd</w:t>
      </w:r>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2011 BCSC 762</w:t>
        </w:r>
      </w:hyperlink>
      <w:r>
        <w:rPr>
          <w:rFonts w:ascii="arial" w:eastAsia="arial" w:hAnsi="arial" w:cs="arial"/>
          <w:color w:val="000000"/>
          <w:sz w:val="20"/>
          <w:lang w:val="en-US" w:eastAsia="en-US" w:bidi="ar-SA"/>
        </w:rPr>
        <w:t xml:space="preserve"> at para. 182.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Ms. Miller had been taking a number of different medications before the accident, including clonazepam. Since the accident she has been prescribed, and she continues to take, rizatriptan, Cambia, muscle relaxants, Tylenol, and ibuprofen. While Ms. Miller has also been prescribed amitriptyline, she testified that she tried it once but was not sure she would continue it. Mr. Benning has provided a present value for rizatriptan, Cambia, muscle relaxants, Tylenol, and ibuprofen in the amount of $16,071. I accept this to be a reasonable award for future costs of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Ms. Miller also claimed a number of different rehabilitation programs. She agreed she would use physiotherapy and would like to try yoga and pilates. She would like to go to the gym or fitness classes, but agreed she was not consistent in accessing these programs. She says she would use occupational therapy if she needed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am satisfied that physiotherapy would benefit Ms. Miller and she would access these services. However, I am not satisfied that she requires physiotherapy annually for the rest of her life. She has claimed an annual cost of $990 for physiotherapy. I am satisfied that Ms. Miller is entitled to $5,000 for future physiotherapy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am not satisfied that Ms. Miller would undertake yoga or pilates.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Ms. Miller has claimed an annual cost of $799.50 for partial funding of a gym membership, with a present value of $24,260. It is clear that a long term exercise program is recommended by all health professionals to improve Ms. Miller's health and well being. It is also clear that she has been an inconsistent user, at best. I am not satisfied that she would make use of an annual gym membership for the rest of her life. However, I am satisfied that she would make use of some exercise programs to improve her health. I am satisfied that Ms. Miller is properly awarded a total of $5,000 for gym membership and active exercise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am not satisfied that Ms. Miller has established the need for future occupational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the result, I award Ms. Miller $26,071 for damages for cost of future care.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7. Impairment of homemaking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Damages for loss or impairment of homemaking capacity may be awarded where the plaintiff has established she has lost the ability to perform household tasks as she did previously: </w:t>
      </w:r>
      <w:r>
        <w:rPr>
          <w:rFonts w:ascii="arial" w:eastAsia="arial" w:hAnsi="arial" w:cs="arial"/>
          <w:i/>
          <w:color w:val="000000"/>
          <w:sz w:val="20"/>
          <w:lang w:val="en-US" w:eastAsia="en-US" w:bidi="ar-SA"/>
        </w:rPr>
        <w:t>Dykeman v. Porohowski</w:t>
      </w:r>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2010 BCCA 36</w:t>
        </w:r>
      </w:hyperlink>
      <w:r>
        <w:rPr>
          <w:rFonts w:ascii="arial" w:eastAsia="arial" w:hAnsi="arial" w:cs="arial"/>
          <w:color w:val="000000"/>
          <w:sz w:val="20"/>
          <w:lang w:val="en-US" w:eastAsia="en-US" w:bidi="ar-SA"/>
        </w:rPr>
        <w:t xml:space="preserve"> at para 28. These damages will be valued as the cost of replacement services where that value is available: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xml:space="preserve"> at para 67-68.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Ms. Fischer was unable to fully assess Ms. Miller's ability to perform household cleaning. When Ms. Fischer asked to attend Ms. Miller's home to assess her functional abilities in the home environment, Ms. Miller refused and showed signs of anxiety and embarrassment at the state of her apartment. Ms. Fischer concluded that depression and reduced physical tolerance contribute to Ms. Miller's inability to thoroughly clean her apartment. However, because Ms. Fischer was not able to actually assess either the state of Ms. Miller's apartment, or Ms. Miller's ability to physically perform household cleaning work, I am not satisfied that I can accept Ms. Fischer's assessment. I find Ms. Miller has not met the burden upon her to establish an entitlement to damages under this head.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8.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Ms. Miller claims a total of $34,122.53 for special damages up to the date of trial. The primary objection of the defence to these amounts is that the defence says that Ms. Miller should have recovered two years after the accident. Further, the defence says that any special damages claimed after April 2013 relate to her falls from a horse and not the accident. The defence also claims that Ms. Miller's attendance on Dr. Kjernisted and Ms. Gibson after the accident are not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For the reasons I have already stated, I do not accept these arguments of the defence. While the defence may be of the view that she should have recovered in two years, I have found as a fact that she did not recover in two years and was still not recovered at trial. I found that the falls from horses described by the defence were actually incidents where Ms. Miller was no longer able to safely ride the horses due to her injuries and she slid off the horses' backs. Her visits to Dr. Kjernisted and Ms. Gibson were clearly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do not accept the submissions of the defence on their proposed reduction to the claimed special damages. I award the special damages to the plaintiff in the amount of $34,000.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Ms. Miller is awarded the following damages against the defendants, jointly: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3659"/>
        <w:gridCol w:w="1987"/>
        <w:gridCol w:w="439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4182"/>
        <w:gridCol w:w="1464"/>
        <w:gridCol w:w="439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earning capacity</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
        <w:gridCol w:w="4287"/>
        <w:gridCol w:w="1359"/>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3555"/>
        <w:gridCol w:w="2091"/>
        <w:gridCol w:w="439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$26,071</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
        <w:gridCol w:w="3241"/>
        <w:gridCol w:w="2405"/>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total damages are awarded in the amount of $550,071. The damages award will be discounted by 20% to reflect my findings that Ms. Miller had a real risk of a recurrence of depression in her lifetime, and failed to fully mitigate her losses. In the result, the final gross award of damages to Ms. Miller is $440,057.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If the parties wish to make submissions on costs, they may do so in writing within 30 days of this judgment. If I receive no submissions on costs, I award costs to Ms. Miller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 BAKER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6" style="position:absolute;z-index:2517944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30"/>
          <w:headerReference w:type="default" r:id="rId731"/>
          <w:footerReference w:type="even" r:id="rId732"/>
          <w:footerReference w:type="default" r:id="rId733"/>
          <w:headerReference w:type="first" r:id="rId734"/>
          <w:footerReference w:type="first" r:id="rId73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36" w:history="1">
        <w:r>
          <w:rPr>
            <w:rFonts w:ascii="arial" w:eastAsia="arial" w:hAnsi="arial" w:cs="arial"/>
            <w:b/>
            <w:bCs/>
            <w:i/>
            <w:color w:val="0077CC"/>
            <w:kern w:val="32"/>
            <w:sz w:val="28"/>
            <w:szCs w:val="32"/>
            <w:u w:val="single"/>
            <w:shd w:val="clear" w:color="auto" w:fill="FFFFFF"/>
            <w:lang w:val="en-US" w:eastAsia="en-US" w:bidi="ar-SA"/>
          </w:rPr>
          <w:t>Nazim v. Grewal, [2019] B.C.J. No. 2375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N.H.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11-14,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15,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M165470, M185055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2375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2147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Shameer Nazim, Plaintiff, and Pardeep Grewal, Defendant And between Shameer Nazim, Plaintiff, and Sajida Parveen and 3216173 Nova Scotia Company, Hertz Canada (N.S.) Company, Hertz Canada Limited,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(62 paras.)</w:t>
      </w:r>
    </w:p>
    <w:p>
      <w:pPr>
        <w:jc w:val="both"/>
        <w:rPr>
          <w:rFonts w:ascii="arial" w:eastAsia="arial" w:hAnsi="arial" w:cs="arial"/>
          <w:sz w:val="20"/>
          <w:lang w:val="en-US" w:eastAsia="en-US" w:bidi="ar-SA"/>
        </w:rPr>
      </w:pPr>
      <w:bookmarkStart w:id="136" w:name="Counsel_33"/>
      <w:bookmarkEnd w:id="13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7"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S.P. Grey, B. Lau.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R. McLennan, P. Wingenbach.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7" w:name="Judgment_33"/>
      <w:bookmarkEnd w:id="137"/>
      <w:r>
        <w:pict>
          <v:line id="_x0000_s1148" style="position:absolute;z-index:2517473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8" w:name="N.H. SMITH J. (orally)"/>
            <w:bookmarkEnd w:id="138"/>
            <w:r>
              <w:rPr>
                <w:rFonts w:ascii="arial" w:eastAsia="arial" w:hAnsi="arial" w:cs="arial"/>
                <w:b/>
                <w:color w:val="000000"/>
                <w:sz w:val="30"/>
                <w:lang w:val="en-US" w:eastAsia="en-US" w:bidi="ar-SA"/>
              </w:rPr>
              <w:t>N.H. SMITH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Shameer Nazim, claims damages for soft tissue injuries from two motor vehicle accidents. Liability is admitted for the first accident, which occurred on July 20, 2014. In the action arising from the second accident, which occurred on April 6, 2016, the defendants allege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says that when the second accident occurred, he had not yet recovered from his injuries in the first one. The major issue on damages concerns the plaintiff's claim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second accident occurred at the intersection of 124th Street and 72A Avenue in Surrey. That is a T-intersection where 124th Street is the through street for north-south traffic and 72A Avenue intersects on the west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is one through lane in each direction on 124th Street as well as a left turn lane for northbound traffic turning west. There is also a pedestrian crosswalk across 124th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Vehicles on 72A Avenue must stop at a stop sign before turning onto 124th Street. Those drivers would have the pedestrian crosswalk on their left while they are at the stop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was driving north on 124th Street. His wife, who was seven months pregnant at the time, was in the front passenger seat. The plaintiff says his vehicle was struck on the driver's door by a vehicle driven by the defendant, Sajida Parveen. He says he did not see the defendant's vehicle before the collision, nor did he see any pedestrians in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was turning left from 72A Avenue to also go north on 124th Street. That required her to cross both the southbound lane and the left turn lane. She said she was stopped at the stop sign and waited for pedestrians to finish crossing in the crosswalk to her left. As she pulled away from the stop sign, but before completing her turn, she said she stopped again because more pedestrians had entered the crosswalk. She said the collision occurred the moment she started moving her car again and she had not seen the plaintiff's vehicle before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was asked to mark a photograph of the intersection to show her vehicle's position while she was stopped for the second time. She indicated her car was stopped at an angle with its front well into the single northbound through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That is simply not consistent with the location of damage on the respective vehicles. The defendant's vehicle was damaged on the right front corner, while photographs of the plaintiff's vehicle confirm it was struck on the side with damage on the driver's door below the door handle. On the defendant's description, that damage could only have occurred if the plaintiff was attempting to get around the defendant's vehicle by moving onto the shoulder of the road. There is no evidence he did so, and that suggestion was never put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Because she was stopped at a stop sign, the defendant was subject to s. 175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175 (1) If a vehicle that is about to enter a through highway has stopped in compliance with section 186,</w:t>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the vehicle must yield the right of way to traffic that has entered the intersection on the through highway or is approaching so closely on it that it constitutes an immediate hazard, and</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yielded, the driver may proceed with caution.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vehicle is entering a through highway in compliance with subsection (1), traffic approaching the intersection on the highway must yield the right of way to the entering vehicle while it is proceeding into or across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the Court of Appeal said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words "immediate hazard" appear in both ss. 174 and 175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are used to determine when a vehicle may lawfully enter an intersection. They determine who is the dominant driver, but do not, by themselves, define the standard of care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xml:space="preserve"> also referred to the well-known leading case of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at 460-61 (S.C.C.)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If the accident occurred as the defendant describes, the plaintiff may have had a duty to yield the right of way or at least approach with greater caution, recognizing that the defendant was already in the process of making her left turn onto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physical evidence is far more consistent with the defendant's vehicle striking the plaintiff's on the side as he was in the intersection. That can only mean the defendant pulled away from the stop sign and began her turn when the plaintiff was approaching the intersection and was so close that he constituted an immediate hazard. Her duty as the servient driver was to yield to him and I find that she failed to do so because she did not look to her right for northbound vehicles, concentrating instead on the pedestrian crosswalk to her left. There is no evidence that supports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and I find the defendant fully liable for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is now 36 years old. He graduated from high school in 1999 and served in the Canadian military from 2003 to 2008. After leaving the military, he worked in a variety of jobs before joining BC Hydro as a dispatcher in 2012. That job, which he still holds, involves receiving reports of power outages or other problems in the electrical system and dispatching repair crews.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Following the first accident, the plaintiff testified that he experienced pain, tightness, and reduced mobility in his neck and back. Examining him two days after the accident, his family doctor, Dr. Porter, found objective signs of muscle spasm in his left shoulder. The plaintiff was off work for a week and attended 13 physiotherapy appointments between August 11 and October 3,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testified that he worked out regularly in a gym before the first accident, but his ongoing pain led him to stop attending the gym and to stop his weekly recreational soccer games.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says physical activity aggravated his symptoms. He says he did stretches and received massage from his wife on a daily basis, but at the time of the second accident he was still feeling a dull pain in his back that was always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 said the second accident aggravated his back pain, returning it to where it had been immediately after the accident. It also caused his left knee to be pinned between the steering column and an inside cover that came off the door, and he says he still suffers from knee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Although I am not sure how accurate the plaintiff is in his description of the actual mechanism of the knee injury, I am satisfied there was some impact affecting the knee. There is no evidence of any problem affecting the plaintiff's knee before the accident or of any alternate cause. A relatively recent medical examination by Dr. Tamim Umran, an orthopedic surgeon, found objective signs of soft tissue knee injury, although there have been no investigations that would permit a specific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had nine physiotherapy treatments after the second accident, but the last such treatment was on July 27, 2016. He testified he stopped attending because he was not getting any further benefit from that treatment. He elected not to follow his doctor's recommendation to attend a chiropractor. He was off work for a more extended period than had been the case following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says his major problem is now his upper back. He says it is painful to sit in one position for more than 15 to 20 minutes. He describes a dull pain that sharpens with physical activity. He is able to function at work because he has a desk at which he can either sit or stand as he chooses throughout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His wife massages his back daily or at least several times a week and the plaintiff says that provides temporary relief, but the pain always returns. He says he believes his posture has changed in that he is more hunched over and his knee aches when he walks a lot on stairs or when he is attempting to carry his two-year-old child. The plaintiff also experienced neck pain following the second accident but says that now only occurs when he turns his head in certain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 has not returned to his former physical activity. Although his friends still play soccer every Sunday, the plaintiff said he does not participate because it is "not worth that kind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wife, Alishah Samut, testified to significant changes in his personality. She said he is no longer as energetic and upbeat as he once was. His physical condition and mood has affected their relationship both physically and emotionally, to the point they are having difficulties in their efforts to conceive a second child and have attended marriage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Samut, who says she has known the plaintiff for most of her life, describes him as having formerly been very fit, but says he now appears to be the most out of shape and overweight that she has ever seen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only medical opinion evidence was provided by Dr. Umran who examined the plaintiff on October 28, 2018. His diagnosis was myofascial pain and soft tissue discomfort in the left spinal and paraspinal musculature-that is, the muscles along the length of the spine. He said knee pain was confirmed by a patellofemoral compression test, which evaluates the cartilage under the kneecap.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regard to the knee, Dr. Umran says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patellofemoral syndrome has a satisfactory prognosis of improvement on the proviso that he optimizes his body mass and improves the strength of his quadriceps to optimize patellofemoral tracking and patellofemoral biomechanics.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relation to the neck and back pain, Dr. Umran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opine that over the course of time, the discomfort that he feels in the neck, shoulder and paraspinal musculature will improve will additional time and appropriate directed therapy, including a significant effort towards a regimented exercise program with potential modal therapies directed at myofascial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While conceding that it is outside his area of expertise, Dr. Umran said the plaintiff appeared to be suffering from feelings of sadness and hopelessness.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leave it to the psychiatrists and psychologists to provide any related diagnoses accordingly; however, I would opine, as an orthopedic surgeon, that there is a relationship between the presence of some musculoskeletal and physical symptoms associated with the somatization of altered mood, anxiety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Umran says he believes there is likely a chronic pain element involved in the plaintiff's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short, the plaintiff has experienced pain and interference with his lifestyle with associated emotional consequences for almost four years, but has a reasonable prognosis for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There is little disagreement on the question of non-pecuniary damages. Counsel for the plaintiff submits non-pecuniary damages would be appropriate in the range of $65,000 to $75,000. Counsel for the defendant refers to a range of $50,000 to $80,000, albeit arguing for the lower end of that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plaintiff relies most heavily on </w:t>
      </w:r>
      <w:r>
        <w:rPr>
          <w:rFonts w:ascii="arial" w:eastAsia="arial" w:hAnsi="arial" w:cs="arial"/>
          <w:i/>
          <w:color w:val="000000"/>
          <w:sz w:val="20"/>
          <w:lang w:val="en-US" w:eastAsia="en-US" w:bidi="ar-SA"/>
        </w:rPr>
        <w:t>Walker v. Leung</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2014 BCSC 1623</w:t>
        </w:r>
      </w:hyperlink>
      <w:r>
        <w:rPr>
          <w:rFonts w:ascii="arial" w:eastAsia="arial" w:hAnsi="arial" w:cs="arial"/>
          <w:color w:val="000000"/>
          <w:sz w:val="20"/>
          <w:lang w:val="en-US" w:eastAsia="en-US" w:bidi="ar-SA"/>
        </w:rPr>
        <w:t>, which involved a plaintiff of similar age who was complaining of chronic pain in her low back and pelvis, and permanent limitation in the range of motion in her neck due to muscular tension, which she said caused nearly constant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Court found that the accident at issue had aggravated a pre-existing condition in the plaintiff's back and pelvis resulting in recovery that would be incomplete. The headaches were found not to be attributable to the accident, but the range of motion difficulties in the plaintiff's cervical, thoracic, and lumbar spine were found to be accident related and not likely to completely resolve in the future. Non-pecuniary damages were assessed at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 find the physical effects of the plaintiff's injuries in this case are roughly comparable to those in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 but there is evidence of a more favourable prognosis for recovery in this case. However, the emotional impact on this plaintiff appears to have been greater.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plaintiff also refers to </w:t>
      </w:r>
      <w:r>
        <w:rPr>
          <w:rFonts w:ascii="arial" w:eastAsia="arial" w:hAnsi="arial" w:cs="arial"/>
          <w:i/>
          <w:color w:val="000000"/>
          <w:sz w:val="20"/>
          <w:lang w:val="en-US" w:eastAsia="en-US" w:bidi="ar-SA"/>
        </w:rPr>
        <w:t>Sandhu v. Gabri</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2014 BCSC 2283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Ali v. Fineblit</w:t>
      </w:r>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2015 BCSC 1494</w:t>
        </w:r>
      </w:hyperlink>
      <w:r>
        <w:rPr>
          <w:rFonts w:ascii="arial" w:eastAsia="arial" w:hAnsi="arial" w:cs="arial"/>
          <w:color w:val="000000"/>
          <w:sz w:val="20"/>
          <w:lang w:val="en-US" w:eastAsia="en-US" w:bidi="ar-SA"/>
        </w:rPr>
        <w:t>. Both those cases involved a combination of soft tissue neck, back, and knee injuries. Non-pecuniary damages were $60,000 and $70,000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defendant submits that the most comparable case is </w:t>
      </w:r>
      <w:r>
        <w:rPr>
          <w:rFonts w:ascii="arial" w:eastAsia="arial" w:hAnsi="arial" w:cs="arial"/>
          <w:i/>
          <w:color w:val="000000"/>
          <w:sz w:val="20"/>
          <w:lang w:val="en-US" w:eastAsia="en-US" w:bidi="ar-SA"/>
        </w:rPr>
        <w:t>Friesen v. Moo</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2018 BCSC 1866</w:t>
        </w:r>
      </w:hyperlink>
      <w:r>
        <w:rPr>
          <w:rFonts w:ascii="arial" w:eastAsia="arial" w:hAnsi="arial" w:cs="arial"/>
          <w:color w:val="000000"/>
          <w:sz w:val="20"/>
          <w:lang w:val="en-US" w:eastAsia="en-US" w:bidi="ar-SA"/>
        </w:rPr>
        <w:t>. The plaintiff there was found to have suffered what the Court described as modest injuries in three accidents. These included aggravation of a pre-existing low back condition and a shoulder injury that was aggravated by a subsequent event. The Court rejected any connection between the accident and the plaintiff's complaints of knee pain and awarded non-pecuniary damages of $60,000. The injuries in this case appear to be more severe in that there is no evidence of a pre-existing condition or subsequent aggravation.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defendant also refers to </w:t>
      </w:r>
      <w:r>
        <w:rPr>
          <w:rFonts w:ascii="arial" w:eastAsia="arial" w:hAnsi="arial" w:cs="arial"/>
          <w:i/>
          <w:color w:val="000000"/>
          <w:sz w:val="20"/>
          <w:lang w:val="en-US" w:eastAsia="en-US" w:bidi="ar-SA"/>
        </w:rPr>
        <w:t>Larson v. Bahrami</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2017 BCSC 2308</w:t>
        </w:r>
      </w:hyperlink>
      <w:r>
        <w:rPr>
          <w:rFonts w:ascii="arial" w:eastAsia="arial" w:hAnsi="arial" w:cs="arial"/>
          <w:color w:val="000000"/>
          <w:sz w:val="20"/>
          <w:lang w:val="en-US" w:eastAsia="en-US" w:bidi="ar-SA"/>
        </w:rPr>
        <w:t>. There, the Court found the plaintiff suffered soft tissue injuries to his cervical, thoracic, and lumbar spine that left him with stiffness in his back and neck with chronic pain aggravated by physical activity. The Court also found that he would continue to experience pain symptoms caused by the soft tissue injuries for the foreseeable future, that his pain was chronic and will not be cured. The plaintiff suffered a mild concussion, which was not present in this case, and the Court found that knee symptoms were not causally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agree with defence counsel that injuries in that case appear to be more serious than what the plaintiff suffered here in that they were found to be permanent. At the same time, I accept plaintiff's counsel's submission that although the prognosis for recovery of this plaintiff is favourable, that can never be a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Taking all of the relevant factors into account, I assess non-pecuniary damages at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said that when he joined BC Hydro as a dispatcher, his ambition was to become a power line technician. He said he has long been attracted to that work because that is what both his father and grandfather did, although not in British Columbia. He also says he would prefer to work outdoors rather than in an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His co-worker, Pradeep Singh, testified that he recalls the plaintiff mentioning his interest in becoming a power line technician, although he cannot specifically recall when those comments were made. The plaintiff has never had any such conversation with his supervisor, Mike Minichiello, although I do not find that surprising.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evidence is that the move from dispatcher to power line technician is not a normal career path. Although dispatchers such as the plaintiff are in daily contact with power line technicians and have a good insight into what they do, the evidence is that there are no directly transferable skills. A power line technician requires specific electrical trades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Minichiello testified that he has not known anyone to make the job switch from the dispatch centre that he supervises to a power line technician position, although he understands that at least one person did so prior to his own time at BC Hydro.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order to become a power line technician at BC Hydro, a person must first be accepted into a one-year pre-apprenticeship program. The application process for that includes a test of physical abilities because the job is a physically demanding one that may include climbing power poles, lifting, bending, and working overhead.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After the pre-apprenticeship program, there is a three and a half year apprenticeship. During pre-apprenticeship and apprenticeship the wages are lower than what the plaintiff now earns as a dispatcher, but wage rates for a journeyman power line technician are higher.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Renzo Infanti is a former power line technician who is now a field manager supervising such employees. He said there are currently about 40 power line apprentices in the company province wide and positions in the pre-apprenticeship program open once or twice a year. The number of apprentices was higher, sometimes exceeding 100, for a period beginning about eight years ago and ending "a couple of years ago" because of a large number of retirements.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Power line technicians currently earn a base rate of $42.91 an hour, which is almost $10 more than the plaintiff's current base rate as a dispatcher. Both jobs involve significant opportunities for overtime and Mr. Infanti said a power line technician can easily work 300 hours a year in overtime at double the normal hourly rate. That would translate into an annual income between $110,000 and $130,000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earned approximately $92,000 in 2016 and $95,000 in 2017. His income in 2018 was lower because he said he chose to bank overtime instead of taking immediate pay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agree with plaintiff's counsel's submission that $20,000 is a reasonable estimate of the difference in annual income between a dispatcher and a power line technician. The present value of that difference from the plaintiff's current age to age 65 using the multiplier in the economist's report is $451,860.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law concerning this kind of lost future capacity claim was set out clearly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and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Gao v. Dietrich</w:t>
      </w:r>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2018 BCCA 372</w:t>
        </w:r>
      </w:hyperlink>
      <w:r>
        <w:rPr>
          <w:rFonts w:ascii="arial" w:eastAsia="arial" w:hAnsi="arial" w:cs="arial"/>
          <w:color w:val="000000"/>
          <w:sz w:val="20"/>
          <w:lang w:val="en-US" w:eastAsia="en-US" w:bidi="ar-SA"/>
        </w:rPr>
        <w:t>, the Court of Appeal said at para. 37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If the plaintiff establishes a real and substantial possibility, then the court must weigh the hypothetical or future event according to its relative likelihood ... In determining a fair and reasonable damage award, a court should make an assessment rather than a purely mathematical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find the plaintiff has met the burden of proving a real and substantial possibility. I accept his evidence of a longstanding interest in a career as a power line technician and accept that, prior to the accident, he was physically capable of doing that job. I also accept that he is no longer capable of it. Even if his current symptoms resolve, embarking on that career now would likely not be advisable given the physical demands of the job and the potential to aggravate any pre-existing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Infanti also said that most power line apprentices range in age from their mid 20s to mid 30s, and the plaintiff is now at the upper end of that range. I also accept the plaintiff's evidence that he did not apply for the apprenticeship program before the first accident because he wanted to establish himself within the company. By the time of the first accident, he had been with the company for a little less than two years and in a permanent position for less than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According to Mr. Infanti, the fact that an applicant to the power line technician apprenticeship program is already employed by the company does not give that applicant any direct or formal advantage, but does provide an opportunity to gain knowledge and learn what is needed for the evaluation process. I find that to be particularly true in the plaintiff's case in that his current job puts him in daily communication with the people doing the job he aspires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However, the plaintiff had no assurance of obtaining a power line technician job. Relatively few positions come open and there is a great deal of competition for them. Even if he had applied before now in the absence of the accident, the plaintiff would have been competing against younger applicants, some of whom may have had more directly applicable training skills or experience. While the plaintiff's current job has given him information about the power line technician job, it has not given him any directly transferrable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Therefore, while the plaintiff has proven a real and substantial possibility that he may have obtained a power line technician job in the future, I assess the likelihood of this having occurred in the absence of the accidents at no more than about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have also considered the temporary decrease in earnings the plaintiff would experience while in the apprenticeship program and the fact he still has some opportunity for advancement and increased income in his current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physical nature of the power line technician job implies a risk of injury from time to time or accumulative work-related physical problems. Mr. Infanti said that after 13 years as a power line technician, he had work-related back and knee problems that made his move into management more attractive. Therefore, even if the plaintiff became a power line technician, it could not be assumed that he would necessarily have worked to the age of 65 or that he would not at least have decreased the number of overtime hours he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Taking all those factors into account, I assess the value of the plaintiff's lost opportunity at $85,000.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parties have agreed on net past wage loss of $12,732.42 and special damages of $511 and judgment will include those amounts. Costs will follow the event. Thank you,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N.H.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9" style="position:absolute;z-index:2517954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44"/>
          <w:headerReference w:type="default" r:id="rId745"/>
          <w:footerReference w:type="even" r:id="rId746"/>
          <w:footerReference w:type="default" r:id="rId747"/>
          <w:headerReference w:type="first" r:id="rId748"/>
          <w:footerReference w:type="first" r:id="rId7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50" w:history="1">
        <w:r>
          <w:rPr>
            <w:rFonts w:ascii="arial" w:eastAsia="arial" w:hAnsi="arial" w:cs="arial"/>
            <w:b/>
            <w:bCs/>
            <w:i/>
            <w:color w:val="0077CC"/>
            <w:kern w:val="32"/>
            <w:sz w:val="28"/>
            <w:szCs w:val="32"/>
            <w:u w:val="single"/>
            <w:shd w:val="clear" w:color="auto" w:fill="FFFFFF"/>
            <w:lang w:val="en-US" w:eastAsia="en-US" w:bidi="ar-SA"/>
          </w:rPr>
          <w:t>Netlink Computer Inc. (Re), [2018] B.C.J. No. 6993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S. Harper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26,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27,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B170816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6993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2309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IN THE MATTER OF Bankruptcy of Netlink Computer Inc. of the City of Richmond, in the Province of British Columbia</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(69 paras.)</w:t>
      </w:r>
    </w:p>
    <w:p>
      <w:pPr>
        <w:jc w:val="both"/>
        <w:rPr>
          <w:rFonts w:ascii="arial" w:eastAsia="arial" w:hAnsi="arial" w:cs="arial"/>
          <w:sz w:val="20"/>
          <w:lang w:val="en-US" w:eastAsia="en-US" w:bidi="ar-SA"/>
        </w:rPr>
      </w:pPr>
      <w:bookmarkStart w:id="139" w:name="Counsel_34"/>
      <w:bookmarkEnd w:id="1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0"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Trustee (Application Respondent), The Bowra Group Inc.: H.M.B. Ferris.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Applicant, Kipling Warner: M. Good, A. Klein, Articled Student.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0" w:name="Judgment_34"/>
      <w:bookmarkEnd w:id="140"/>
      <w:r>
        <w:pict>
          <v:line id="_x0000_s1151" style="position:absolute;z-index:2517483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1" w:name="MASTER S. HARPER"/>
            <w:bookmarkEnd w:id="141"/>
            <w:r>
              <w:rPr>
                <w:rFonts w:ascii="arial" w:eastAsia="arial" w:hAnsi="arial" w:cs="arial"/>
                <w:b/>
                <w:color w:val="000000"/>
                <w:sz w:val="30"/>
                <w:lang w:val="en-US" w:eastAsia="en-US" w:bidi="ar-SA"/>
              </w:rPr>
              <w:t>MASTER S. HARPER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Netlink Computer Inc. ("Netlink") is a British Columbia-based company that sold computers and related equipment. In late 2017, Netlink went bankrupt. The trustee in bankruptcy is the Bowra Group Inc. (the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Kipling Warner, the applicant, was a customer of Netlink. Mr. Warner says that the Trustee breached the privacy of Netlink's customers by allowing their private information to be exposed and sold to or, otherwise, obtained by third parties, including "criminals". Mr. Warner wishes to commence an action against the Trustee for breach of privacy. The circumstances of the sale of Netlink's assets and the duties and responsibilities of the Trustee form the basis of the proposed claim against the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No one is permitted to sue a trustee in bankruptcy without leave of the court. Mr. Warner seeks leave pursuant to s. 215 of the </w:t>
      </w:r>
      <w:r>
        <w:rPr>
          <w:rFonts w:ascii="arial" w:eastAsia="arial" w:hAnsi="arial" w:cs="arial"/>
          <w:i/>
          <w:color w:val="000000"/>
          <w:sz w:val="20"/>
          <w:lang w:val="en-US" w:eastAsia="en-US" w:bidi="ar-SA"/>
        </w:rPr>
        <w:t>Bankruptcy and Insolvency Act</w:t>
      </w:r>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R.S.C. 1985, c. B-3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BIA</w:t>
      </w:r>
      <w:r>
        <w:rPr>
          <w:rFonts w:ascii="arial" w:eastAsia="arial" w:hAnsi="arial" w:cs="arial"/>
          <w:color w:val="000000"/>
          <w:sz w:val="20"/>
          <w:lang w:val="en-US" w:eastAsia="en-US" w:bidi="ar-SA"/>
        </w:rPr>
        <w:t>]. If leave is granted, Mr. Warner intends to seek certification of his proceeding as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court's task in determining whether to exercise its discretion to allow the claim to proceed is to assess the nature and scope of the proposed claim in light of the evidence. Leave is rarely granted. If leave is granted in this case, it will be the first time in Canada a trustee has been sued in a potential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APPLICABLE LEGAL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Section 215 of the </w:t>
      </w:r>
      <w:r>
        <w:rPr>
          <w:rFonts w:ascii="arial" w:eastAsia="arial" w:hAnsi="arial" w:cs="arial"/>
          <w:i/>
          <w:color w:val="000000"/>
          <w:sz w:val="20"/>
          <w:lang w:val="en-US" w:eastAsia="en-US" w:bidi="ar-SA"/>
        </w:rPr>
        <w:t>BIA</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Except by leave of the court, no action lies against the Superintendent, an official receiver, an interim receiver or a trustee with respect to any report made under, or any action taken pursuant to,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BIA</w:t>
      </w:r>
      <w:r>
        <w:rPr>
          <w:rFonts w:ascii="arial" w:eastAsia="arial" w:hAnsi="arial" w:cs="arial"/>
          <w:color w:val="000000"/>
          <w:sz w:val="20"/>
          <w:lang w:val="en-US" w:eastAsia="en-US" w:bidi="ar-SA"/>
        </w:rPr>
        <w:t xml:space="preserve"> does not provide any specific guidance as to the factors the court ought to take into account in considering an application for leave. These have only been developed through case law interpreting and applying s. 215.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parties agree that the leading case authorities are </w:t>
      </w:r>
      <w:r>
        <w:rPr>
          <w:rFonts w:ascii="arial" w:eastAsia="arial" w:hAnsi="arial" w:cs="arial"/>
          <w:i/>
          <w:color w:val="000000"/>
          <w:sz w:val="20"/>
          <w:lang w:val="en-US" w:eastAsia="en-US" w:bidi="ar-SA"/>
        </w:rPr>
        <w:t>GMAC Commercial Credit Corporation - Canada v. T.C.T. Logistics Inc</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GMAC</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2006 SCC 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Braich (Re)</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2007 BCSC 1604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Mancini (Trustee of) v. Falconi</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(1993), 61 O.A.C. 332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GMAC</w:t>
      </w:r>
      <w:r>
        <w:rPr>
          <w:rFonts w:ascii="arial" w:eastAsia="arial" w:hAnsi="arial" w:cs="arial"/>
          <w:color w:val="000000"/>
          <w:sz w:val="20"/>
          <w:lang w:val="en-US" w:eastAsia="en-US" w:bidi="ar-SA"/>
        </w:rPr>
        <w:t>, the Supreme Court of Canada sets out the applicable test and the relevant considerations on a s. 215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 For almost 150 years, courts and commentators have been universally of the view that the threshold for granting leave to commence an action against a receiver or trustee is not a high one, and is designed to protect the receiver or trustee against only frivolous or vexatious actions, or actions which have no basis in fact.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In the leading case of </w:t>
      </w:r>
      <w:r>
        <w:rPr>
          <w:rFonts w:ascii="arial" w:eastAsia="arial" w:hAnsi="arial" w:cs="arial"/>
          <w:i/>
          <w:color w:val="000000"/>
          <w:sz w:val="20"/>
          <w:lang w:val="en-US" w:eastAsia="en-US" w:bidi="ar-SA"/>
        </w:rPr>
        <w:t>Mancini</w:t>
      </w:r>
      <w:r>
        <w:rPr>
          <w:rFonts w:ascii="arial" w:eastAsia="arial" w:hAnsi="arial" w:cs="arial"/>
          <w:color w:val="000000"/>
          <w:sz w:val="20"/>
          <w:lang w:val="en-US" w:eastAsia="en-US" w:bidi="ar-SA"/>
        </w:rPr>
        <w:t>, the Court of Appeal summarized the accepted principles as being the following:</w:t>
      </w:r>
    </w:p>
    <w:p>
      <w:pPr>
        <w:numPr>
          <w:numId w:val="2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Leave to sue a trustee should not be granted if the action is frivolous or vexatious. Manifestly unmeritorious claims should not be permitted to proceed.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should not be allowed to proceed if the evidence filed in support of the motion, including the intended action as pleaded in draft form, does not disclose a cause of action against the trustee. The evidence typically will be presented by way of affidavit and must supply facts to support the claim sought to be asserted.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not required to make a final assessment of the merits of the claim before granting leave.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The court in </w:t>
      </w:r>
      <w:r>
        <w:rPr>
          <w:rFonts w:ascii="arial" w:eastAsia="arial" w:hAnsi="arial" w:cs="arial"/>
          <w:i/>
          <w:color w:val="000000"/>
          <w:sz w:val="20"/>
          <w:lang w:val="en-US" w:eastAsia="en-US" w:bidi="ar-SA"/>
        </w:rPr>
        <w:t>Mancini</w:t>
      </w:r>
      <w:r>
        <w:rPr>
          <w:rFonts w:ascii="arial" w:eastAsia="arial" w:hAnsi="arial" w:cs="arial"/>
          <w:color w:val="000000"/>
          <w:sz w:val="20"/>
          <w:lang w:val="en-US" w:eastAsia="en-US" w:bidi="ar-SA"/>
        </w:rPr>
        <w:t xml:space="preserve"> explained that the duty of the trustee is to protect both the creditors and the public interest in the proper administration of the bankrupt estate. The gatekeeping purpose of the leave requirement, therefore, in light of this duty, is to prevent the trustee or receiver "from having to respond to actions which are frivolous or vexatious or from claims which do not disclose a cause of action" (para. 17) so that the bankruptcy process is not made unworkable. On the other hand, it ensures that legitimate claims can be advanced.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The question under s. 215 is whether the evidence provides the required support for the cause of action sought to be asserted. ... In other words, the evidence must disclose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Although the </w:t>
      </w:r>
      <w:r>
        <w:rPr>
          <w:rFonts w:ascii="arial" w:eastAsia="arial" w:hAnsi="arial" w:cs="arial"/>
          <w:i/>
          <w:color w:val="000000"/>
          <w:sz w:val="20"/>
          <w:lang w:val="en-US" w:eastAsia="en-US" w:bidi="ar-SA"/>
        </w:rPr>
        <w:t>Mancini</w:t>
      </w:r>
      <w:r>
        <w:rPr>
          <w:rFonts w:ascii="arial" w:eastAsia="arial" w:hAnsi="arial" w:cs="arial"/>
          <w:color w:val="000000"/>
          <w:sz w:val="20"/>
          <w:lang w:val="en-US" w:eastAsia="en-US" w:bidi="ar-SA"/>
        </w:rPr>
        <w:t xml:space="preserve"> test calls for an investigation into whether the proposed litigation discloses a cause of action, the focus of that inquiry is not a determination of the merits.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This threshold strikes the appropriate balance between the protection of trustees and receivers from the distraction and delay inherent in frivolous or merely tactical suits, and the preservation to the maximum extent possible of the rights of creditors and others as against a trustee or receiver.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[68] In the absence of [] express [statutory] protection, the bankruptcy court should not convert the leave mechanism in s. 215 into blanket insulation for court-appointed officers.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[74] Section 215 is not designed to protect the trustee from well-founded litigation. It is designed to afford protection from claims for which there is no factual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trustee is an officer of the court. The purpose of s. 215 is to protect officers of the court, including trustees, from baseless, frivolous or vexatious lawsuits which would otherwise interfere with the due administration of the bankrupt's estate by the trustee so that the purposes of the BIA will not be frustrated: </w:t>
      </w:r>
      <w:r>
        <w:rPr>
          <w:rFonts w:ascii="arial" w:eastAsia="arial" w:hAnsi="arial" w:cs="arial"/>
          <w:i/>
          <w:color w:val="000000"/>
          <w:sz w:val="20"/>
          <w:lang w:val="en-US" w:eastAsia="en-US" w:bidi="ar-SA"/>
        </w:rPr>
        <w:t>Braich (Re)</w:t>
      </w:r>
      <w:r>
        <w:rPr>
          <w:rFonts w:ascii="arial" w:eastAsia="arial" w:hAnsi="arial" w:cs="arial"/>
          <w:color w:val="000000"/>
          <w:sz w:val="20"/>
          <w:lang w:val="en-US" w:eastAsia="en-US" w:bidi="ar-SA"/>
        </w:rPr>
        <w:t xml:space="preserve">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issue for determination on this application is whether, taking into account the required balancing of competing interests inherent in a s. 215 application, Mr. Warner has established that there is sufficient evidence to make out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against the Trustee as set out in the proposed notice of civil claim (the "Proposed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Mr. Warner says that the affidavit evidence discloses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against the Trustee. Counsel for Mr. Warner submits that if leave is granted, the appropriateness of the order could be considered anew at the certification stage on evidence and argument presented to the judge hearing the certification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Trustee says that the Proposed Claim and evidence in support of the Proposed Claim do not meet the relatively low threshold required to justify leave for the following reasons: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is predominantly irrelevant or inadmissible as double hearsay;</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is demonstrably inaccurate;</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is unreliable on its face;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does not substantiate the Proposed Claim;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scope of the Proposed Claim weighs against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to the breadth of the Proposed Claim, there is no prohibition against making broad claims as long as there is a factual basis for the claims and the evidence discloses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his materials, Mr. Warner refers to Netlink as "NCIX". The Trustee objects to the use of the moniker "NCIX" as NCIX is also the name of another unrelated company. I will, therefore, use the short form "Netlink"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Warner has already commenced an action against an auction company, Able Solutions Inc. ("Able"), Netlink, and Netlink's landlord (The action against Netlink is stayed automatically because Netlink is in bankruptcy). The Proposed Claim is exactly the same and contains almost identical wording. There is no separate allegation that the Trustee did anything differently from Able, Netlink, or Netlink's landlord. Although Mr. Warner alleges that Able sold Netlink's assets as the Trustee's agent, in fact, the Trustee sold the assets outright to Able (and to another auction company called Pearl West). Able then resold the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summary, the Proposed Claim makes the following assertions of fact with respect to its claim against the Trustee:</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Warner purchased products from Netlink and provided his private information to Netlink, including his name, address, debit card details and credit card number, including CVV code;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Trustee contracted with Able to dispose of the estate's assets;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that process, the Trustee allowed customers' private information, including addresses, credit card numbers, and other sensitive information (the "Private Information") to be exposed and sold to or otherwise obtained by third parties, including criminals;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Trustee provided Able with media containing the Private Information;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Able acted as the Trustee's agent for the purpose of disposing of the property, including media containing the Private Information;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Able arranged a series of sales, including auctions, to dispose of Netlink's property;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sales, the Private Information was stored unsecured on Able's premises;</w:t>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of Netlink's servers containing the Private Information were sold by Able, including to criminals;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servers containing the Private Information were not properly stored by the Trustee and were stolen or otherwise unlawfully taken;</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criminals who acquired the Netlink servers sold the data onward to other criminals, including identity thieves and cyber criminals;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Trustee took no, or no effective steps to:</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Properly inventory, secure, dispose of, or protect the Private Information, in physical hardcopy and stored on the Netlink servers;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Seek consent from customers, including Mr. Warner and class members, to sell or transfer their Private Information; or</w:t>
      </w:r>
    </w:p>
    <w:p>
      <w:pPr>
        <w:numPr>
          <w:numId w:val="2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Screen purchasers at the sale to ensure that criminals were prevented from obtaining Private Information.</w:t>
      </w:r>
    </w:p>
    <w:p>
      <w:pPr>
        <w:numPr>
          <w:numId w:val="2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trustee knew that customer information is often included in the property of bankrupts' estates and it took responsibility to protect the data when taking custody of a bankrupt's property;</w:t>
      </w:r>
    </w:p>
    <w:p>
      <w:pPr>
        <w:numPr>
          <w:numId w:val="2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Trustee's decision to sell the Private Information, or at a minimum, the Netlink servers containing the Private Information, was planned and deliberate and was made "knowing or reckless or wilfully blind" [sic] to the fact that customers had not consented to, and were not aware of, its sale;</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Trustee acted for its own benefit;</w:t>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Warner and the class members have suffered a loss and violation of privacy and will suffer loss from additional misuse of their Private Information by criminals;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Warner seeks relief as follows:</w:t>
      </w:r>
      <w:r>
        <w:rPr>
          <w:rFonts w:ascii="arial" w:eastAsia="arial" w:hAnsi="arial" w:cs="arial"/>
          <w:sz w:val="20"/>
          <w:lang w:val="en-US" w:eastAsia="en-US" w:bidi="ar-SA"/>
        </w:rPr>
        <w:cr/>
      </w:r>
    </w:p>
    <w:p>
      <w:pPr>
        <w:numPr>
          <w:numId w:val="3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certifying this action as a class proceeding;</w:t>
      </w:r>
    </w:p>
    <w:p>
      <w:pPr>
        <w:numPr>
          <w:numId w:val="3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General damages for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for breach of contract;</w:t>
      </w:r>
    </w:p>
    <w:p>
      <w:pPr>
        <w:numPr>
          <w:numId w:val="3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waiver of tort;</w:t>
      </w:r>
    </w:p>
    <w:p>
      <w:pPr>
        <w:numPr>
          <w:numId w:val="3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Statutory damages for breach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373</w:t>
      </w:r>
      <w:r>
        <w:rPr>
          <w:rFonts w:ascii="arial" w:eastAsia="arial" w:hAnsi="arial" w:cs="arial"/>
          <w:color w:val="000000"/>
          <w:sz w:val="20"/>
          <w:lang w:val="en-US" w:eastAsia="en-US" w:bidi="ar-SA"/>
        </w:rPr>
        <w:t>; and</w:t>
      </w:r>
    </w:p>
    <w:p>
      <w:pPr>
        <w:numPr>
          <w:numId w:val="3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Part 3 of his notice of application, Legal Basis, Mr. Warner claims that the Trustee violated its statutory obligations under the </w:t>
      </w:r>
      <w:r>
        <w:rPr>
          <w:rFonts w:ascii="arial" w:eastAsia="arial" w:hAnsi="arial" w:cs="arial"/>
          <w:i/>
          <w:color w:val="000000"/>
          <w:sz w:val="20"/>
          <w:lang w:val="en-US" w:eastAsia="en-US" w:bidi="ar-SA"/>
        </w:rPr>
        <w:t>Personal Information 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63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PIPA</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Personal Information Protection and Electronic Documents Act</w:t>
      </w:r>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S.C. 2000, c. 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PIPEDA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Warner also asserts that the Trustee owed him and class members a common law duty of care and that it breached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set out as follows:</w:t>
      </w:r>
      <w:r>
        <w:rPr>
          <w:rFonts w:ascii="arial" w:eastAsia="arial" w:hAnsi="arial" w:cs="arial"/>
          <w:sz w:val="20"/>
          <w:lang w:val="en-US" w:eastAsia="en-US" w:bidi="ar-SA"/>
        </w:rPr>
        <w:cr/>
      </w:r>
    </w:p>
    <w:p>
      <w:pPr>
        <w:numPr>
          <w:numId w:val="3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Failure to handle the retention, security, and disposal of customers' Private Information in accordance standards imposed by </w:t>
      </w:r>
      <w:r>
        <w:rPr>
          <w:rFonts w:ascii="arial" w:eastAsia="arial" w:hAnsi="arial" w:cs="arial"/>
          <w:i/>
          <w:color w:val="000000"/>
          <w:sz w:val="20"/>
          <w:lang w:val="en-US" w:eastAsia="en-US" w:bidi="ar-SA"/>
        </w:rPr>
        <w:t>PIPA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PIPEDA</w:t>
      </w:r>
      <w:r>
        <w:rPr>
          <w:rFonts w:ascii="arial" w:eastAsia="arial" w:hAnsi="arial" w:cs="arial"/>
          <w:color w:val="000000"/>
          <w:sz w:val="20"/>
          <w:lang w:val="en-US" w:eastAsia="en-US" w:bidi="ar-SA"/>
        </w:rPr>
        <w:t>, and in accordance with the common law;</w:t>
      </w:r>
    </w:p>
    <w:p>
      <w:pPr>
        <w:numPr>
          <w:numId w:val="3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make reasonable security arrangements to prevent loss, theft, and unauthorized access, collection, use, disclosure, copying, modification or disposal of the Private Information;</w:t>
      </w:r>
    </w:p>
    <w:p>
      <w:pPr>
        <w:numPr>
          <w:numId w:val="3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have in place appropriate policies for the handling of Private Information obtained from bankrupts' estates;</w:t>
      </w:r>
    </w:p>
    <w:p>
      <w:pPr>
        <w:numPr>
          <w:numId w:val="3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identify that the Private Information was not property properly sold in a bankruptcy;</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obtain consent to sell or transfer the Private Information;</w:t>
      </w:r>
    </w:p>
    <w:p>
      <w:pPr>
        <w:numPr>
          <w:numId w:val="4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screen buyers to keep criminals from acquiring the Private information;</w:t>
      </w:r>
    </w:p>
    <w:p>
      <w:pPr>
        <w:numPr>
          <w:numId w:val="4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maintain or alternatively implement physical, organizational and technological safeguards or control procedures to prevent loss, theft, and unauthorised access, collection, use, disclosure, copying, modification or inappropriate disposal of the Private Information, including proper encryption and deletion of Private Information from the NCIX Servers before their sale or disposal;</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use organizational safeguard measures to protect the Private Information, or use of measures that were outdated, inadequate having regards to the sensitivity of the information, and below the reasonable standard currently used in the industry;</w:t>
      </w:r>
    </w:p>
    <w:p>
      <w:pPr>
        <w:numPr>
          <w:numId w:val="4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use technological safeguard measures to protect the Private Information, or use of measures that were outdated, inadequate having regards to the sensitivity of the information, and below the reasonable standard currently used in the industry;</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ensure that employees were aware of the importance of maintaining the confidentiality of the Private Information;</w:t>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properly supervise employees or failing to provide proper training to employees in respect of sensitive personal data including the Private Information;</w:t>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detect loss, theft, and unauthorized access, collection, use, disclosure, copying, modification or disposal of the Private Information; and</w:t>
      </w:r>
    </w:p>
    <w:p>
      <w:pPr>
        <w:numPr>
          <w:numId w:val="4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immediately notify the Plaintiff and other Class Members that their Private Information had been left unprotected and subjected to loss, theft, unauthorized access, collection, use, disclosure, copying, modification or disposal.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Warner asserts that he and the class members have suffered loss and damage, including, but not limited to:</w:t>
      </w:r>
      <w:r>
        <w:rPr>
          <w:rFonts w:ascii="arial" w:eastAsia="arial" w:hAnsi="arial" w:cs="arial"/>
          <w:sz w:val="20"/>
          <w:lang w:val="en-US" w:eastAsia="en-US" w:bidi="ar-SA"/>
        </w:rPr>
        <w:cr/>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to credit reputation;</w:t>
      </w:r>
    </w:p>
    <w:p>
      <w:pPr>
        <w:numPr>
          <w:numId w:val="4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Mental distress;</w:t>
      </w:r>
    </w:p>
    <w:p>
      <w:pPr>
        <w:numPr>
          <w:numId w:val="5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incurred in preventing identity theft;</w:t>
      </w:r>
    </w:p>
    <w:p>
      <w:pPr>
        <w:numPr>
          <w:numId w:val="5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incurred in paying for credit monitoring services;</w:t>
      </w:r>
    </w:p>
    <w:p>
      <w:pPr>
        <w:numPr>
          <w:numId w:val="5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Out of pocket expenses;</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Wasted time, inconvenience, frustration, and anxiety associated with taking precautionary steps to reduce the likelihood of identity theft or improper use of credit information, and to address the credit flags placed on their credit files; and</w:t>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Time lost engaging in precautionary communications with third parties such as credit card companies, credit agencies, banks, and other parties to inform them of the potential that the Class member's Private Information may be misappropriated and to resolve delays caused by flags placed on Class members' credit files.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Warner also asserts that he and the class members will suffer further damages for identity theft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Mr. Warner asserts that breach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creates a tort, actionable without proof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Finally, Mr. Warner makes a claim for punitive damages against the Trustee as follows: the Trustee's "misconduct, as described above, was malicious, oppressive and high-handed, and departed to a marked degree from ordinary standards of decent behaviour. It violated the trust and security of customers. The [Trustee's] actions offend the moral standards of the community and warrant the condemnation of the Court such that an award of punitive damages should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AFFIDAVIT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is necessary to test the claims made in the Proposed Claim against the evidence tendered by Mr. Warner in support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Warner submitted two affidavits of his own and an affidavit of Travis Doering.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Trustee submitted two affidavits of Mario Mainella (a licensed trustee who acted on behalf of the Trustee in the Netlink bankruptcy) sworn October 12, 2018 (Maniella Affidavit #1) and October 18, 2018 respectively. The Trustee also relies on certain documents attached to affidavits of legal assistants.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part of the court's gatekeeping function on a leave application, the court is required to consider whether the bankruptcy process would be made unworkable if leave were granted. Mr. Warner says that the proposed proceeding will not impede the bankruptcy process but offers no factual basis on which to make this claim. In fact, Mr. Warner's evidence is that he intends to oppose any order granting Netlink's discharge from bankruptcy if such an order would prevent him from proceeding with his claim against the Trustee. The bankruptcy process would, on Mr. Warner's own evidence, be greatly prolonged if leave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Mainella says that the bankruptcy of Netlink is substantially complete. The Trustee is awaiting certain GST repayments. Once those repayments are received, the creditors of Netlink can be paid out. Mr. Mainella's evidence is that the commencement of the proposed class proceeding, apparently involving millions of plaintiffs in Canada and the United States, unspecified criminal activity, and allegations of malice and dishonesty against the Trustee will, if permitted, substantially halt the bankruptcy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agree with the Trustee that if the Proposed Claim is allowed to proceed, the bankruptcy process will be significantly impeded. The task is now to examine the evidence to determine if Mr. Warner has met the threshold required to justify the bankruptcy process being significantly impeded.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Warner's first affidavit, sworn September 24, 2018 ("Warner Affidavit #1"), establishes that he purchased products from Netlink and provided his credit card number and related personal information. Mr. Warner, of course, has direct knowledge of these facts and, therefore, the evidence is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am unable to accept most of the rest of the evidence in Warner Affidavit #1 as being inadmissible hearsay evidence. Even if I exercised my discretion to accept the evidence as permissible hearsay evidence, I would determine that the evidence is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It is clear that the genesis of the proposed action is a blog post made by Mr. Doering. Mr. Warner has no personal knowledge of any of the facts in support of the claim. Rather, he relies on the information contained in that blog post. He swears that he believes Mr. Doering's statements to be a faithful and accurate account (para. 11). He goes on: "In particular, I believe that some or a majority of the mishandling of [Netlink's] customer databases, including my own private information, took place during the course of [Netlink's] bankruptcy and under Bowra's supervision and control." This last statement is incorrect since Mr. Doering does not make any such statement in his blog post. Mr. Warner's beliefs are not facts, but rather argument and conjecture.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Warner relies on two more sources of information in his affidavit:</w:t>
      </w:r>
      <w:r>
        <w:rPr>
          <w:rFonts w:ascii="arial" w:eastAsia="arial" w:hAnsi="arial" w:cs="arial"/>
          <w:sz w:val="20"/>
          <w:lang w:val="en-US" w:eastAsia="en-US" w:bidi="ar-SA"/>
        </w:rPr>
        <w:cr/>
      </w:r>
    </w:p>
    <w:p>
      <w:pPr>
        <w:numPr>
          <w:numId w:val="5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article or blog post of Daniel Dent who says he attended a preview and sale held by Able; and</w:t>
      </w:r>
    </w:p>
    <w:p>
      <w:pPr>
        <w:numPr>
          <w:numId w:val="5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YouTube video made by Linus Sebastian who says he attended the sale by 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Warner states that he is advised of certain facts by Mr. Dent. The "advice" is taken from Mr. Dent's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Warner Affidavit #1 refers to a video taken by Mr. Sebastian. The still photos show boxes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There is no explanation as to why it was impossible for Mr. Warner to obtain affidavits from Mr. Dent or Mr. Sebastian. While evidence on an interlocutory application that is based on information and belief is admissible (quite apart from whether it is accepted by the court as reliable), if the affiant identifies the source of the information and swears or affirms that he or she believes the information to be true, double hearsay is not admissible: </w:t>
      </w:r>
      <w:r>
        <w:rPr>
          <w:rFonts w:ascii="arial" w:eastAsia="arial" w:hAnsi="arial" w:cs="arial"/>
          <w:i/>
          <w:color w:val="000000"/>
          <w:sz w:val="20"/>
          <w:lang w:val="en-US" w:eastAsia="en-US" w:bidi="ar-SA"/>
        </w:rPr>
        <w:t>Canadian Western Bank v. 353806 B.C. Ltd.</w:t>
      </w:r>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2017 BCSC 1072</w:t>
        </w:r>
      </w:hyperlink>
      <w:r>
        <w:rPr>
          <w:rFonts w:ascii="arial" w:eastAsia="arial" w:hAnsi="arial" w:cs="arial"/>
          <w:color w:val="000000"/>
          <w:sz w:val="20"/>
          <w:lang w:val="en-US" w:eastAsia="en-US" w:bidi="ar-SA"/>
        </w:rPr>
        <w:t xml:space="preserve"> at para. 23 and </w:t>
      </w:r>
      <w:r>
        <w:rPr>
          <w:rFonts w:ascii="arial" w:eastAsia="arial" w:hAnsi="arial" w:cs="arial"/>
          <w:i/>
          <w:color w:val="000000"/>
          <w:sz w:val="20"/>
          <w:lang w:val="en-US" w:eastAsia="en-US" w:bidi="ar-SA"/>
        </w:rPr>
        <w:t>Johnson v. Couture</w:t>
      </w:r>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2002 BCSC 1804</w:t>
        </w:r>
      </w:hyperlink>
      <w:r>
        <w:rPr>
          <w:rFonts w:ascii="arial" w:eastAsia="arial" w:hAnsi="arial" w:cs="arial"/>
          <w:color w:val="000000"/>
          <w:sz w:val="20"/>
          <w:lang w:val="en-US" w:eastAsia="en-US" w:bidi="ar-SA"/>
        </w:rPr>
        <w:t xml:space="preserve"> at para. 16. The information Mr. Warner relies on from Mr. Dent and Mr. Sebastian is double hearsay and is, therefore, inadmissible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any event, the evidence of Mr. Dent's blog and Mr. Sebastian's YouTube video is inherently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Warner makes a fundamental error in stating that he believes that the Trustee provided Netlink's property to Able for sale "</w:t>
      </w:r>
      <w:r>
        <w:rPr>
          <w:rFonts w:ascii="arial" w:eastAsia="arial" w:hAnsi="arial" w:cs="arial"/>
          <w:i/>
          <w:color w:val="000000"/>
          <w:sz w:val="20"/>
          <w:lang w:val="en-US" w:eastAsia="en-US" w:bidi="ar-SA"/>
        </w:rPr>
        <w:t>on behalf of</w:t>
      </w:r>
      <w:r>
        <w:rPr>
          <w:rFonts w:ascii="arial" w:eastAsia="arial" w:hAnsi="arial" w:cs="arial"/>
          <w:color w:val="000000"/>
          <w:sz w:val="20"/>
          <w:lang w:val="en-US" w:eastAsia="en-US" w:bidi="ar-SA"/>
        </w:rPr>
        <w:t xml:space="preserve"> the estate" [emphasis added]. Able was never the Trustee's agent and did not sell the assets on behalf of the estate; rather, the Trustee sold some of the assets to Able outright: Mainella Affidavit #1, para. 4. By the time Able had possession of the assets and was storing them, then arranging for sale, the Trustee had finished its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Mainella's evidence is that the Trustee also sold some assets of Netlink to Pearl West Group by a written agreement dated February 9, 2018. The price was $150,000. The assets sold to Pearl West Group are set out in a schedule to the agreement. They include servers and other computer equipment as well as "confidential information" including customer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If there was a written agreement between the Trustee and Able, it was not provided on this application. The only document referencing the sale of assets from the Trustee to Able is an invoice for the sale of "inventory and equipment" for the price of $225,000.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Counsel for Mr. Warner submits that the Trustee was obligated to address every allegation made by Mr. Warner. I do not agree. The Trustee has addressed some, but not all, of the allegations as was his prerogative.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Trustee was entitled to play a defensive role in this application and put Mr. Warner to the test of establishing the grounds justifying the exercise of the court's discretion to grant leave to sue. However, by not responding, the Trustee runs the risk that Mr. Warner will reach the low evidentiary threshold required to justify the exercise of the court's discretion in granting leave to commence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There is no evidence from Mr. Mainella as to how, or if, the Trustee seeks to protect the privacy of customers when a bankrupt's assets (including customer information) are sold in the bankruptcy process. In oral submissions, counsel for the Trustee stated that the Trustee conducted the sale in the usual course of business, but I cannot conclude on the evidence before me whether there are any specific terms regarding the protection of customers' privacy when assets are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Warner refers to an RCMP tweet dated September 21, 2018 announcing investigation into data storage devices being sold online. I was advised after the hearing of this application that the RCMP would not be recommending any charges. Therefore, there is no evidentiary basis for the reference in the Proposed Claim to "criminals".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Because Mr. Warner relies on Mr. Doering's blog post (hearsay and double hearsay), Mr. Warner has tendered an affidavit of Mr. Doering sworn October 16, 2018 which repeats verbatim the contents of his blog post. The blog post appears on a website called "privacyflyby.com" which describes itself as a "boutique cyber security firm... [focussing] on personalized enterprise grade security solutions for individual consumers and small businesses". There is nothing else on the website apart from a paragraph called "About Us" and a link to "contact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Doering describes himself as the "security researcher" who "exposed the [Netlink] data breach and as such have personal knowledge of the facts and matters deposed to in this affidavit". Mr. Doering operates Privacy Fly, "a boutique cyber security firm" based in Vancouver.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focus on personalized enterprise grade security solutions for individual consumers and small businesses. We use investigative techniques and data analysis to identify popular attach surfaces and craft custom easy-to-use solutions to protect our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Doering describes the purpose of his blog post as "threat research designed to provide insight for those at risk". Counsel for the Trustee submits that the clear purpose of the article is to promote Mr. Doering's business. Accordingly, she submits that the article and therefore the affidavit of Mr. Doering (the "Doering Affidavit") should not be accepted at face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Doering has a commercial interest in what he alleges to be the exposure of the Netlink data breach. In addition, Mr. Doering has limited direct knowledge of the facts forming the basis of the proposed action. The Doering Affidavit was not drafted for the purpose of being tendered as evidence in a court proceeding. Rather, it is a blog post with a jurat attached to it. For these reasons, and given the court's gatekeeping function in a s. 215 application, the Doering Affidavit must be closely scrutinized.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Trustee objects to Mr. Doering's evidence as double hearsay which is inadmissible. Notably, the Doering Affidavit is not stated to be based on information from any named individual and belief in the information from that individual, presumably because Mr. Doering himself did not believe what he was being told.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Doering describes going to a warehouse in Richmond and talking to a person called "Jeff".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tenor of Mr. Doering's blog post/affidavit is that he undertook some kind of investigation into how Netlink's assets were being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Counsel for Mr. Warner concedes that whatever statements Jeff made to Mr. Doering about Netlink's assets were not true. Therefore, it goes without saying that any statements made by Jeff and repeated by Mr. Doering do not provide any factual basis whatsoever to the Proposed Claim against the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 is very difficult to extract any admissible and reliable evidence from the Doering Affidavit. He does appear to have first-hand information about discovering customers' personal information as he is provided access to the computers. However, Mr. Doering's evidence is that he does not believe Jeff's statement as to how and from whom Jeff had acquired the computers. There is no basis to conclude from the Doering Affidavit that the Trustee was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Doering ends his affidavit by taking credit for the RCMP investigation (which in fact resulted in no charges being recommended). He also avers to receiving "threatening communications from individuals I believe are associated with the sale." Mr. Doering gives no specific details of the alleged threats, for instance, how the threats were made, by whom, what was said, when the threats were made. I am unable to give any weight to Mr. Doering's evidence of threats.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Mr. Warner tendered a second affidavit sworn October 16, 2018 ("Warner Affidavit #2"). He repeats his statement from Warner Affidavit #1: "I believe that some or a majority of the mishandling of [Netlink's] customer databases, including my own private information, took place during the course of [Netlink's] bankruptcy and under Bowra's supervision and control": Warner Affidavit #2, para. 4. Again, Mr. Warner's "belief" is not a fact: </w:t>
      </w:r>
      <w:r>
        <w:rPr>
          <w:rFonts w:ascii="arial" w:eastAsia="arial" w:hAnsi="arial" w:cs="arial"/>
          <w:i/>
          <w:color w:val="000000"/>
          <w:sz w:val="20"/>
          <w:lang w:val="en-US" w:eastAsia="en-US" w:bidi="ar-SA"/>
        </w:rPr>
        <w:t>Nicholas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Anderson</w:t>
      </w:r>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(1996), 40 C.B.R. (3d) 32</w:t>
        </w:r>
      </w:hyperlink>
      <w:r>
        <w:rPr>
          <w:rFonts w:ascii="arial" w:eastAsia="arial" w:hAnsi="arial" w:cs="arial"/>
          <w:color w:val="000000"/>
          <w:sz w:val="20"/>
          <w:lang w:val="en-US" w:eastAsia="en-US" w:bidi="ar-SA"/>
        </w:rPr>
        <w:t xml:space="preserve"> (Ont. Ct. J. (Gen. Div.))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Further, bare allegations are not material facts: </w:t>
      </w:r>
      <w:r>
        <w:rPr>
          <w:rFonts w:ascii="arial" w:eastAsia="arial" w:hAnsi="arial" w:cs="arial"/>
          <w:i/>
          <w:color w:val="000000"/>
          <w:sz w:val="20"/>
          <w:lang w:val="en-US" w:eastAsia="en-US" w:bidi="ar-SA"/>
        </w:rPr>
        <w:t>Seattle Environmental Consulting Ltd. v. Workers' Compensation Board of British Columbia</w:t>
      </w:r>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2016 BCSC 557</w:t>
        </w:r>
      </w:hyperlink>
      <w:r>
        <w:rPr>
          <w:rFonts w:ascii="arial" w:eastAsia="arial" w:hAnsi="arial" w:cs="arial"/>
          <w:color w:val="000000"/>
          <w:sz w:val="20"/>
          <w:lang w:val="en-US" w:eastAsia="en-US" w:bidi="ar-SA"/>
        </w:rPr>
        <w:t xml:space="preserve"> at para. 31. An example of a bare allegation unsupported by evidence is the claim that the Trustee acted for his own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Doering's evidence does not support a finding that if there was a breach of privacy, it took place under the Trustee's "supervision and control". Mr. Warner makes the same claim against Able, Netlink and Netlink's landlord. The scattergun approach of making the same claims against all possible defendants weakens Mr. Warner's position that he has met the evidentiary threshold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to the claim for damages, the evidence of Mr. Warner is (Warner Affidavit #1,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this debacle, my privacy has been breached. I am monitoring my credit cards to see whether I have suffered any additional losses from fraud or identity theft. These events have cause me stress and significant frustration.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notice of civil claim claims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and tort damages. A claim under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does not require the plaintiff to have suffered damage or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However, a claim for damages for the tort of breach of privacy does require proof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Warner goes on to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monitoring my credit cards to see whether I have suffered any additional losses from fraud or identity theft. These events have caused me stress and significant frustration.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Warner purchased items from Netlink in 2009 and lastly in 2014. The Trustee tendered evidence that establishes that credit cards typically expire after three to four years. It is not clear from Mr. Warner's evidence how monitoring his credit cards would reveal any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Leave should not be granted if damages are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Down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Arthur Andersen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Inc.</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2003 BCSC 1286</w:t>
        </w:r>
      </w:hyperlink>
      <w:r>
        <w:rPr>
          <w:rFonts w:ascii="arial" w:eastAsia="arial" w:hAnsi="arial" w:cs="arial"/>
          <w:color w:val="000000"/>
          <w:sz w:val="20"/>
          <w:lang w:val="en-US" w:eastAsia="en-US" w:bidi="ar-SA"/>
        </w:rPr>
        <w:t xml:space="preserve"> at para. 24. The evidence does not support a factual basis for the assertion of loss or injury, nor that the damages are more than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have determined that the evidence tendered by Mr. Warner is insufficient to establish a factual basis for the Proposed Claim. Mr. Warner has not satisfied even the relatively low threshold required to justify the court exercising its discretion in favour of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Counsel for Mr. Warner suggested that if I grant leave, the issue could be reconsidered at the certification stage such that the judge hearing the application to certify the proceeding as a class proceeding could reconsider the merits of the order granting leave. I do not agree with this approach. It is the court's task to perform the gatekeeping function required by s. 215 at the hearing of the s. 215 application, not to defer the task to a future court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 have considered whether Mr. Warner should be granted leave to reapply on the basis of a revised Proposed Claim and further evidence. Neither party addressed this possible outcome of the application in their materials or in submissions. I have decided that Mr. Warner should not be granted an opportunity to reapply. He has not acknowledged any deficiencies in the pleading, nor upon receipt of the application response and Trustee's affidavits did he seek an adjournment of his application to reconsider his position. I conclude, therefore, that Mr. Warner, as an experienced litigant, has determined that the Proposed Claim as currently drafted and as supported by the affidavits he has chosen to rely on are the materials he wishes the court to assess. It would not be fair to the Trustee, an officer of the court, who has been accused not only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but of serious wrongdoing, if Mr. Warner is granted leave to reapply.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Normally, costs follow the event. I am inclined to order that Mr. Warner pay the Trustee's costs of the application. However, since costs were not addressed at the hearing, if either party wishes to make submissions on costs, they may file written submissions through the Registry within 21 days of the issuance of these reasons. Upon receipt of written submissions, I will then determine whether oral submissions on costs are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S. HARPER</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2" style="position:absolute;z-index:2517964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61"/>
          <w:headerReference w:type="default" r:id="rId762"/>
          <w:footerReference w:type="even" r:id="rId763"/>
          <w:footerReference w:type="default" r:id="rId764"/>
          <w:headerReference w:type="first" r:id="rId765"/>
          <w:footerReference w:type="first" r:id="rId76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67" w:history="1">
        <w:r>
          <w:rPr>
            <w:rFonts w:ascii="arial" w:eastAsia="arial" w:hAnsi="arial" w:cs="arial"/>
            <w:b/>
            <w:bCs/>
            <w:i/>
            <w:color w:val="0077CC"/>
            <w:kern w:val="32"/>
            <w:sz w:val="28"/>
            <w:szCs w:val="32"/>
            <w:u w:val="single"/>
            <w:shd w:val="clear" w:color="auto" w:fill="FFFFFF"/>
            <w:lang w:val="en-US" w:eastAsia="en-US" w:bidi="ar-SA"/>
          </w:rPr>
          <w:t>Neumann v. Canada (Attorney General), [2009] B.C.J. No. 456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Wilson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11,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06-4256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456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324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176 A.C.W.S. (3d) 361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G.S.T.C. 72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Hal Neumann, Plaintiff, and The Attorney General of Canada and The Canada Revenue Agency,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 paras.)</w:t>
      </w:r>
    </w:p>
    <w:p>
      <w:pPr>
        <w:jc w:val="both"/>
        <w:rPr>
          <w:rFonts w:ascii="arial" w:eastAsia="arial" w:hAnsi="arial" w:cs="arial"/>
          <w:sz w:val="20"/>
          <w:lang w:val="en-US" w:eastAsia="en-US" w:bidi="ar-SA"/>
        </w:rPr>
      </w:pPr>
      <w:bookmarkStart w:id="142" w:name="Counsel_35"/>
      <w:bookmarkEnd w:id="14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3"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S.M. Kelliher.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A. Lord.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3" w:name="Judgment_35"/>
      <w:bookmarkEnd w:id="143"/>
      <w:r>
        <w:pict>
          <v:line id="_x0000_s1154" style="position:absolute;z-index:2517493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4" w:name="R.D. WILSON J."/>
            <w:bookmarkEnd w:id="144"/>
            <w:r>
              <w:rPr>
                <w:rFonts w:ascii="arial" w:eastAsia="arial" w:hAnsi="arial" w:cs="arial"/>
                <w:b/>
                <w:color w:val="000000"/>
                <w:sz w:val="30"/>
                <w:lang w:val="en-US" w:eastAsia="en-US" w:bidi="ar-SA"/>
              </w:rPr>
              <w:t>R.D. WILSON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Following a seven-day jury trial, the plaintiff succeeded in his claims against the defendants. In result, the jury awarded him $300,000 on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$1 million on his claim for infringement or denial of his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right to be secure against unreasonable search; and directed the Minister responsible to extend an apology. The plaintiff now seeks an order fixing the scale of costs (which follow the event) at Scale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says his action involved difficult and novel issues of law; it was hard-fought; and, it was of public importance, involving proceedings against a government agency and relief under s. 24(1) of the </w:t>
      </w:r>
      <w:r>
        <w:rPr>
          <w:rFonts w:ascii="arial" w:eastAsia="arial" w:hAnsi="arial" w:cs="arial"/>
          <w:b/>
          <w:i/>
          <w:color w:val="000000"/>
          <w:sz w:val="20"/>
          <w:lang w:val="en-US" w:eastAsia="en-US" w:bidi="ar-SA"/>
        </w:rPr>
        <w:t>Charter of Rights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contends that his action is analogous to </w:t>
      </w:r>
      <w:r>
        <w:rPr>
          <w:rFonts w:ascii="arial" w:eastAsia="arial" w:hAnsi="arial" w:cs="arial"/>
          <w:b/>
          <w:i/>
          <w:color w:val="000000"/>
          <w:sz w:val="20"/>
          <w:lang w:val="en-US" w:eastAsia="en-US" w:bidi="ar-SA"/>
        </w:rPr>
        <w:t>Kinloch v. Edmonds</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2008 BCSC 1684</w:t>
        </w:r>
      </w:hyperlink>
      <w:r>
        <w:rPr>
          <w:rFonts w:ascii="arial" w:eastAsia="arial" w:hAnsi="arial" w:cs="arial"/>
          <w:color w:val="000000"/>
          <w:sz w:val="20"/>
          <w:lang w:val="en-US" w:eastAsia="en-US" w:bidi="ar-SA"/>
        </w:rPr>
        <w:t>, in which the court fixed costs at Scale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Kinloch</w:t>
      </w:r>
      <w:r>
        <w:rPr>
          <w:rFonts w:ascii="arial" w:eastAsia="arial" w:hAnsi="arial" w:cs="arial"/>
          <w:color w:val="000000"/>
          <w:sz w:val="20"/>
          <w:lang w:val="en-US" w:eastAsia="en-US" w:bidi="ar-SA"/>
        </w:rPr>
        <w:t xml:space="preserve"> the plaintiff sued police officers, their employer, the City of Victoria, and a corrections officer,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intentional torts and infringement or denial of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rights. There were, said the court, in particular three considerations taken into account in fixing that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First, the case featured issues of more than ordinary complexity or difficulty. Second, the litigation was hard-fought in that, among other things, the police defendants conducted their defence in a clearly "hard-nosed" fashion. And, third, the case had a dimension of interest and importance to the community, beyond the particular interests of the individual plaintiff in that case.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principles governing the fixing of a scale of costs are prescribed in Appendix B to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 "Party and Party Costs". The rule-makers start with the presumption that all matters are difficult. If a matter is of "ordinary difficulty" then costs are assessed at a per unit rate of $110 (Scale B). If a matter is of "little or less than ordinary difficulty", then costs are assessed at a per unit rate of $60 (Scale A). If a matter is of "more than ordinary difficulty", then costs are awarded at a per unit rate of $170 (Scale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rule-makers have reduced the level of abstraction of the notions of "ordinary" and "difficult", by suggesting some factors which may be taken into account, in fixing the scale, namely:</w:t>
      </w:r>
      <w:r>
        <w:rPr>
          <w:rFonts w:ascii="arial" w:eastAsia="arial" w:hAnsi="arial" w:cs="arial"/>
          <w:sz w:val="20"/>
          <w:lang w:val="en-US" w:eastAsia="en-US" w:bidi="ar-SA"/>
        </w:rPr>
        <w:cr/>
      </w:r>
    </w:p>
    <w:p>
      <w:pPr>
        <w:numPr>
          <w:numId w:val="2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difficult issue of law, fact or construction is involved;</w:t>
      </w:r>
    </w:p>
    <w:p>
      <w:pPr>
        <w:numPr>
          <w:numId w:val="2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an issue is of importance to a class or body of persons, or is of general interest;</w:t>
      </w:r>
    </w:p>
    <w:p>
      <w:pPr>
        <w:numPr>
          <w:numId w:val="2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result of the proceeding effectively determines the rights and obligations as between the parties beyond the relief that was actually granted or denied.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difficult issue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plaintiff argues that, for the first time, the court recognized a duty of care, owed by the defendant Canada Revenue Agency, to innocent third parties in criminal investigations. And, further, that the court had to apply the complex jurisprudence on the foreseeability of psychiatric injury, and the law of remedies available under s. 24(1) of the </w:t>
      </w:r>
      <w:r>
        <w:rPr>
          <w:rFonts w:ascii="arial" w:eastAsia="arial" w:hAnsi="arial" w:cs="arial"/>
          <w:b/>
          <w:i/>
          <w:color w:val="000000"/>
          <w:sz w:val="20"/>
          <w:lang w:val="en-US" w:eastAsia="en-US" w:bidi="ar-SA"/>
        </w:rPr>
        <w:t>Charter of Rights</w:t>
      </w:r>
      <w:r>
        <w:rPr>
          <w:rFonts w:ascii="arial" w:eastAsia="arial" w:hAnsi="arial" w:cs="arial"/>
          <w:color w:val="000000"/>
          <w:sz w:val="20"/>
          <w:lang w:val="en-US" w:eastAsia="en-US" w:bidi="ar-SA"/>
        </w:rPr>
        <w:t>, in relation to private law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was nothing novel or complex about those questions of law. Resolution of those issues was a matter of applying existing precedent to the evidence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Compared to other litigation in this court, the issues of law presented were of ordinary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difficult issue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lay witness testimony, including the examination for discovery extracts, was common to both causes of action, that is to say,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and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breach claim. That testimony addressed the application for the warrant to search, the execution of that warrant, and the impact of its execution on the plaintiff. There were some minor discrepancies in the memories of events during the execution of the warrant, but there was no significant issue of fact presented for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called one expert witness to render an opinion on the topic of causation. There was no evidence contradicting that expert opinion. And there was no significant issue of fact presented for resolution on that topic.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Compared to other litigation in this court, the issues of fact in this case were of less than ordinary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difficult issue of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If "construction" means interpretation or application of an instrument, then there were no issues of construction involved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 issue is of importance to a class or body of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 contends that his action goes beyond the interests of the Canada Revenue Agency and innocent third parties. He contends that the verdict of this jury impacts all agencies of government, by cautioning them to be more responsible in carrying out their duties. As well, argued the plaintiff, the action invoked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values, in a context other than criminal proceedings, with a jury of Canadians assigning value to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Canada Revenue Agency is an agent of the executive branch of government. It is no different than a police force or corrections branch. They are no different than any other tortfeasor. Deterrence is one of the conventional objectives of tort law. And, presumably,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litigation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Compared to other litigation in this court, the plaintiff's action was of no more importance to a class or body of persons, than is ordinarily the case, when an agent of the executive branch of government is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 issue is of general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said that this action attracted a national interest, and was followed by the media.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Compared to other litigation in this court, it is probably the case that the interest shown was more than ordinary.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result of the proceeding effectively determines the rights and obligations as between the parties beyond the relief that was actually granted or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is no evidence led, nor argument made, about what rights or obligations as between the parties were determined, beyond the relief granted by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argues further that this action was "hard-fought".</w:t>
      </w:r>
      <w:bookmarkStart w:id="145" w:name="Backward_fnref_fnr-1_0"/>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145"/>
      <w:r>
        <w:rPr>
          <w:rFonts w:ascii="arial" w:eastAsia="arial" w:hAnsi="arial" w:cs="arial"/>
          <w:color w:val="000000"/>
          <w:sz w:val="20"/>
          <w:lang w:val="en-US" w:eastAsia="en-US" w:bidi="ar-SA"/>
        </w:rPr>
        <w:t xml:space="preserve"> It is said that pre-trial motions were initiated by the defendants, but never pursued to any hearing. The defendants applied, unsuccessfully, for an adjournment of the trial on the eve of its commencement. In the course of the trial, while counsel was preparing for the leading of evidence, the defendants brought an application challenging the jurisdiction of the Supreme Court of British Columbia to hear the plaintiff's claim against the Canada Revenue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 does not say that the defendants were "hard-nosed", one of the considerations in the award of Scale C costs in </w:t>
      </w:r>
      <w:r>
        <w:rPr>
          <w:rFonts w:ascii="arial" w:eastAsia="arial" w:hAnsi="arial" w:cs="arial"/>
          <w:b/>
          <w:i/>
          <w:color w:val="000000"/>
          <w:sz w:val="20"/>
          <w:lang w:val="en-US" w:eastAsia="en-US" w:bidi="ar-SA"/>
        </w:rPr>
        <w:t>Kinloch</w:t>
      </w:r>
      <w:r>
        <w:rPr>
          <w:rFonts w:ascii="arial" w:eastAsia="arial" w:hAnsi="arial" w:cs="arial"/>
          <w:color w:val="000000"/>
          <w:sz w:val="20"/>
          <w:lang w:val="en-US" w:eastAsia="en-US" w:bidi="ar-SA"/>
        </w:rPr>
        <w:t>. There is no evidence in this case that these defendants could be characterized as "hard-nosed".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Compared to other litigation in this court, the prosecution, defence and development of this action was no less, nor more, than ordinary.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balance, the plaintiff's action was a matter of ordinary difficulty. The defendants will pay the plaintiff's costs. They will be assessed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WILSON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155" style="position:absolute;z-index:251797504"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146" w:name="Forward_fnref_fnr-1_0"/>
      <w:hyperlink w:anchor="Backward_fnref_fnr-1" w:history="1">
        <w:r>
          <w:rPr>
            <w:rFonts w:ascii="arial" w:eastAsia="arial" w:hAnsi="arial" w:cs="arial"/>
            <w:b/>
            <w:color w:val="BE161D"/>
            <w:sz w:val="18"/>
            <w:shd w:val="clear" w:color="auto" w:fill="FFFFFF"/>
            <w:lang w:val="en-US" w:eastAsia="en-US" w:bidi="ar-SA"/>
          </w:rPr>
          <w:t>1</w:t>
        </w:r>
      </w:hyperlink>
      <w:bookmarkEnd w:id="146"/>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For a comparative referent to "hard fought" (which did not attract Scale C costs), see: </w:t>
      </w:r>
      <w:r>
        <w:rPr>
          <w:rFonts w:ascii="arial" w:eastAsia="arial" w:hAnsi="arial" w:cs="arial"/>
          <w:b/>
          <w:i/>
          <w:color w:val="6D6E71"/>
          <w:sz w:val="18"/>
          <w:lang w:val="en-US" w:eastAsia="en-US" w:bidi="ar-SA"/>
        </w:rPr>
        <w:t>Mainland Sawmills Ltd. v. IWA-Canada Local 1-3567</w:t>
      </w:r>
      <w:r>
        <w:rPr>
          <w:rFonts w:ascii="arial" w:eastAsia="arial" w:hAnsi="arial" w:cs="arial"/>
          <w:color w:val="6D6E71"/>
          <w:sz w:val="18"/>
          <w:lang w:val="en-US" w:eastAsia="en-US" w:bidi="ar-SA"/>
        </w:rPr>
        <w:t xml:space="preserve">, </w:t>
      </w:r>
      <w:hyperlink r:id="rId769" w:history="1">
        <w:r>
          <w:rPr>
            <w:rFonts w:ascii="arial" w:eastAsia="arial" w:hAnsi="arial" w:cs="arial"/>
            <w:i/>
            <w:color w:val="0077CC"/>
            <w:sz w:val="18"/>
            <w:u w:val="single"/>
            <w:shd w:val="clear" w:color="auto" w:fill="FFFFFF"/>
            <w:lang w:val="en-US" w:eastAsia="en-US" w:bidi="ar-SA"/>
          </w:rPr>
          <w:t>2008 BCSC 454</w:t>
        </w:r>
      </w:hyperlink>
      <w:r>
        <w:rPr>
          <w:rFonts w:ascii="arial" w:eastAsia="arial" w:hAnsi="arial" w:cs="arial"/>
          <w:color w:val="6D6E71"/>
          <w:sz w:val="18"/>
          <w:lang w:val="en-US" w:eastAsia="en-US" w:bidi="ar-SA"/>
        </w:rPr>
        <w:t>.</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6" style="position:absolute;z-index:2518149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76" w:history="1">
        <w:r>
          <w:rPr>
            <w:rFonts w:ascii="arial" w:eastAsia="arial" w:hAnsi="arial" w:cs="arial"/>
            <w:b/>
            <w:bCs/>
            <w:i/>
            <w:color w:val="0077CC"/>
            <w:kern w:val="32"/>
            <w:sz w:val="28"/>
            <w:szCs w:val="32"/>
            <w:u w:val="single"/>
            <w:shd w:val="clear" w:color="auto" w:fill="FFFFFF"/>
            <w:lang w:val="en-US" w:eastAsia="en-US" w:bidi="ar-SA"/>
          </w:rPr>
          <w:t>Number 216 Holdings Ltd. v. ING Insurance Co. of Canada, [2011] B.C.J. No. 2788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 Fitzpatrick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7,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February 11,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S103229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2788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1921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Number 216 Holdings Ltd., Plaintiff, and ING Insurance Company of Canada and in French, Compagnie D'Assurance Du Canada, and Porter &amp; McMillan (1992)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(74 paras.)</w:t>
      </w:r>
    </w:p>
    <w:p>
      <w:pPr>
        <w:jc w:val="both"/>
        <w:rPr>
          <w:rFonts w:ascii="arial" w:eastAsia="arial" w:hAnsi="arial" w:cs="arial"/>
          <w:sz w:val="20"/>
          <w:lang w:val="en-US" w:eastAsia="en-US" w:bidi="ar-SA"/>
        </w:rPr>
      </w:pPr>
      <w:bookmarkStart w:id="147" w:name="Counsel_36"/>
      <w:bookmarkEnd w:id="14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7"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G.J Collette, E.A. Orr-Ewing.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ING Insurance: C. Cavanagh.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Porter &amp; McMillan: M.M. Skorah, Q.C., S. Frost.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8" w:name="Judgment_36"/>
      <w:bookmarkEnd w:id="148"/>
      <w:r>
        <w:pict>
          <v:line id="_x0000_s1158" style="position:absolute;z-index:2517504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9" w:name="S.C. FITZPATRICK J. (orally)"/>
            <w:bookmarkEnd w:id="149"/>
            <w:r>
              <w:rPr>
                <w:rFonts w:ascii="arial" w:eastAsia="arial" w:hAnsi="arial" w:cs="arial"/>
                <w:b/>
                <w:color w:val="000000"/>
                <w:sz w:val="30"/>
                <w:lang w:val="en-US" w:eastAsia="en-US" w:bidi="ar-SA"/>
              </w:rPr>
              <w:t>S.C. FITZPATRICK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hearing of this matter involved two applications. Firstly, the defendants seek an order striking the notice requiring trial by jury filed August 26th, 2010. Secondly, the defendant ING Insurance Company of Canada and in French Compagnie D'Assurance ING Du Canada ("ING") seeks an order that a particular issue be severed from these proceedings and tried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Number 216 Holdings Ltd. ("Holdings") entered into a contract of insurance with ING with respect to certain property located in Prince George, British Columbia. The policy was effective from August 30, 2006 to August 30, 2007. The policy was secured by Holdings through an insurance broker, the defendant Porter &amp; McMillan (1992) Ltd. ("Porter"), who assisted in placing the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May 21, 2007, a fire substantially damaged or destroyed the property insured under the policy. On June 8, 2007, Holdings completed and filed a proof of loss form with ING. Around that same time, in early June 2007, ING retained David Bilkey as their solicitor in relation to the fire and the inevitable claim by Holdings under the insurance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August 1, 2007, ING advised Holdings that they were denying insurance coverage on the basis of their contention that the fire was intentionally set by an agent or employee of Holdings.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Holdings filed a writ of summons and statement of claim on January 3, 2008. The essence of the claim was that ING had breached the insurance policy by denying Holdings' claim. An amended statement of claim was later filed on August 1, 2009. Broadly speaking, Holdings' newly added claims against ING are that:</w:t>
      </w:r>
      <w:r>
        <w:rPr>
          <w:rFonts w:ascii="arial" w:eastAsia="arial" w:hAnsi="arial" w:cs="arial"/>
          <w:sz w:val="20"/>
          <w:lang w:val="en-US" w:eastAsia="en-US" w:bidi="ar-SA"/>
        </w:rPr>
        <w:cr/>
      </w:r>
    </w:p>
    <w:p>
      <w:pPr>
        <w:numPr>
          <w:numId w:val="2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ING has breached its obligations to act in good faith in denying the claim under what is termed a "peace of mind" contract;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ING had breached its duties to act in good faith by making unfounded allegations of arson, fraud and criminal conduct against Holdings;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ING has and has implemented a systematic corporate policy to delay, deny, defeat and frustrate coverage under the insurance policy without any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For the purpose of this application, I will refer to these new allegations as the "bad faith claim". Holdings seeks damages for the breach of contract and also aggravated and punitive damages and special costs arising from the bad faith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Pursuant to the originally filed statement of claim, Holdings' allegations against Porter are to the effect that Porter negligently advised Holdings as to insurance coverage limits under the policy, which it appears in retrospect were wholly inadequate.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ING defends this action on the basis of the arson allegation. With respect to the bad faith claim and in addition to an outright denial that it has acted in bad faith, ING contends that this claim is statute barred pursuant to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Porter also denies the allegations against it and pleads in the alternative that any loss was caused by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Holdings.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Consistent with the arson allegation, ING obtained an expert report on November 7, 2007, prepared by Chris Reed. Mr. Reed is an engineer employed by Senez Reed Calder Forensic Engineering Ltd. As one would expect, Mr. Reed's investigation involved determining where the fire originated and thereafter identifying potential ignition courses in the building. His 30 page report identified various sources as the basis for his conclusions, being his own observations, personal discussions and statements from other parties, some lab analysis, and a review of documentation and certain reference materials. Mr. Reed concluded that an incendiary act was the probable cause of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Holdings in turn obtained an investigation report from Richard van Leeuwen on October 21, 2009. Mr. van Leeuwen is an electrical engineer and the basis for his report is largely the same as was that for Mr. Reed. Mr. van Leeuwen concluded in his 49 page report that the most likely cause of the failure was the failure of an electrical connection.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Reed in turn prepared a responding report for the purposes of commenting on and rebutting the van Leeuwen report and to supplement his first report. His 19 page supplementary report dated December 2, 2010 confirms his previous conclusion that there was an incendiary act which was the probable cause of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August 26th, 2010, Holdings filed a notice requiring trial by jury. This matter is currently scheduled to proceed to trial commencing February 20, 2012 for 20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was evident from the submissions of all counsel on the applications, both of these applications are interrelated and a decision on one application may influence the decision on the other. For example, a decision to allow severance of a separate issue will inevitably reduce the issues and the evidence that may be potentially placed before a jury and would therefore factor into whether a jury trial is appropriate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Conversely, a decision to strike or maintain the jury notice has the potential to affect the severance issue, particularly if the jury notice is struck and if there are means of addressing any prejudice from non-severance where a judge alone is to hear the matter. For that reason, I have heard and considered both applications prior to coming to my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Both applications must necessarily involve a consideration by the court toward ensuring that there is a fair trial on the merits consistent with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and in particular Rule 1-3.</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Should the bad faith claim be severed?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ING applies to sever the bad faith claim from these proceedings relying on Rule 1-3 and Rule 22-5(6). ING refers to numerous authorities which support the proposition that severance can be considered by the court where a claim under an insurance policy is joined with a claim such as a bad faith claim. The oft cited decision of </w:t>
      </w:r>
      <w:r>
        <w:rPr>
          <w:rFonts w:ascii="arial" w:eastAsia="arial" w:hAnsi="arial" w:cs="arial"/>
          <w:i/>
          <w:color w:val="000000"/>
          <w:sz w:val="20"/>
          <w:lang w:val="en-US" w:eastAsia="en-US" w:bidi="ar-SA"/>
        </w:rPr>
        <w:t>Wonderful Ventures Ltd. v. Maylam</w:t>
      </w:r>
      <w:r>
        <w:rPr>
          <w:rFonts w:ascii="arial" w:eastAsia="arial" w:hAnsi="arial" w:cs="arial"/>
          <w:color w:val="000000"/>
          <w:sz w:val="20"/>
          <w:lang w:val="en-US" w:eastAsia="en-US" w:bidi="ar-SA"/>
        </w:rPr>
        <w:t xml:space="preserve">, </w:t>
      </w:r>
      <w:hyperlink r:id="rId777" w:history="1">
        <w:r>
          <w:rPr>
            <w:rFonts w:ascii="arial" w:eastAsia="arial" w:hAnsi="arial" w:cs="arial"/>
            <w:i/>
            <w:color w:val="0077CC"/>
            <w:sz w:val="20"/>
            <w:u w:val="single"/>
            <w:shd w:val="clear" w:color="auto" w:fill="FFFFFF"/>
            <w:lang w:val="en-US" w:eastAsia="en-US" w:bidi="ar-SA"/>
          </w:rPr>
          <w:t>2001 BCSC 775</w:t>
        </w:r>
      </w:hyperlink>
      <w:r>
        <w:rPr>
          <w:rFonts w:ascii="arial" w:eastAsia="arial" w:hAnsi="arial" w:cs="arial"/>
          <w:color w:val="000000"/>
          <w:sz w:val="20"/>
          <w:lang w:val="en-US" w:eastAsia="en-US" w:bidi="ar-SA"/>
        </w:rPr>
        <w:t xml:space="preserve"> at para. 22 described the analysis as doing justice between the parties while weighing the respective claims of prejudice that arise depending on whether or not severance is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ratio of </w:t>
      </w:r>
      <w:r>
        <w:rPr>
          <w:rFonts w:ascii="arial" w:eastAsia="arial" w:hAnsi="arial" w:cs="arial"/>
          <w:i/>
          <w:color w:val="000000"/>
          <w:sz w:val="20"/>
          <w:lang w:val="en-US" w:eastAsia="en-US" w:bidi="ar-SA"/>
        </w:rPr>
        <w:t>Wonderful Ventures</w:t>
      </w:r>
      <w:r>
        <w:rPr>
          <w:rFonts w:ascii="arial" w:eastAsia="arial" w:hAnsi="arial" w:cs="arial"/>
          <w:color w:val="000000"/>
          <w:sz w:val="20"/>
          <w:lang w:val="en-US" w:eastAsia="en-US" w:bidi="ar-SA"/>
        </w:rPr>
        <w:t xml:space="preserve"> was followed by this court in both </w:t>
      </w:r>
      <w:r>
        <w:rPr>
          <w:rFonts w:ascii="arial" w:eastAsia="arial" w:hAnsi="arial" w:cs="arial"/>
          <w:i/>
          <w:color w:val="000000"/>
          <w:sz w:val="20"/>
          <w:lang w:val="en-US" w:eastAsia="en-US" w:bidi="ar-SA"/>
        </w:rPr>
        <w:t>Stevens v. Sun Life Assurance Company of Canada</w:t>
      </w:r>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2004 BCSC 468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Rehmat v. Transamerica Life Canada</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2009 BCSC 495</w:t>
        </w:r>
      </w:hyperlink>
      <w:r>
        <w:rPr>
          <w:rFonts w:ascii="arial" w:eastAsia="arial" w:hAnsi="arial" w:cs="arial"/>
          <w:color w:val="000000"/>
          <w:sz w:val="20"/>
          <w:lang w:val="en-US" w:eastAsia="en-US" w:bidi="ar-SA"/>
        </w:rPr>
        <w:t xml:space="preserve">. In both cases, severance was ordered. Both </w:t>
      </w:r>
      <w:r>
        <w:rPr>
          <w:rFonts w:ascii="arial" w:eastAsia="arial" w:hAnsi="arial" w:cs="arial"/>
          <w:i/>
          <w:color w:val="000000"/>
          <w:sz w:val="20"/>
          <w:lang w:val="en-US" w:eastAsia="en-US" w:bidi="ar-SA"/>
        </w:rPr>
        <w:t>Stevens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Rehmat</w:t>
      </w:r>
      <w:r>
        <w:rPr>
          <w:rFonts w:ascii="arial" w:eastAsia="arial" w:hAnsi="arial" w:cs="arial"/>
          <w:color w:val="000000"/>
          <w:sz w:val="20"/>
          <w:lang w:val="en-US" w:eastAsia="en-US" w:bidi="ar-SA"/>
        </w:rPr>
        <w:t xml:space="preserve"> concerned claims under disability insurance policies. In the case of </w:t>
      </w:r>
      <w:r>
        <w:rPr>
          <w:rFonts w:ascii="arial" w:eastAsia="arial" w:hAnsi="arial" w:cs="arial"/>
          <w:i/>
          <w:color w:val="000000"/>
          <w:sz w:val="20"/>
          <w:lang w:val="en-US" w:eastAsia="en-US" w:bidi="ar-SA"/>
        </w:rPr>
        <w:t>Stevens</w:t>
      </w:r>
      <w:r>
        <w:rPr>
          <w:rFonts w:ascii="arial" w:eastAsia="arial" w:hAnsi="arial" w:cs="arial"/>
          <w:color w:val="000000"/>
          <w:sz w:val="20"/>
          <w:lang w:val="en-US" w:eastAsia="en-US" w:bidi="ar-SA"/>
        </w:rPr>
        <w:t>, the court considered a bad faith claim and in particular, allegations that there was a corporate strategy to improperly deny claims, such as are present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Stuart v. Manufacturers Life Insurance Company (dba Manulife Financial)</w:t>
      </w:r>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2004 BCSC 501</w:t>
        </w:r>
      </w:hyperlink>
      <w:r>
        <w:rPr>
          <w:rFonts w:ascii="arial" w:eastAsia="arial" w:hAnsi="arial" w:cs="arial"/>
          <w:color w:val="000000"/>
          <w:sz w:val="20"/>
          <w:lang w:val="en-US" w:eastAsia="en-US" w:bidi="ar-SA"/>
        </w:rPr>
        <w:t xml:space="preserve">, Master Groves (as he then was) was also dealing with a claim under disability insurance coupled with a claim of breach of good faith. Relying on decisions including </w:t>
      </w:r>
      <w:r>
        <w:rPr>
          <w:rFonts w:ascii="arial" w:eastAsia="arial" w:hAnsi="arial" w:cs="arial"/>
          <w:i/>
          <w:color w:val="000000"/>
          <w:sz w:val="20"/>
          <w:lang w:val="en-US" w:eastAsia="en-US" w:bidi="ar-SA"/>
        </w:rPr>
        <w:t>Wonderful Ventures</w:t>
      </w:r>
      <w:r>
        <w:rPr>
          <w:rFonts w:ascii="arial" w:eastAsia="arial" w:hAnsi="arial" w:cs="arial"/>
          <w:color w:val="000000"/>
          <w:sz w:val="20"/>
          <w:lang w:val="en-US" w:eastAsia="en-US" w:bidi="ar-SA"/>
        </w:rPr>
        <w:t>, Master Groves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Again, without oversimplifying matters, these cases stand for the general proposition that in this type of claim, claims which have their root in an insurance contract and in which a breach of duty of good faith is alleged, bifurcation can be considered and ordered by an analysis and a weighing of a number of factors.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factors seem to be as follows: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a continuation of the proceeding as one require the breach of privileged communications.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the advice of counsel be raised as a defence to the breach of duty of good faith claim. Would counsel essentially have to be a witness.</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an allegation of breach of good faith which is alleged to have its origin in post filing of the writ conduct by the defendant.</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the defendant have to retain new counsel.</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delay associated with the bifurcation of significant inconvenience, cost or expense to the plaintiff to outweigh any prejudice that the defendant might suffer, specifically in having to disclose privileged communications.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recent case of </w:t>
      </w:r>
      <w:r>
        <w:rPr>
          <w:rFonts w:ascii="arial" w:eastAsia="arial" w:hAnsi="arial" w:cs="arial"/>
          <w:i/>
          <w:color w:val="000000"/>
          <w:sz w:val="20"/>
          <w:lang w:val="en-US" w:eastAsia="en-US" w:bidi="ar-SA"/>
        </w:rPr>
        <w:t>Nayyar v. Manufacturers Life Insurance Company (dba Manulife Financial)</w:t>
      </w:r>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2010 BCSC 1588</w:t>
        </w:r>
      </w:hyperlink>
      <w:r>
        <w:rPr>
          <w:rFonts w:ascii="arial" w:eastAsia="arial" w:hAnsi="arial" w:cs="arial"/>
          <w:color w:val="000000"/>
          <w:sz w:val="20"/>
          <w:lang w:val="en-US" w:eastAsia="en-US" w:bidi="ar-SA"/>
        </w:rPr>
        <w:t xml:space="preserve">, likewise involved claims for disability benefits joined with allegations of bad faith concerning the defendant's corporate strategy and post-litigation conduct. Following </w:t>
      </w:r>
      <w:r>
        <w:rPr>
          <w:rFonts w:ascii="arial" w:eastAsia="arial" w:hAnsi="arial" w:cs="arial"/>
          <w:i/>
          <w:color w:val="000000"/>
          <w:sz w:val="20"/>
          <w:lang w:val="en-US" w:eastAsia="en-US" w:bidi="ar-SA"/>
        </w:rPr>
        <w:t>Wonderful Ventures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Stuart</w:t>
      </w:r>
      <w:r>
        <w:rPr>
          <w:rFonts w:ascii="arial" w:eastAsia="arial" w:hAnsi="arial" w:cs="arial"/>
          <w:color w:val="000000"/>
          <w:sz w:val="20"/>
          <w:lang w:val="en-US" w:eastAsia="en-US" w:bidi="ar-SA"/>
        </w:rPr>
        <w:t>, the court ordered the severance of the bad faith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turn now to the evidence relating to this issue. Ms. Besanger, a partner of Bilkey Quinn LLP, swore an affidavit for the purpose of this application confirming that her partner, David Bilkey, was retained by ING sometime in June 2007 in relation to all legal matters arising from the fire. Ms. Besanger further states in her affidavit that from that time, Mr. Bilkey was providing privileged advice to ING on the issue of good faith dealings with Holdings. This appears to have been confirmed based on her review of the file correspondence where she found evidence of privileged communications. She is informed by Mr. Bilkey that a trial on the bad faith issue may require ING to disclose privileged materials for the purpose of defending that claim. Further, she is informed that a trial of the issue of bad faith may require ING to call Mr. Bilkey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Counsel for Holdings refers to certain examination for discovery evidence of an ING representative, which indicated that Mr. Bilkey was retained on or about June 4, 2007, by ING at which time the investigation of the claim was still continuing. It appears that the purpose of retaining Mr. Bilkey was to establish privilege over the work product after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submissions of Holdings' counsel were to the effect that Mr. Bilkey was retained for the purpose of the investigation, not to obtain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While I do not doubt this evidence from the point of view that Mr. Bilkey was involved at the investigatory stage, it appears that he was also quite involved in advising ING from that time in other matters relating to the fire, including the bad faith claim. The unchallenged evidence of Ms. Besanger is to the effect that Mr. Bilkey was retained early in these proceedings just after the fire itself and continued to provide legal advice to ING throughout the matter, through to the commencement of proceedings and to the present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ING contends that it will suffer substantial prejudice if the bad faith claim is not severed for all of the reasons summarized in paragraph 18 in </w:t>
      </w:r>
      <w:r>
        <w:rPr>
          <w:rFonts w:ascii="arial" w:eastAsia="arial" w:hAnsi="arial" w:cs="arial"/>
          <w:i/>
          <w:color w:val="000000"/>
          <w:sz w:val="20"/>
          <w:lang w:val="en-US" w:eastAsia="en-US" w:bidi="ar-SA"/>
        </w:rPr>
        <w:t>Stuart</w:t>
      </w:r>
      <w:r>
        <w:rPr>
          <w:rFonts w:ascii="arial" w:eastAsia="arial" w:hAnsi="arial" w:cs="arial"/>
          <w:color w:val="000000"/>
          <w:sz w:val="20"/>
          <w:lang w:val="en-US" w:eastAsia="en-US" w:bidi="ar-SA"/>
        </w:rPr>
        <w:t>. They particular rely on the contention that if ING is required to defend both claims at the same time, there will necessarily be a disclosure of privileged solicitor/client communications as they relate to the bad faith claim, which will unduly prejudice the claim under the insurance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Further, ING says that given the relevance of evidence from Mr. Bilkey on the bad faith claim, Mr. Bilkey would, of necessity, be required to be called as a witness and he could not continue acting on behalf of ING in respect of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Counsel for Holdings suggests that the bad faith claim is restricted to the actions of ING in the period after receiving Holdings' claim and before the commencement of the litigation. The privilege issue was also addressed in </w:t>
      </w:r>
      <w:r>
        <w:rPr>
          <w:rFonts w:ascii="arial" w:eastAsia="arial" w:hAnsi="arial" w:cs="arial"/>
          <w:i/>
          <w:color w:val="000000"/>
          <w:sz w:val="20"/>
          <w:lang w:val="en-US" w:eastAsia="en-US" w:bidi="ar-SA"/>
        </w:rPr>
        <w:t>Wonderful Ventures</w:t>
      </w:r>
      <w:r>
        <w:rPr>
          <w:rFonts w:ascii="arial" w:eastAsia="arial" w:hAnsi="arial" w:cs="arial"/>
          <w:color w:val="000000"/>
          <w:sz w:val="20"/>
          <w:lang w:val="en-US" w:eastAsia="en-US" w:bidi="ar-SA"/>
        </w:rPr>
        <w:t xml:space="preserve"> in the context of allegations of bad faith during the investigation phase of the claim and prior to denying this claim. This arose from the characterization of the advice as solicitor/client privilege, as oppose to litigation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It is evident, in my view, that the actions of ING shortly after the fire have been put in issue by Holdings and that ING retained counsel to give advice in respect of those allegations or what were then potential allegations. The fact that Mr. Bilkey was retained at the time of the investigation of the claim does not detract from this fact, nor does it detract from the importance of the privilege communications between Mr. Bilkey and ING, which as Garson J., as she then was, said in para. 23 in </w:t>
      </w:r>
      <w:r>
        <w:rPr>
          <w:rFonts w:ascii="arial" w:eastAsia="arial" w:hAnsi="arial" w:cs="arial"/>
          <w:i/>
          <w:color w:val="000000"/>
          <w:sz w:val="20"/>
          <w:lang w:val="en-US" w:eastAsia="en-US" w:bidi="ar-SA"/>
        </w:rPr>
        <w:t>Wonderful Ventures</w:t>
      </w:r>
      <w:r>
        <w:rPr>
          <w:rFonts w:ascii="arial" w:eastAsia="arial" w:hAnsi="arial" w:cs="arial"/>
          <w:color w:val="000000"/>
          <w:sz w:val="20"/>
          <w:lang w:val="en-US" w:eastAsia="en-US" w:bidi="ar-SA"/>
        </w:rPr>
        <w:t xml:space="preserve"> is "fundamental to the legal system and should not be interfered with lightly."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Much of the submissions of Holdings' counsel centred on the adequacy of the evidence in terms of providing a foundation for the claim of privilege. It is clear that the affidavit of Ms. Besanger is what can be termed brief. The evidence on this issue is not in any great detail, but it appears that this approach is not without precedent: see </w:t>
      </w:r>
      <w:r>
        <w:rPr>
          <w:rFonts w:ascii="arial" w:eastAsia="arial" w:hAnsi="arial" w:cs="arial"/>
          <w:i/>
          <w:color w:val="000000"/>
          <w:sz w:val="20"/>
          <w:lang w:val="en-US" w:eastAsia="en-US" w:bidi="ar-SA"/>
        </w:rPr>
        <w:t>Stevens</w:t>
      </w:r>
      <w:r>
        <w:rPr>
          <w:rFonts w:ascii="arial" w:eastAsia="arial" w:hAnsi="arial" w:cs="arial"/>
          <w:color w:val="000000"/>
          <w:sz w:val="20"/>
          <w:lang w:val="en-US" w:eastAsia="en-US" w:bidi="ar-SA"/>
        </w:rPr>
        <w:t xml:space="preserve"> at para. 18, </w:t>
      </w:r>
      <w:r>
        <w:rPr>
          <w:rFonts w:ascii="arial" w:eastAsia="arial" w:hAnsi="arial" w:cs="arial"/>
          <w:i/>
          <w:color w:val="000000"/>
          <w:sz w:val="20"/>
          <w:lang w:val="en-US" w:eastAsia="en-US" w:bidi="ar-SA"/>
        </w:rPr>
        <w:t>Rehmat</w:t>
      </w:r>
      <w:r>
        <w:rPr>
          <w:rFonts w:ascii="arial" w:eastAsia="arial" w:hAnsi="arial" w:cs="arial"/>
          <w:color w:val="000000"/>
          <w:sz w:val="20"/>
          <w:lang w:val="en-US" w:eastAsia="en-US" w:bidi="ar-SA"/>
        </w:rPr>
        <w:t xml:space="preserve"> at para. 29, </w:t>
      </w:r>
      <w:r>
        <w:rPr>
          <w:rFonts w:ascii="arial" w:eastAsia="arial" w:hAnsi="arial" w:cs="arial"/>
          <w:i/>
          <w:color w:val="000000"/>
          <w:sz w:val="20"/>
          <w:lang w:val="en-US" w:eastAsia="en-US" w:bidi="ar-SA"/>
        </w:rPr>
        <w:t>Nayyar</w:t>
      </w:r>
      <w:r>
        <w:rPr>
          <w:rFonts w:ascii="arial" w:eastAsia="arial" w:hAnsi="arial" w:cs="arial"/>
          <w:color w:val="000000"/>
          <w:sz w:val="20"/>
          <w:lang w:val="en-US" w:eastAsia="en-US" w:bidi="ar-SA"/>
        </w:rPr>
        <w:t xml:space="preserve"> at paragraph 4 and </w:t>
      </w:r>
      <w:r>
        <w:rPr>
          <w:rFonts w:ascii="arial" w:eastAsia="arial" w:hAnsi="arial" w:cs="arial"/>
          <w:i/>
          <w:color w:val="000000"/>
          <w:sz w:val="20"/>
          <w:lang w:val="en-US" w:eastAsia="en-US" w:bidi="ar-SA"/>
        </w:rPr>
        <w:t>Stuart</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Generally speaking, meeting the onus of proving that severance is just in the circumstances does require some evidence. If privileged issues are the basis for the application, there must also be some evidence as to the circumstances of the retainer so that the court can determine whether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concern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Nevertheless, it is equally clear that providing that evidence without disclosing the very substance of the privileged communications is a very hard task to accomplish. In these circumstances, however, I am satisfied that the evidence of Ms. Besanger does establish the necessary evidentiary basis for the application to sever the bad faith claim based on potential disclosure of privileged communication.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Holdings also relies on s. 10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xml:space="preserve">, which provides in part that as far as possible, all matters in controversy between the parties shall be completely and finally determined and all multiplicity of legal proceedings concerning any of these matters is to be avoided. This court has in the past considered this type of application in the context of that section, along with various Ontario authorities considering similar legislation in that province: see </w:t>
      </w:r>
      <w:r>
        <w:rPr>
          <w:rFonts w:ascii="arial" w:eastAsia="arial" w:hAnsi="arial" w:cs="arial"/>
          <w:i/>
          <w:color w:val="000000"/>
          <w:sz w:val="20"/>
          <w:lang w:val="en-US" w:eastAsia="en-US" w:bidi="ar-SA"/>
        </w:rPr>
        <w:t>Stevens</w:t>
      </w:r>
      <w:r>
        <w:rPr>
          <w:rFonts w:ascii="arial" w:eastAsia="arial" w:hAnsi="arial" w:cs="arial"/>
          <w:color w:val="000000"/>
          <w:sz w:val="20"/>
          <w:lang w:val="en-US" w:eastAsia="en-US" w:bidi="ar-SA"/>
        </w:rPr>
        <w:t xml:space="preserve"> at paras. 36 to 41, </w:t>
      </w:r>
      <w:r>
        <w:rPr>
          <w:rFonts w:ascii="arial" w:eastAsia="arial" w:hAnsi="arial" w:cs="arial"/>
          <w:i/>
          <w:color w:val="000000"/>
          <w:sz w:val="20"/>
          <w:lang w:val="en-US" w:eastAsia="en-US" w:bidi="ar-SA"/>
        </w:rPr>
        <w:t>Rehmat</w:t>
      </w:r>
      <w:r>
        <w:rPr>
          <w:rFonts w:ascii="arial" w:eastAsia="arial" w:hAnsi="arial" w:cs="arial"/>
          <w:color w:val="000000"/>
          <w:sz w:val="20"/>
          <w:lang w:val="en-US" w:eastAsia="en-US" w:bidi="ar-SA"/>
        </w:rPr>
        <w:t xml:space="preserve"> at paras. 18 to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Clearly it is preferable to avoid multiple proceedings so that the issues can be determined in a fair and efficient manner. Nevertheless, a severance of certain issues involved in the action may be appropriate even in that context depending upon the circumstances. Accordingly while setting the stage for the proper approach on such an application, s. 10 certainly does not dictate any different approach than that taken in </w:t>
      </w:r>
      <w:r>
        <w:rPr>
          <w:rFonts w:ascii="arial" w:eastAsia="arial" w:hAnsi="arial" w:cs="arial"/>
          <w:i/>
          <w:color w:val="000000"/>
          <w:sz w:val="20"/>
          <w:lang w:val="en-US" w:eastAsia="en-US" w:bidi="ar-SA"/>
        </w:rPr>
        <w:t>Wonderful Ventures</w:t>
      </w:r>
      <w:r>
        <w:rPr>
          <w:rFonts w:ascii="arial" w:eastAsia="arial" w:hAnsi="arial" w:cs="arial"/>
          <w:color w:val="000000"/>
          <w:sz w:val="20"/>
          <w:lang w:val="en-US" w:eastAsia="en-US" w:bidi="ar-SA"/>
        </w:rPr>
        <w:t xml:space="preserve"> and the many cases, including </w:t>
      </w:r>
      <w:r>
        <w:rPr>
          <w:rFonts w:ascii="arial" w:eastAsia="arial" w:hAnsi="arial" w:cs="arial"/>
          <w:i/>
          <w:color w:val="000000"/>
          <w:sz w:val="20"/>
          <w:lang w:val="en-US" w:eastAsia="en-US" w:bidi="ar-SA"/>
        </w:rPr>
        <w:t>Rehmat</w:t>
      </w:r>
      <w:r>
        <w:rPr>
          <w:rFonts w:ascii="arial" w:eastAsia="arial" w:hAnsi="arial" w:cs="arial"/>
          <w:color w:val="000000"/>
          <w:sz w:val="20"/>
          <w:lang w:val="en-US" w:eastAsia="en-US" w:bidi="ar-SA"/>
        </w:rPr>
        <w:t>, that have followed and applied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think the same can be said for the decision relied on by Holdings, being </w:t>
      </w:r>
      <w:r>
        <w:rPr>
          <w:rFonts w:ascii="arial" w:eastAsia="arial" w:hAnsi="arial" w:cs="arial"/>
          <w:i/>
          <w:color w:val="000000"/>
          <w:sz w:val="20"/>
          <w:lang w:val="en-US" w:eastAsia="en-US" w:bidi="ar-SA"/>
        </w:rPr>
        <w:t>Randall v. Insurance Corp. of British Columbia</w:t>
      </w:r>
      <w:r>
        <w:rPr>
          <w:rFonts w:ascii="arial" w:eastAsia="arial" w:hAnsi="arial" w:cs="arial"/>
          <w:color w:val="000000"/>
          <w:sz w:val="20"/>
          <w:lang w:val="en-US" w:eastAsia="en-US" w:bidi="ar-SA"/>
        </w:rPr>
        <w:t xml:space="preserve">, 1999 B.C.J. No. 2330. I agree that that case is distinguishable for the same reasons identified in </w:t>
      </w:r>
      <w:r>
        <w:rPr>
          <w:rFonts w:ascii="arial" w:eastAsia="arial" w:hAnsi="arial" w:cs="arial"/>
          <w:i/>
          <w:color w:val="000000"/>
          <w:sz w:val="20"/>
          <w:lang w:val="en-US" w:eastAsia="en-US" w:bidi="ar-SA"/>
        </w:rPr>
        <w:t>Wonderful Ventures</w:t>
      </w:r>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my view, the continuation of the proceedings would likely require a breach of privileged communications between Mr. Bilkey and ING arising from a defence of the bad faith claim. Further, it is likely that Mr. Bilkey's advice to ING would necessarily be raised as a defence to that claim and that Mr. Bilkey would, of necessity, become a witness requiring ING to retain new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This analysis is, of course, not complete without some consideration of prejudice that would be suffered by Holdings in the event that severance is granted. As the cases well illustrate, there is added inconvenience, cost and expense to the plaintiff in that event. I am, however, persuaded that on the balance of the relative prejudice to Holdings and ING, the prejudice to ING is more significant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addition, I note, as did the court in </w:t>
      </w:r>
      <w:r>
        <w:rPr>
          <w:rFonts w:ascii="arial" w:eastAsia="arial" w:hAnsi="arial" w:cs="arial"/>
          <w:i/>
          <w:color w:val="000000"/>
          <w:sz w:val="20"/>
          <w:lang w:val="en-US" w:eastAsia="en-US" w:bidi="ar-SA"/>
        </w:rPr>
        <w:t>Wonderful Ventures</w:t>
      </w:r>
      <w:r>
        <w:rPr>
          <w:rFonts w:ascii="arial" w:eastAsia="arial" w:hAnsi="arial" w:cs="arial"/>
          <w:color w:val="000000"/>
          <w:sz w:val="20"/>
          <w:lang w:val="en-US" w:eastAsia="en-US" w:bidi="ar-SA"/>
        </w:rPr>
        <w:t>, that if Holdings does not succeed on the entitlement issue, there will be no need for a subsequent trial on the bad faith claim. If that occurs, the parties will have avoided all the attendant costs in pursuing and defending the bad faith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Accordingly I find that severance of the bad faith issue is appropriate in these circumstances and order that the allegations of bad faith in the amended statement of claim be severed from the balance of the allegations in the amended statement of claim. The bad faith claim will be tried at a later time, and I also order that discovery on the bad faith claim will be adjourned until after the conclusion of the other issues.</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Should the jury notice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Both ING and Porter apply to strike the Notice Requiring Trial by Jury filed by Holdings.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proper approach to this application was recently discussed by Mr. Justice Verhoeven in </w:t>
      </w:r>
      <w:r>
        <w:rPr>
          <w:rFonts w:ascii="arial" w:eastAsia="arial" w:hAnsi="arial" w:cs="arial"/>
          <w:i/>
          <w:color w:val="000000"/>
          <w:sz w:val="20"/>
          <w:lang w:val="en-US" w:eastAsia="en-US" w:bidi="ar-SA"/>
        </w:rPr>
        <w:t>Skretting Canada Inc. v. Westaqua Commodity Group Ltd.</w:t>
      </w:r>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2010 BCSC 1614</w:t>
        </w:r>
      </w:hyperlink>
      <w:r>
        <w:rPr>
          <w:rFonts w:ascii="arial" w:eastAsia="arial" w:hAnsi="arial" w:cs="arial"/>
          <w:color w:val="000000"/>
          <w:sz w:val="20"/>
          <w:lang w:val="en-US" w:eastAsia="en-US" w:bidi="ar-SA"/>
        </w:rPr>
        <w:t xml:space="preserve"> at paras. 45 to 49. In that case, Verhoeven J. states that the application before me concerns an exercise of court's discretion, a matter that was not in issue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Secondly, Verhoeven J. refers to the proposition that a jury trial is a presumptive right and it is only where the judge is satisfied that the issues cannot be tried fairly by a jury that the jury notice should be struck. The onus of satisfying the court on such an application rests on the applicant. A party is, of course, able to apply to strike the jury notice by establishing certain circumstances as set out in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including Rule 12-6(5).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This court in </w:t>
      </w:r>
      <w:r>
        <w:rPr>
          <w:rFonts w:ascii="arial" w:eastAsia="arial" w:hAnsi="arial" w:cs="arial"/>
          <w:i/>
          <w:color w:val="000000"/>
          <w:sz w:val="20"/>
          <w:lang w:val="en-US" w:eastAsia="en-US" w:bidi="ar-SA"/>
        </w:rPr>
        <w:t>Nichols v. Gray</w:t>
      </w:r>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(1978), 9 B.C.L.R. 5</w:t>
        </w:r>
      </w:hyperlink>
      <w:r>
        <w:rPr>
          <w:rFonts w:ascii="arial" w:eastAsia="arial" w:hAnsi="arial" w:cs="arial"/>
          <w:color w:val="000000"/>
          <w:sz w:val="20"/>
          <w:lang w:val="en-US" w:eastAsia="en-US" w:bidi="ar-SA"/>
        </w:rPr>
        <w:t xml:space="preserve"> (C.A.), as followed in </w:t>
      </w:r>
      <w:r>
        <w:rPr>
          <w:rFonts w:ascii="arial" w:eastAsia="arial" w:hAnsi="arial" w:cs="arial"/>
          <w:i/>
          <w:color w:val="000000"/>
          <w:sz w:val="20"/>
          <w:lang w:val="en-US" w:eastAsia="en-US" w:bidi="ar-SA"/>
        </w:rPr>
        <w:t>Lomax v. Weins</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2003 BCSC 396</w:t>
        </w:r>
      </w:hyperlink>
      <w:r>
        <w:rPr>
          <w:rFonts w:ascii="arial" w:eastAsia="arial" w:hAnsi="arial" w:cs="arial"/>
          <w:color w:val="000000"/>
          <w:sz w:val="20"/>
          <w:lang w:val="en-US" w:eastAsia="en-US" w:bidi="ar-SA"/>
        </w:rPr>
        <w:t xml:space="preserve"> at para. 25, has stated that the applicant must "clearly" bring themselves within the circumstances set out in that rule. Further, in </w:t>
      </w:r>
      <w:r>
        <w:rPr>
          <w:rFonts w:ascii="arial" w:eastAsia="arial" w:hAnsi="arial" w:cs="arial"/>
          <w:i/>
          <w:color w:val="000000"/>
          <w:sz w:val="20"/>
          <w:lang w:val="en-US" w:eastAsia="en-US" w:bidi="ar-SA"/>
        </w:rPr>
        <w:t>Gulamani v. Chandra</w:t>
      </w:r>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2009 BCSC 1042</w:t>
        </w:r>
      </w:hyperlink>
      <w:r>
        <w:rPr>
          <w:rFonts w:ascii="arial" w:eastAsia="arial" w:hAnsi="arial" w:cs="arial"/>
          <w:color w:val="000000"/>
          <w:sz w:val="20"/>
          <w:lang w:val="en-US" w:eastAsia="en-US" w:bidi="ar-SA"/>
        </w:rPr>
        <w:t>, Madam Justice Arnold-Bailey at para. 43 described the threshold as "relatively high, even in the context of a long trial with many difficult legal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this case, ING and Porter rely specifically on Rule 12-6(5)(i) and (ii). Essentially, they assert that the issues will require a scientific investigation that cannot be made conveniently with a jury, or alternatively, the issues are of an intricate or complex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Porter also contended that the jury notice should be struck under Rule 12-6(2)(j) on the basis that the sole or principal question at issue is one of construction of the insurance contract, citing </w:t>
      </w:r>
      <w:r>
        <w:rPr>
          <w:rFonts w:ascii="arial" w:eastAsia="arial" w:hAnsi="arial" w:cs="arial"/>
          <w:i/>
          <w:color w:val="000000"/>
          <w:sz w:val="20"/>
          <w:lang w:val="en-US" w:eastAsia="en-US" w:bidi="ar-SA"/>
        </w:rPr>
        <w:t>Bell v. AXA Pacific Insurance Co.</w:t>
      </w:r>
      <w:r>
        <w:rPr>
          <w:rFonts w:ascii="arial" w:eastAsia="arial" w:hAnsi="arial" w:cs="arial"/>
          <w:color w:val="000000"/>
          <w:sz w:val="20"/>
          <w:lang w:val="en-US" w:eastAsia="en-US" w:bidi="ar-SA"/>
        </w:rPr>
        <w:t xml:space="preserve">, </w:t>
      </w:r>
      <w:hyperlink r:id="rId786" w:history="1">
        <w:r>
          <w:rPr>
            <w:rFonts w:ascii="arial" w:eastAsia="arial" w:hAnsi="arial" w:cs="arial"/>
            <w:i/>
            <w:color w:val="0077CC"/>
            <w:sz w:val="20"/>
            <w:u w:val="single"/>
            <w:shd w:val="clear" w:color="auto" w:fill="FFFFFF"/>
            <w:lang w:val="en-US" w:eastAsia="en-US" w:bidi="ar-SA"/>
          </w:rPr>
          <w:t>1997 CanLII 2487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Han v. Cho</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2008 BCSC 1192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Rehmat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Porter says that the contract of insurance must be construed in the context of the insurance claim in the first instance and will be the central issue regarding the bad faith. With respect, I disagree. I do not consider that the insurance contract can be so characterized. In fact, I note that ING does not make this assertion, despite being the party to the insurance contract and needless to say, being the party to meet any issue arising from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seems to be typical on these types of application, ING and Porter emphasize the complexity of the evidence and issues that will be addressed at the trial and say that it is not feasible to have a jury deal with these matters. Conversely, Holdings describes these matters in much simpler terms and contends that a jury is quite able to deal with the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Factors cited in support of striking the jury notice include:</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trial is presently set for 20 days;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case involved prolonged examination and understanding of complex fire cause and origin analysis, including terminology and information of a technical and hypothetical nature;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the plaintiff is a pivotal issue and credibility findings will affect and interrelate with technical expert evidence;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various contractual interpretation issues alleged by Holdings;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raise various legal issues relating to items such as agency, competency of experts, advisers, adjusters and agents, good faith nature of product, corporate policies and entitlement to aggravated and punitive damages;</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direct contradiction between the experts called at trial;</w:t>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trier of facts will be required to relate concepts from area to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 begin with a consideration of the issues under Rule 12-6(5)(a)(i). As discussed in </w:t>
      </w:r>
      <w:r>
        <w:rPr>
          <w:rFonts w:ascii="arial" w:eastAsia="arial" w:hAnsi="arial" w:cs="arial"/>
          <w:i/>
          <w:color w:val="000000"/>
          <w:sz w:val="20"/>
          <w:lang w:val="en-US" w:eastAsia="en-US" w:bidi="ar-SA"/>
        </w:rPr>
        <w:t>Gulamani</w:t>
      </w:r>
      <w:r>
        <w:rPr>
          <w:rFonts w:ascii="arial" w:eastAsia="arial" w:hAnsi="arial" w:cs="arial"/>
          <w:color w:val="000000"/>
          <w:sz w:val="20"/>
          <w:lang w:val="en-US" w:eastAsia="en-US" w:bidi="ar-SA"/>
        </w:rPr>
        <w:t xml:space="preserve"> at para. 27 and following, I must first determine whether the issues require a scientific investigation. In this case, I have no hesitation in finding that a jury would be required to consider and weigh the expert evidence to be provided by both Mr. Reed and Mr. van Leeuwen on the issue of whether or not the fire was deliberately set. They have both produced technical reports based on their expertise in fire investigations, and the matters in issue will be beyond the normal understanding or knowledge of most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second part of the test involves a consideration of whether the scientific investigation can be made conveniently with a jury present. That matter was recently discussed by Madam Justice D.M. Smith (as she then was), in </w:t>
      </w:r>
      <w:r>
        <w:rPr>
          <w:rFonts w:ascii="arial" w:eastAsia="arial" w:hAnsi="arial" w:cs="arial"/>
          <w:i/>
          <w:color w:val="000000"/>
          <w:sz w:val="20"/>
          <w:lang w:val="en-US" w:eastAsia="en-US" w:bidi="ar-SA"/>
        </w:rPr>
        <w:t>Lomax</w:t>
      </w:r>
      <w:r>
        <w:rPr>
          <w:rFonts w:ascii="arial" w:eastAsia="arial" w:hAnsi="arial" w:cs="arial"/>
          <w:color w:val="000000"/>
          <w:sz w:val="20"/>
          <w:lang w:val="en-US" w:eastAsia="en-US" w:bidi="ar-SA"/>
        </w:rPr>
        <w:t xml:space="preserve"> at paras. 32 to 38. After summarizing authorities which have considered the issue, she enunciated the test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In short, the question of whether a scientific investigation can conveniently be made before a jury will turn on whether that forum can ensure the proper conduct and management of the trial in the interests of justice for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It is abundantly clear that the fact that there is expert evidence to be considered does not inevitably lead to the conclusion that the matter cannot be conveniently heard by a jury. In </w:t>
      </w:r>
      <w:r>
        <w:rPr>
          <w:rFonts w:ascii="arial" w:eastAsia="arial" w:hAnsi="arial" w:cs="arial"/>
          <w:i/>
          <w:color w:val="000000"/>
          <w:sz w:val="20"/>
          <w:lang w:val="en-US" w:eastAsia="en-US" w:bidi="ar-SA"/>
        </w:rPr>
        <w:t>Gulamani</w:t>
      </w:r>
      <w:r>
        <w:rPr>
          <w:rFonts w:ascii="arial" w:eastAsia="arial" w:hAnsi="arial" w:cs="arial"/>
          <w:color w:val="000000"/>
          <w:sz w:val="20"/>
          <w:lang w:val="en-US" w:eastAsia="en-US" w:bidi="ar-SA"/>
        </w:rPr>
        <w:t>, Arnold-Bailey J.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 Juries in this province are held to be informed and intelligent and capable of assessing expert evidence where it is properly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cases referred to me by ING on this issue are, in my view, clearly distinguishable from the present case. In </w:t>
      </w:r>
      <w:r>
        <w:rPr>
          <w:rFonts w:ascii="arial" w:eastAsia="arial" w:hAnsi="arial" w:cs="arial"/>
          <w:i/>
          <w:color w:val="000000"/>
          <w:sz w:val="20"/>
          <w:lang w:val="en-US" w:eastAsia="en-US" w:bidi="ar-SA"/>
        </w:rPr>
        <w:t>Lomax</w:t>
      </w:r>
      <w:r>
        <w:rPr>
          <w:rFonts w:ascii="arial" w:eastAsia="arial" w:hAnsi="arial" w:cs="arial"/>
          <w:color w:val="000000"/>
          <w:sz w:val="20"/>
          <w:lang w:val="en-US" w:eastAsia="en-US" w:bidi="ar-SA"/>
        </w:rPr>
        <w:t xml:space="preserve">, the court was considering a personal injury claim where there was substantial expert medical evidence, substantial documentary evidence and there were issues about how the evidence would be presented at trial. In those circumstances, the jury notice in respect of the upcoming 20-day trial was struck. Similarly in </w:t>
      </w:r>
      <w:r>
        <w:rPr>
          <w:rFonts w:ascii="arial" w:eastAsia="arial" w:hAnsi="arial" w:cs="arial"/>
          <w:i/>
          <w:color w:val="000000"/>
          <w:sz w:val="20"/>
          <w:lang w:val="en-US" w:eastAsia="en-US" w:bidi="ar-SA"/>
        </w:rPr>
        <w:t>Gulamani</w:t>
      </w:r>
      <w:r>
        <w:rPr>
          <w:rFonts w:ascii="arial" w:eastAsia="arial" w:hAnsi="arial" w:cs="arial"/>
          <w:color w:val="000000"/>
          <w:sz w:val="20"/>
          <w:lang w:val="en-US" w:eastAsia="en-US" w:bidi="ar-SA"/>
        </w:rPr>
        <w:t>, there were substantial expert medical reports in addition to complex legal issues arising from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this case, at least with respect to the first part of the trial on the entitlement and agency issues, the sole issue arising from the scientific investigation is whether the fire was deliberately set. In my view, the exploration and consideration of that issue, even through the auspices of expert reports, does not mean that a properly instructed jury would be unable to properly and conveniently deal with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will turn now to the alternate argument under Rule 12-6(5)(ii), namely that the issues are of an intricate or complex character. Firstly, it necessarily follows from my decision on the severance issue that those issues relating to the bad faith claim would bifurcate the issues before the jury on the first stage of the trial, and will lessen the number of the issues to be determined at each stage. Nevertheless ING submits that there are various factors that will need to be addressed by the jury even in these circumstances which make the matter sufficiently complex. Accordingly ING submits that a jury trial is not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ING's counsel relies on the technical evidence required as outlined in the expert reports above, the necessary credibility of witnesses that will need to be assessed and the interrelation between all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At the first stage of the trial, in addition to the issues relating to entitlement under the insurance policy, the issues involving Porter will also be addressed. In this case, the allegations against Porter include:</w:t>
      </w:r>
      <w:r>
        <w:rPr>
          <w:rFonts w:ascii="arial" w:eastAsia="arial" w:hAnsi="arial" w:cs="arial"/>
          <w:sz w:val="20"/>
          <w:lang w:val="en-US" w:eastAsia="en-US" w:bidi="ar-SA"/>
        </w:rPr>
        <w:cr/>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they failed to reasonably estimate the replacement costs of the building;</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they failed to obtain an adequate appraisal of the building;</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whether they relied on an appraisal that they knew or ought to have known did not adequately estimate the replacement cost of the building;</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whether they knew or ought to have known that their appraisal did not adequately estimate the replacement costs of the building but then proceeded to recommend coverage to the plaintiff based on that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ING and Porter rely on the cumulative effect of all the issues to be dealt with in support of their applications. Porter's counsel refers to the decision of </w:t>
      </w:r>
      <w:r>
        <w:rPr>
          <w:rFonts w:ascii="arial" w:eastAsia="arial" w:hAnsi="arial" w:cs="arial"/>
          <w:i/>
          <w:color w:val="000000"/>
          <w:sz w:val="20"/>
          <w:lang w:val="en-US" w:eastAsia="en-US" w:bidi="ar-SA"/>
        </w:rPr>
        <w:t>MacDonald v. Smith</w:t>
      </w:r>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(1983) 48 B.C.L.R. 285</w:t>
        </w:r>
      </w:hyperlink>
      <w:r>
        <w:rPr>
          <w:rFonts w:ascii="arial" w:eastAsia="arial" w:hAnsi="arial" w:cs="arial"/>
          <w:color w:val="000000"/>
          <w:sz w:val="20"/>
          <w:lang w:val="en-US" w:eastAsia="en-US" w:bidi="ar-SA"/>
        </w:rPr>
        <w:t xml:space="preserve"> at paras. 18 to 19 to the effect that a combination of issues may result in the issues becoming sufficiently intricate or complex in character so as to trigger the striking of the jury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Porter's counsel has also referred me to the decision in </w:t>
      </w:r>
      <w:r>
        <w:rPr>
          <w:rFonts w:ascii="arial" w:eastAsia="arial" w:hAnsi="arial" w:cs="arial"/>
          <w:i/>
          <w:color w:val="000000"/>
          <w:sz w:val="20"/>
          <w:lang w:val="en-US" w:eastAsia="en-US" w:bidi="ar-SA"/>
        </w:rPr>
        <w:t>Andersen v. Porter</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2000 BCSC 1000</w:t>
        </w:r>
      </w:hyperlink>
      <w:r>
        <w:rPr>
          <w:rFonts w:ascii="arial" w:eastAsia="arial" w:hAnsi="arial" w:cs="arial"/>
          <w:color w:val="000000"/>
          <w:sz w:val="20"/>
          <w:lang w:val="en-US" w:eastAsia="en-US" w:bidi="ar-SA"/>
        </w:rPr>
        <w:t xml:space="preserve"> at para. 14, which lists various factors to be considered as to whether a matter may be considered "intricate or complex." Those factors applicable to these proceedings include a multiplicity of parties, the duration of the trial, the volume of expert testimony, issues of standard of care, the use of familiar terms, the apportionment of fault, assessment of loss, novel applications of the law, deliberation time of the jury and preservation of the civil jury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 have been referred to two decisions where the court has struck the jury notice in circumstances where the issues were sufficiently intricate and complex: </w:t>
      </w:r>
      <w:r>
        <w:rPr>
          <w:rFonts w:ascii="arial" w:eastAsia="arial" w:hAnsi="arial" w:cs="arial"/>
          <w:i/>
          <w:color w:val="000000"/>
          <w:sz w:val="20"/>
          <w:lang w:val="en-US" w:eastAsia="en-US" w:bidi="ar-SA"/>
        </w:rPr>
        <w:t>Yewdale v. Insurance Corp. of British Columbia</w:t>
      </w:r>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(1994), 1 B.C.L.R. (3d) 278</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Skretting</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Yewdale</w:t>
      </w:r>
      <w:r>
        <w:rPr>
          <w:rFonts w:ascii="arial" w:eastAsia="arial" w:hAnsi="arial" w:cs="arial"/>
          <w:color w:val="000000"/>
          <w:sz w:val="20"/>
          <w:lang w:val="en-US" w:eastAsia="en-US" w:bidi="ar-SA"/>
        </w:rPr>
        <w:t xml:space="preserve">, there were multiple defendants with different sets of duties and standards, allegations of breach of contract, voluminous documents, alternative legal theories, questions as to apportionment of liability and potential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my view, the matters before the court in </w:t>
      </w:r>
      <w:r>
        <w:rPr>
          <w:rFonts w:ascii="arial" w:eastAsia="arial" w:hAnsi="arial" w:cs="arial"/>
          <w:i/>
          <w:color w:val="000000"/>
          <w:sz w:val="20"/>
          <w:lang w:val="en-US" w:eastAsia="en-US" w:bidi="ar-SA"/>
        </w:rPr>
        <w:t>Yewdale</w:t>
      </w:r>
      <w:r>
        <w:rPr>
          <w:rFonts w:ascii="arial" w:eastAsia="arial" w:hAnsi="arial" w:cs="arial"/>
          <w:color w:val="000000"/>
          <w:sz w:val="20"/>
          <w:lang w:val="en-US" w:eastAsia="en-US" w:bidi="ar-SA"/>
        </w:rPr>
        <w:t xml:space="preserve"> were substantially more complex than the issues in this matter. Similarly in </w:t>
      </w:r>
      <w:r>
        <w:rPr>
          <w:rFonts w:ascii="arial" w:eastAsia="arial" w:hAnsi="arial" w:cs="arial"/>
          <w:i/>
          <w:color w:val="000000"/>
          <w:sz w:val="20"/>
          <w:lang w:val="en-US" w:eastAsia="en-US" w:bidi="ar-SA"/>
        </w:rPr>
        <w:t>Skretting</w:t>
      </w:r>
      <w:r>
        <w:rPr>
          <w:rFonts w:ascii="arial" w:eastAsia="arial" w:hAnsi="arial" w:cs="arial"/>
          <w:color w:val="000000"/>
          <w:sz w:val="20"/>
          <w:lang w:val="en-US" w:eastAsia="en-US" w:bidi="ar-SA"/>
        </w:rPr>
        <w:t>, the court was considering a product liability case which had multiple parties, including third party proceedings with some 18 identified legal or mixed factual and legal issues to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this case, there are two main issues to be determined in the first instance: whether or not the fire was deliberately set and if so, was Holdings responsible for doing so. There are technical issues on the first point. If the fire was accidental, Holdings will succeed since there is no issue that the policy would cover the loss in that event. If the fire was as a result of arson, then the trier of fact will be required to consider who was responsible for the arson. This will no doubt include matters of credibility with respect to the various witnesses, but I do not see any difficulty in a jury making that determination and deciding whether or not ING has proved the arson and that Holdings was responsible for the 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first stage of the trial necessarily involves Porter. The claim in that respect is fairly straightforward. The issue is whether Porter was negligent in respect of its actions and possibly inactions in assisting Holdings in obtaining coverage on its property. Again, I do not see that that issue raises any particular elements of complexity or intricacy that a jury cannot adequately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severance of the bad faith claim presents another set of issues for the second trial, if needed, but again, I do not see any difficulty in a jury dealing with those issues. In fact, I note from the Supreme Court of Canada decision in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a case which deals with an insurer's duty of good faith and fair dealing, that a bad faith claim was decided in the first instance by an Ontario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 have been referred to various authorities by Holdings where this court has expressed confidence in a jury handling issues such as are raised in this proceeding either at the first stage or the second stage. Master McCallum came to such a conclusion in a case involving allegations of breach of contract, bad faith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 disability insurer and an insurance broker where he refused to strike a jury notice: see </w:t>
      </w:r>
      <w:r>
        <w:rPr>
          <w:rFonts w:ascii="arial" w:eastAsia="arial" w:hAnsi="arial" w:cs="arial"/>
          <w:i/>
          <w:color w:val="000000"/>
          <w:sz w:val="20"/>
          <w:lang w:val="en-US" w:eastAsia="en-US" w:bidi="ar-SA"/>
        </w:rPr>
        <w:t>Halldorson v. Westbury Canadian Life Insurance Co.</w:t>
      </w:r>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[1996] B.C.J. No. 1187</w:t>
        </w:r>
      </w:hyperlink>
      <w:r>
        <w:rPr>
          <w:rFonts w:ascii="arial" w:eastAsia="arial" w:hAnsi="arial" w:cs="arial"/>
          <w:color w:val="000000"/>
          <w:sz w:val="20"/>
          <w:lang w:val="en-US" w:eastAsia="en-US" w:bidi="ar-SA"/>
        </w:rPr>
        <w:t xml:space="preserve"> at paras. 12 to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Naicker v. Great West Life Assurance Company</w:t>
      </w:r>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2002 BCSC 443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Penner v. Great-West Life Assurance Co.</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2002 BCSC 1131</w:t>
        </w:r>
      </w:hyperlink>
      <w:r>
        <w:rPr>
          <w:rFonts w:ascii="arial" w:eastAsia="arial" w:hAnsi="arial" w:cs="arial"/>
          <w:color w:val="000000"/>
          <w:sz w:val="20"/>
          <w:lang w:val="en-US" w:eastAsia="en-US" w:bidi="ar-SA"/>
        </w:rPr>
        <w:t xml:space="preserve">, also refused to strike a jury notice in an action against an insurer for breach of contract and bad faith. On the issue of an action involving allegations of breach of bad faith being heard by a jury, see also </w:t>
      </w:r>
      <w:r>
        <w:rPr>
          <w:rFonts w:ascii="arial" w:eastAsia="arial" w:hAnsi="arial" w:cs="arial"/>
          <w:i/>
          <w:color w:val="000000"/>
          <w:sz w:val="20"/>
          <w:lang w:val="en-US" w:eastAsia="en-US" w:bidi="ar-SA"/>
        </w:rPr>
        <w:t>Larlee v. Manufacturers Life Insurance Company</w:t>
      </w:r>
      <w:r>
        <w:rPr>
          <w:rFonts w:ascii="arial" w:eastAsia="arial" w:hAnsi="arial" w:cs="arial"/>
          <w:color w:val="000000"/>
          <w:sz w:val="20"/>
          <w:lang w:val="en-US" w:eastAsia="en-US" w:bidi="ar-SA"/>
        </w:rPr>
        <w:t xml:space="preserve">, </w:t>
      </w:r>
      <w:hyperlink r:id="rId794" w:history="1">
        <w:r>
          <w:rPr>
            <w:rFonts w:ascii="arial" w:eastAsia="arial" w:hAnsi="arial" w:cs="arial"/>
            <w:i/>
            <w:color w:val="0077CC"/>
            <w:sz w:val="20"/>
            <w:u w:val="single"/>
            <w:shd w:val="clear" w:color="auto" w:fill="FFFFFF"/>
            <w:lang w:val="en-US" w:eastAsia="en-US" w:bidi="ar-SA"/>
          </w:rPr>
          <w:t>2006 BCSC 1497</w:t>
        </w:r>
      </w:hyperlink>
      <w:r>
        <w:rPr>
          <w:rFonts w:ascii="arial" w:eastAsia="arial" w:hAnsi="arial" w:cs="arial"/>
          <w:color w:val="000000"/>
          <w:sz w:val="20"/>
          <w:lang w:val="en-US" w:eastAsia="en-US" w:bidi="ar-SA"/>
        </w:rPr>
        <w:t xml:space="preserve"> at paras. 18 to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During the first phase of the proceeding, there will be a trial with respect to the terms of the insurance policy. Holdings has cited to me various authorities that support the view that juries are quite able to deal with issues that arise in relation to contract interpretation: see </w:t>
      </w:r>
      <w:r>
        <w:rPr>
          <w:rFonts w:ascii="arial" w:eastAsia="arial" w:hAnsi="arial" w:cs="arial"/>
          <w:i/>
          <w:color w:val="000000"/>
          <w:sz w:val="20"/>
          <w:lang w:val="en-US" w:eastAsia="en-US" w:bidi="ar-SA"/>
        </w:rPr>
        <w:t>Parmar v. Blenz the Canadian Coffee Company Ltd.</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2008 BCSC 1338</w:t>
        </w:r>
      </w:hyperlink>
      <w:r>
        <w:rPr>
          <w:rFonts w:ascii="arial" w:eastAsia="arial" w:hAnsi="arial" w:cs="arial"/>
          <w:color w:val="000000"/>
          <w:sz w:val="20"/>
          <w:lang w:val="en-US" w:eastAsia="en-US" w:bidi="ar-SA"/>
        </w:rPr>
        <w:t xml:space="preserve"> at paras. 19 and 54; and </w:t>
      </w:r>
      <w:r>
        <w:rPr>
          <w:rFonts w:ascii="arial" w:eastAsia="arial" w:hAnsi="arial" w:cs="arial"/>
          <w:i/>
          <w:color w:val="000000"/>
          <w:sz w:val="20"/>
          <w:lang w:val="en-US" w:eastAsia="en-US" w:bidi="ar-SA"/>
        </w:rPr>
        <w:t>Manley v. Chilliwack General Hospital Society</w:t>
      </w:r>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2000 BCSC 649</w:t>
        </w:r>
      </w:hyperlink>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Similarly the allegations concerning Porter are not of such complexity that a well-charged jury will be incapable of dealing with the issues: see </w:t>
      </w:r>
      <w:r>
        <w:rPr>
          <w:rFonts w:ascii="arial" w:eastAsia="arial" w:hAnsi="arial" w:cs="arial"/>
          <w:i/>
          <w:color w:val="000000"/>
          <w:sz w:val="20"/>
          <w:lang w:val="en-US" w:eastAsia="en-US" w:bidi="ar-SA"/>
        </w:rPr>
        <w:t>Halldorson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Having considered the matter at some length, I am not persuaded that the issues raised in this matter, and in particular the issues to be raised at the two separate trials to be held, are of a sufficiently intricate or complex character that it is inappropriate that a jury hear the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Accordingly, it is my conclusion that ING and Porter have not met the onus required to strike the notice requiring trial by jury, and accordingly the applications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Is there anything arising from my reasons, counsel, that need to be addressed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ORR-EWING: I don't think so, My Lady.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FROST: No, My Lady, other than costs, I suppose,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COURT: Is there anything, Mr. Cavanagh?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CAVANAGH: Nothing other than as my friends have indicated, just with respect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ORR-EWING: In terms of the -- there's two separate applications here. In terms of the jury strike, it would be my submission that perhaps it could be costs in any event of the cause. Simply for the fact that we had to respond to this application from the -- it was not necessitated out of the litigation. It was an application brought by ING and Porter McMillan.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COURT: Well, I think in the circumstances, I can really only describe this as a draw in the sense that one of the applications was allowed, the severance issue, and the applications to strike the jury notice were similarly dismissed on the other side. So in circumstances, I think a fair disposition here is no costs, in light of the two results. All right.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 FITZPATRICK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9" style="position:absolute;z-index:251798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7"/>
          <w:headerReference w:type="default" r:id="rId798"/>
          <w:footerReference w:type="even" r:id="rId799"/>
          <w:footerReference w:type="default" r:id="rId800"/>
          <w:headerReference w:type="first" r:id="rId801"/>
          <w:footerReference w:type="first" r:id="rId80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03" w:history="1">
        <w:r>
          <w:rPr>
            <w:rFonts w:ascii="arial" w:eastAsia="arial" w:hAnsi="arial" w:cs="arial"/>
            <w:b/>
            <w:bCs/>
            <w:i/>
            <w:color w:val="0077CC"/>
            <w:kern w:val="32"/>
            <w:sz w:val="28"/>
            <w:szCs w:val="32"/>
            <w:u w:val="single"/>
            <w:shd w:val="clear" w:color="auto" w:fill="FFFFFF"/>
            <w:lang w:val="en-US" w:eastAsia="en-US" w:bidi="ar-SA"/>
          </w:rPr>
          <w:t>Omer v. Badshah, [2019] B.C.J. No. 2008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T.A. Schultes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December 3-6, 2018.</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October 23, 2019.</w:t>
      </w:r>
    </w:p>
    <w:p>
      <w:pPr>
        <w:spacing w:before="120" w:line="260" w:lineRule="atLeast"/>
        <w:jc w:val="center"/>
        <w:rPr>
          <w:lang w:val="en-US" w:eastAsia="en-US" w:bidi="ar-SA"/>
        </w:rPr>
      </w:pPr>
      <w:r>
        <w:rPr>
          <w:rFonts w:ascii="arial" w:eastAsia="arial" w:hAnsi="arial" w:cs="arial"/>
          <w:color w:val="000000"/>
          <w:sz w:val="20"/>
          <w:lang w:val="en-US" w:eastAsia="en-US" w:bidi="ar-SA"/>
        </w:rPr>
        <w:t>Docket: S180201</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New Westminster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[2019] B.C.J. No. 2008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2019 BCSC 1814</w:t>
      </w:r>
    </w:p>
    <w:p>
      <w:pPr>
        <w:spacing w:before="120" w:line="260" w:lineRule="atLeast"/>
        <w:rPr>
          <w:lang w:val="en-US" w:eastAsia="en-US" w:bidi="ar-SA"/>
        </w:rPr>
      </w:pPr>
      <w:r>
        <w:rPr>
          <w:rFonts w:ascii="arial" w:eastAsia="arial" w:hAnsi="arial" w:cs="arial"/>
          <w:color w:val="000000"/>
          <w:sz w:val="20"/>
          <w:lang w:val="en-US" w:eastAsia="en-US" w:bidi="ar-SA"/>
        </w:rPr>
        <w:t>Between Mahmoud Omer and Hind Mustafa, Plaintiffs, and Mohammed Badshah and 0862766 B.C. Ltd. dba Taqwa Halal Foods and Taqwa Halal Foods and 0903015 B.C. Ltd., Defendants, and Mohammed Badshah and Vincent Krishna, Notary Public, Third Parties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(149 paras.)</w:t>
      </w:r>
    </w:p>
    <w:p>
      <w:pPr>
        <w:jc w:val="both"/>
        <w:rPr>
          <w:lang w:val="en-US" w:eastAsia="en-US" w:bidi="ar-SA"/>
        </w:rPr>
      </w:pPr>
      <w:bookmarkStart w:id="150" w:name="Counsel_37"/>
      <w:bookmarkEnd w:id="15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60" style="position:absolute;z-index:25170022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Plaintiffs: K. Barron.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Appearing for the Defendant 0862766 B.C. Ltd. dba Taqwa Halal Foods: A. Mohammed.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Appearing for the Defendant 0903015 B.C. Ltd.: N. Mohammed.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Third Party Vincent Krishna: I.M. Knapp, C. Krohman, A/S.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For the Defendant and Third Party Mohammed Badshah: No appearance.</w:t>
      </w:r>
      <w:r>
        <w:rPr>
          <w:lang w:val="en-US" w:eastAsia="en-US" w:bidi="ar-SA"/>
        </w:rPr>
        <w:cr/>
      </w:r>
    </w:p>
    <w:p>
      <w:pPr>
        <w:spacing w:after="240"/>
        <w:rPr>
          <w:lang w:val="en-US" w:eastAsia="en-US" w:bidi="ar-SA"/>
        </w:rPr>
      </w:pPr>
      <w:bookmarkStart w:id="151" w:name="Judgment_37"/>
      <w:bookmarkEnd w:id="151"/>
      <w:r>
        <w:pict>
          <v:line id="_x0000_s1161" style="position:absolute;z-index:251751424"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52" w:name="T.A. SCHULTES J."/>
            <w:bookmarkEnd w:id="152"/>
            <w:r>
              <w:rPr>
                <w:rFonts w:ascii="arial" w:eastAsia="arial" w:hAnsi="arial" w:cs="arial"/>
                <w:b/>
                <w:color w:val="000000"/>
                <w:sz w:val="30"/>
                <w:lang w:val="en-US" w:eastAsia="en-US" w:bidi="ar-SA"/>
              </w:rPr>
              <w:t>T.A. SCHULTES J.</w:t>
            </w:r>
          </w:p>
        </w:tc>
      </w:tr>
    </w:tbl>
    <w:p>
      <w:pPr>
        <w:spacing w:line="260" w:lineRule="atLeast"/>
        <w:jc w:val="both"/>
        <w:rPr>
          <w:lang w:val="en-US" w:eastAsia="en-US" w:bidi="ar-SA"/>
        </w:rPr>
      </w:pPr>
      <w:r>
        <w:rPr>
          <w:lang w:val="en-US" w:eastAsia="en-US" w:bidi="ar-SA"/>
        </w:rPr>
        <w:br/>
      </w:r>
      <w:r>
        <w:rPr>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trial was about whether the plaintiff Mahmoud Omer is entitled to be repaid the $75,000 that he provided to one of the defendants, Mohammed Badshah, in late 2011 and early 2012.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Omer says that this money was a loan to the business in which Mr. Badshah was then employed, 0862766 B.C. Ltd., doing business as Taqwa Halal Foods ("Taqwa").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say it was actually an investment by Mr. Omer in 0903015 B.C. Ltd., which operated Taqwa Southside ("Southside"), a separate but related business that failed to earn a profit and was eventually sold. They maintain that Taqwa was not involved at all in that unsuccessful investment.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To complicate matters, Mr. Badshah, who is alleged to have engaged in financial misconduct as an employee of Taqwa, later purported to give Mr. Omer a promissory note for the money on behalf of Taqwa, which takes the position that he had no authority to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Taqwa has brought third party proceedings against Mr. Badshah, as well as Vincent Krishna, the notary public who witnessed the execution of the promissory note.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and Mr. Krishna were represented by counsel at the trial. Ahmed Mohammed represented Taqwa and Nasmeen Mohammed represented Southside, which was dissolved after its assets were sold but was reinstated for the purposes of this litigation.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Badshah did not appear at the trial. He sent a message through the plaintiffs' counsel that he was in Fiji to deal with his daughter's health problems there, and that he wished to have the trial adjourned. In the absence of a proper adjournment application or any material supporting his position, I directed that the trial proceed in his absence.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original claims against the defendants were for breach of contract and unjust enrichment, with Taqwa being liable for the actions of Mr. Badshah through the principle of ostensible agency.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end of the evidence, Mr. Omer's counsel applied to amend the notice of civil claim to add a claim of civil fraud against Mr. Badshah, for which Taqwa was alleged to be vicariously liable as his employer. I granted this application, with the condition that the defendants would be allowed to give any further evidence that they wished to about the nature of Mr. Badshah's employment. I have incorporated the relevant parts of their additional evidence into the narrative.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Evidence</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Taqwa and Southside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Taqwa is a Surrey-based company that sells halal meat and related products, both wholesale and retail. It is managed by Mr. Mohammed. Its majority shareholder is a company owned by Ms. Mohammed, who is married to Mr. Mohammed's brother. Mr. Badshah, who as I have said was one of its employees, is married to Mr. Mohammed's sister.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Mohammed explained that the numbered company that began operating as Taqwa was purchased in 2010. He has built up its business considerably since then.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Southside was later started by Ms. Mohammed and her husband. It sold halal products at a retail store in Port Coquitlam. Mr. Badshah was also involved in the operation of Southside.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Mohammed described Southside's history. Once Taqwa was "working" (by which I took her to mean it was functioning effectively) her husband and Mr. Badshah were "looking to expand or grow the business". Her husband was initially interested in expanding to doing home deliveries but Mr. Badshah advised him to pursue franchising, which she described as "bringing in a customer who wanted to buy it, incorporate...teach them and then they will take over the company".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it turned out, cousins of the Mohammeds - Sayaaz and Rosina Ali - wanted to go into the halal meat business. A plan was arranged for them to come in, learn the business and then purchase 100% of the company, at which point "we would exit".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way Southside operated was that the Alis did the sales work and Mr. Badshah oversaw the operation, dealing with report-keeping, paperwork and "everything over there".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Mohammed agreed with the suggestion that Taqwa and Southside shared a common logo so people would know that Southside carried the same high-quality meats.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Ultimately the Alis were unable to run Southside effectively and decided not to take over 100% of it. Mr. Badshah told Ms. Mohammed that the Alis "would be 51 percent and us 49, if we could carry along like that." Mr. Badshah told her that papers would be drawn up to put that into effect, but nothing was submitted to her and she "guess[ed] [Mr. Badshah] was looking for other investors or somebody".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An important issue in the trial was the extent of the relationship between these two companies. When I questioned him during his direct evidence, Mr. Mohammed was unable to say whether it had been intended that Southside would licence the Taqwa name, or pay for the ability to obtain goods from Taqwa. His response was that Ms. Mohammed would have that information. He could only say that he thought they had added "Southside" to the name "so it would be a different entity, kind of."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Mohammed agreed with the suggestion that in 2011 he was looking for opportunities to "grow the business" of Taqwa, by which he meant "looking for people who wanted to open up stores". He said that "we wanted to go into franchising" and that the Alis were "going into buying it". But he stressed that Ms. Mohamed and her husband had handled all of those dealings.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first he maintained that he had no "personal opinion" about the success of Southside, but later agreed that he had wanted it to succeed.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 print ad from 2012 providing the same phone number for both businesses was shown to him and it was suggested by Mr. Omer's counsel that numerous other ads provided that same information. Mr. Mohammed responded that when Southside started off "it was intended to be a franchise". He said that Mr. Badshah, who was responsible for the advertising for both stores, would have run that specific ad. Despite the information that was contained in it however, he explained that Southside actually had its own separate phone number.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emphasized the financial independence of the two business from each other, pointing out that all of the products that Taqwa provided to Southside to sell were invoiced to it and the terms under which the products were provided were documented. As he put it, "Taqwa has to pay us based on what we sell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Mohammed agreed that he had helped with the process of setting up Southside. He also assisted Ms. Mohammed by approving Mr. Badshah's hours at that store, although she was the one who had authority to sign the paycheques on behalf of that company. He was never a director of the company and was not paid by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Mohammed described another business related to Taqwa - "Taqwa Market" in Surrey - that was formed on a similar basis. She and the buyer each had 50% of the shares. It also used the same logo. In his evidence Mr. Mohammed referred to this business as "another store that another person had bought".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Initial Transaction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Omer</w:t>
      </w:r>
      <w:bookmarkStart w:id="153" w:name="Backward_fnref_fnr-1_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153"/>
      <w:r>
        <w:rPr>
          <w:rFonts w:ascii="arial" w:eastAsia="arial" w:hAnsi="arial" w:cs="arial"/>
          <w:color w:val="000000"/>
          <w:sz w:val="20"/>
          <w:lang w:val="en-US" w:eastAsia="en-US" w:bidi="ar-SA"/>
        </w:rPr>
        <w:t xml:space="preserve"> is a pharmacist who works for an international pharmaceutical company. The nature of his work requires him to travel for extended periods to Saudi Arabia.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Omer had known Mr. Badshah since 2000. He also knew the members of the Mohammed family. He met Ms. Mohammed and her husband through Mr. Badshah and at one point they rented a house from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testified that he was approached about the loan by Mr. Badshah and Mr. Mohammed at the end of 2011. They were talking about the meat business, specifically the growth in demand for halal meat in Surrey and elsewhere, related to the growth of the Muslim community in the lower mainland.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Omer did not describe the details of the discussion that actually led to the loan, or what Mr. Badshah or Mr. Mohammed each specifically said in relation to it. In cross-examination he said that Mr. Badshah and Mr. Mohammed had approached him to "discuss...the meat business and the opportunities of that business", and that Mr. Badshah had continued to talk to him after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amount of the loan was to be $75,000. The other terms were that he was to receive interest payments of "five hundred to six hundred dollars" per month and that he could request the return of the principal at any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Badshah and Mr. Mohammed did not tell him about their plans "for the future" (of the business, I took it) or that there were two separate companies, Taqwa and Southside.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When Mr. Omer was first asked by his counsel whether Mr. Badshah had ever represented to him that he had authority from the owners of either company to enter into the loan, he said, "No. I considered him--he is...the manager and he is running the business, yeah." However when his counsel sought to clarify by asking, "... [D]id [Mr. Badshah] represent to you that he had authority to enter into that agreement?" he answered, "Yes".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Omer ultimately provided two cheques - $30,000 in December of 2011 and $45,000 in January of 2012. Both were made payable to "0903015 B.C. Ltd. - Taqwa Southside". He said that Mr. Badshah had asked him to make them out to Southside. Mr. Badshah's name was written on the "memo" line of both. He put Mr. Badshah's name there because in his view Mr. Badshah was "running the business", along with Mr. Mohammed.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When he was asked why he had not put Mr. Mohammed's name there as well, if Mr. Mohammed had talked him into investing, he said that he and Mr. Mohammed had "just discussed the business together" but that when it came to "the practice" it appeared that Mr. Badshah was the one running it. He later elaborated that he and Mr. Mohammed had discussed the business "two or three times".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said that he did not realize that Taqwa and Southside were two separate companies and added in cross-examination that Mr. Badshah did not tell him that. At the time that he wrote the cheques, his understanding of the relationship between the companies was "it's just like expansion for the same company". Supporting that belief, he had seen goods being transferred to Southside from Taqwa. It was important to him to invest in Taqwa specifically because "making 500 to 600 dollars a month, that's all what I was looking for".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Mohammed's version of his involvement in these discussions was that Mr. Badshah came to him and advised that Mr. Omer wanted to invest in a business. Mr. Badshah had told Mr. Omer that it would be wise to invest in Southside. Mr. Mohammed subsequently told Mr. Omer that if he wanted to invest in Southside it was his choice, but that it had nothing to do with Taqwa. He claimed that Mr. Omer told him that he wanted to run Southside after he retires.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 confirmed that he had not discussed "dollar figures" with Mr. Omer, whom he described as "excited" to be buying the Southside location. Mr. Badshah handled the detailed negotiations, with Ms. Mohammed's husband having some involvement as well. Mr. Omer simply asked him for his opinion. His response was that the business is "a tool" but "you have to build it" and it "needs some time to grow". He later testified that he had only talked to Mr. Omer "about [Southside] and how [it] was doing". Specifically, there was no meeting involving him, Mr. Omer and Mr. Badshah in which any loan was discussed.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He clarified that his discussions with Mr. Omer on this topic went as far back as a year before the actual investment. During this period he knew that Mr. Omer was contemplating an investment and had been having discussions with Mr. Badshah.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He agreed that although Southside had not been profitable to that point, he had not advised Mr. Omer of that fact during their discussions. His view was that Mr. Omer was buying into the business with the intention of building it up, with Mr. Badshah's assistance.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According to Mr. Mohammed, Mr. Badshah "decided that Mr. Omer...would be coming over there and...be the owner, 51 per cent or however the structure was going to be, and he would employ somebody else down there, and run the business...help him run the business for Mr. Omer." Mr. Badshah had his uncle running the store by that point.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An important part of the evidence was an email dated December 28, 2011 from Mr. Badshah to the Mohammeds. It was sent after the first $30,000 cheque had been provided by Mr. Omer. The relevant portions stated (punctuation in the original):</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case the bank calls, we are depositing $30000.00 in the southside account from Mahmoud...sayaaz and rozina [the Alis] will be leaving and getting replaced with Mahmoud. As discussed earlier, portion of fresh poultry will go to southside as well and once that is worked out a further $45000 will be deposited. Mahmoud will then take over 51% share. Also, taqwa market [the third related business that I have described] will be transferred to maulana for $15000.00...I will talk to fariyad and get the paperwork ready for the transfers.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Although that email referred to "paperwork" being done to effect the transfer, Ms. Mohammed said that she did not receive any. However, she confirmed that the total of $75,000 was deposited in Southside's account.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Omer maintained in his evidence that he had not intended to invest in Southside and had no interest in moving into the halal meat business. More specifically, at the time he advanced the money he did not think that he was buying a 51% share in Southside, as the email suggests. He also knew nothing about its reference to a "portion of fresh poultry" as the condition of a further $45,000 deposit.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He said that what Mr. Mohammed had talked about was an expansion of the business - that is, "open...new outlets from Taqwa to Taqwa whatever" but he was "not [involved in] the daily work" of Taqwa and was happy just to receive his monthly "profit". He emphasized that Mr. Mohammed's discussions with him were "not to have a separate Taqwa and invest on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This December 2011 email setting out Mr. Omer's purchase of a 51% share did not cause Mr. Mohammed any concern, he explained, because he was not dealing with Southside in relation to it. He pointed out as well that he had only been copied on the email, rather than being its direct recipient. He was reluctant to confirm that he knew that Mr. Badshah had the authority to conduct that transaction on Southside's behalf.</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Promissory Note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Omer said that he received the required payments monthly, or every two months. Mr. Badshah or his wife would deposit the payments into his account. The cheques were from Taqwa. He was shown printouts from Taqwa's records that appeared to refer to cheques to him for $800 in March and September of 2013 and January of 2014. He confirmed that these documents corresponded to the amounts he remembered receiving in those months.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 maintained in cross-examination that he continued receiving payments until July or August of 2014, although he did not have any documents showing them. When it was suggested to him that there could not have been any cheques after the one he received in January 2014, because Mr. Badshah was fired from Taqwa that month, he said that they may have been "direct deposits" (by which I took him to mean electronic transfers) or cash deposits from Mr. Badshah, and that he would check with his bank about it. He did not ultimately provide any additional evidence on that point.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July of 2014, while things were still proceeding in accordance with the agreement, Mr. Omer decided that it would be advisable to document it. He spoke to Mr. Badshah, who agreed that they would visit a notary and have a document drawn up.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July 19, he, his wife and Mr. Badshah signed the promissory note at Mr. Krishna's office.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promissory note expressly described Mr. Badshah as entering into it "on [his own] behalf and on behalf of 0862766 B.C. Ltd. DBA Taqwa Halal Foods". It also described the $75,000 as having been previously received by Mr. Badshah and Taqwa, and Mr. Badshah as the company's "authorized signatory" below the line for its signature.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note contained some terms that differed from the verbal agreement that Mr. Omer alleges. It stated that Mr. Badshah and Taqwa "undertook to pay the full amount" on or before January 1, 2013, instead of Mr. Omer being able to demand repayment at any time. In addition, the $500-$600 per month interest payments were replaced by a system of deposits each month, based on the amount of fresh poultry purchased by Taqwa, at a specified rate per kilogram purchased.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Omer said he understood the change in the repayment arrangements "after I signed". He did not testify about the change in the manner of calculating his interest.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He said that he believed that Mr. Badshah put his own name in the promissory note on behalf of Taqwa because he was "doing all the advertising, agreement, all this stuff" and was, as he had concluded when he originally wrote Mr. Badshah's name on the cheques, "in charge for the whole business".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He described Mr. Badshah as "a one-man show" in relation to Taqwa, including doing sales and marketing, and gave as an example the agreement Mr. Badshah concluded to put Taqwa products in the stores of a large grocery chain. (In re-examination he clarified that the "one-man show" label applied to Mr. Badshah's work for both Taqwa and Southside.) Mr. Badshah would speak of the deals he was making, "inside Taqwa or outside Taqwa". Mr. Omer went to Taqwa's retail store two or three times a year and witnessed Mr. Badshah's actions in relation to the business during those visits. His observations were consistent with his understanding of Mr. Badshah's role.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He initially said that he did not know whether Mr. Badshah was actually an authorized signatory for Taqwa, but then clarified he had trust in him and could see that he was "the big manager over there...[s]o he has the authority to sign on behalf of the Taqwa." However, he agreed that Mr. Badshah did not actually tell him that he was authorized.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He elaborated that he could see that Mr. Badshah and Mr. Mohammed were running the business, "so that was a fact for me...but [whether] they have the authority to sign, not sign I was not into that." His view that Mr. Badshah had that authority was based on his dealings with both of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He did not think it was odd that the promissory note described the money being owed by Taqwa, even though the cheques had been made out to Southside - he reiterated that "it's all for me as one company".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Krishna, who has been a notary public since 2011, knew Mr. Badshah before this transaction, but not Mr. Omer and Ms. Mustafa. Mr. Badshah would bring people to his office who needed travel documents signed for their pilgrimages to Mecca. He said that Mr. Badshah "represented to" him as the owner and operator of Taqwa, which is located nearby and had been in business since he had opened up his office.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 did not have his file with him when he testified and had not looked at it since the transaction. What he remembered about his involvement was that Mr. Badshah and two other people came to his office on that day with a document and asked if he could witness the signing of it. "The other gentleman" had lent some money to Mr. Badshah's "company, his business", Mr. Krishna understood, and that person and his companion were "flying off" and wanted a record of what they had done.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At this point, Mr. Badshah and the other two started having discussions, and then told him that they wanted to make some changes to the document. They asked Mr. Krishna to retype it. He said that they "literally dictated" what he typed. He later agreed that he might have contributed "some words" to the document.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original draft of the agreement that Mr. Badshah brought to the office (which was on Taqwa letterhead) was annotated with Mr. Krishna's handwritten changes, which were then reflected in the typed version.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One of the changes they requested was to add Mr. Badshah as an original recipient of the money, along with Taqwa. In cross-examination Mr. Krishna did not recall who had added "by its authorized signatory" to the signature line for Taqwa that Mr. Badshah signed, but he said that "[i]n a normal course that's how it needs to be written". He explained that he had transferred the information that they gave him into one of his "formats", by which I took him to mean that the document template he used may already have contained that wording.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He took identification from the other two people who were with Mr. Badshah, because he did not know them. He was already comfortable with Mr. Badshah's identity and that he "owned" Taqwa. Factors that influenced his willingness to witness the signing were that Mr. Badshah appeared to be a person of religious faith, which, being a Christian himself, resonated with him; and that the money in question had already been advanced, as indicated in the first paragraph of the document. In essence, he was simply "witnessing some kind of an agreement that they had." In this situation, his usual practice would have been to tell them that they did not need a notary, but that he would nevertheless be a witness to what they were doing.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His acceptance of Mr. Badshah's representations about his role with Taqwa was pursued on cross-examination. Mr. Krishna said that he did not require any documents from Mr. Badshah to verify that he was an officer of the company because "I had no reason to doubt what he was telling me." He explained that "a lot of it is a judgment call" whether to make such a request. He agreed that normally if a corporation is signing he needs to verify that the person signing is the owner, by doing company searches and making other inquiries. However this was not a document that he was "going to be a part of", in the sense that he was just witnessing an existing agreement.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Taqwa did not provide any evidence of the standard of care of a reasonably prudent notary public in such a situation.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Outcomes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Alis eventually left Southside and employees were hired to run it. Ms. Mohammed and her husband began looking to sell the company and in June of 2013 it was sold to another halal food business. Mr. Badshah was the "point person" for this sale, she agreed.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proceeds of the sale went to pay the amounts owing by the business, with only a cheque for $3000, which Ms. Mohammed described as a "holdback", eventually being paid to her or her husband.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Her husband had unsuccessfully attempted to obtain financial documents relating to the business from Mr. Badshah in the past, in order to see how it was doing. Mr. Badshah apparently kept them at the store. Her understanding was that no financial statements were ever prepared for Southside. In cross-examination, she added that there was no corporate minute book and she was unaware whether Southside had ever filed tax returns.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Her view was that Mr. Omer's contribution was an investment in Southside, which was lost when the company did not succeed and had to be sold to meet its debts. He did not communicate with her or her husband about his money or shares in Southside, even when the business was closing. She attributed this to the fact that he was "in touch" with Mr. Badshah.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first time they heard from Mr. Omer on this point was when he asked for repayment of the loan from Taqwa.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She had no knowledge of any fraudulent activity by Mr. Badshah in relation to Southside. All she knew was that the company was not doing well.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January of 2014, Mr. Badshah resigned or was fired from Taqwa, under circumstances that I will describe further.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During the period that he described as "the end of 2014", Mr. Omer began requesting the repayment of his loan, which he needed to finance a property purchase. He said that Mr. Badshah, who had left Taqwa by then, began asking the Mohammeds on his behalf to return the money. However, "every one of them start[ed] [to] blame the other side" and the money was not repaid.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To assist him in these efforts, Mr. Badshah provided him with a copy of a Taqwa balance sheet, which I will discuss further, showing a liability of the company that corresponded to the amount of his loan. Despite what Mr. Omer now considered to be clear proof of the receipt of his money, his subsequent meetings with Mr. Mohammed and Mr. Badshah were unsuccessful in achieving repayment.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Mohammed said he did not see the promissory note until December of 2014, when Mr. Badshah attached it to an email in which he requested payment on Mr. Omer's behalf. In keeping with his general evidence about Mr. Badshah's lack of authority to sign or enter into agreements on behalf of the company, he confirmed specifically that Mr. Badshah did not have the authority to sign the promissory note. More generally, Taqwa did not receive outside investments. When additional "cash flow" was needed, he obtained it from the shareholders. Other than buying some items for resale that Mr. Omer had brought back from Saudi Arabia (some of which were also sold to Southside) Taqwa had never had any financial dealings with him.</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Mr. Badshah's Roles at Taqwa and Southside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According to Mr. Mohammed, Mr. Badshah was hired toward the end of the same year that Taqwa was established. He had responsibilities for the areas of payroll and human resources. Mr. Mohammed later added that Mr. Badshah also did "reconciliation for our financials" and would be involved with him in "getting capital". He explained that because of the size of the company "there's not like a set role that everybody plays".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He initially accepted the suggestion from Mr. Omer's counsel that Mr. Badshah was his "right hand man", but then retreated from it when it was put to him again later in his cross-examination, maintaining that Mr. Badshah was simply "my employee".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He said that he, or another director, had to sign the cheques on behalf of the company. Mr. Badshah did not have the authority. Similarly, while Mr. Badshah could have dealings with other companies on behalf of Taqwa, including negotiating contracts, Mr. Mohammed had to "sign off" on any decisions. His view was that Mr. Badshah knew that he did not have that authority, although he did not recall having told him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support of his position, Mr. Mohammed provided (1) a Notice of Change of Directors listing the directors after Taqwa had been purchased in 2010, which did not include Mr. Badshah and was never changed to do so, and (2) a director's resolution authorizing himself and Ms. Mohammed to sign cheques and enter into agreements on behalf of the company. The resolution was made about seven months before the execution of the promissory note.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Mohammed addressed a document from a business financing company that made interim loans to Taqwa, in which Mr. Badshah was listed as a personal guarantor, along with Mr. and Ms. Mohammed, of a security agreement between Taqwa and the financing company from September of 2013. In an email to Mr. Mahmoud and the Mohammed brothers in January 2015, Mr. Badshah had proclaimed as "further proof of myself doing business on behalf of Taqwa..."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Mohammed agreed that this was an example of Mr. Badshah negotiating an agreement that was then approved by the directors, although he pointed out that he was the one who had actually completed the necessary paperwork to apply for the loan.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relation to the agreement with the financing company, Mr. Mohammed stressed that Mr. Badshah had not signed on behalf of Taqwa. Rather, he and Ms. Mohammed, as directors, had provided personal guarantees to that lender as part of the agreement. Mr. Badshah had not been required to give a guarantee, but had gone ahead and done so anyway. Mr. Mohammed said that Mr. Badshah wanted to sign and that he had "no issue" with him doing it, even though it was not required.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After he left Taqwa, Mr. Badshah's name was not removed from the financing company's system (through an oversight, I infer), which caused him to receive a notification when the company provided more funding on a later date. That was the basis of his claim to Mr. Omer that he had had signing authority for Taqwa. Mr. Mohammed then had to obtain a letter from the financing company clarifying that the true situation.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He agreed that he had not been concerned about Mr. Badshah being included in emails about a previous funding from that company.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He initially made the same concession about Mr. Badshah's role in reaching an agreement with a particular food supplier, but later added that he had negotiated with an employee of that supplier himself, rather than Mr. Badshah.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Overall, he said that he was willing to have Mr. Badshah involved in the both of these agreements because he was still directing them himself.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As I described when dealing with the relationship between the two companies, Ms. Mohammed said that Mr. Badshah "oversaw" Southside.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Mohammed described Mr. Badshah as managing Southside, "based on" the direction of Ms. Mohammed and her husband. He also said that Mr. Badshah had "started" the business under their direction.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cross-examination Ms. Mohammed said that as far as she knew Mr. Badshah only ever received one cheque from Southside, which could have been payment for all his hours of oversight. He was not on salary there, but was receiving a salary from Taqwa.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Although he assisted Ms. Mohammed by approving Mr. Badshah's hours at Southside, Mr. Mohammed, did not have a sense of how much Mr. Badshah was being paid there, because he never saw the cheques. Mr. Badshah was paid $60,000 per year at Taqwa and "most likely" was paid less at Southside, he said. He eventually agreed that it was "significantly" less, but later added that Mr. Badshah was probably paying himself from cash at that store.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Ms. Mohammed confirmed that Mr. Badshah was in charge of accounting at both Southside and Taqwa. She also revealed that the accountant was his son-in-law. She agreed with the suggestion that during the period of 2011 to the summer of 2012 (which counsel intended to cover the initial discussions with Mr. Omer until the promissory note was signed) Mr. Badshah was "running both companies".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She said that neither Mr. Badshah nor the Alis had signing authority at Southside. As Mr. Mohammed had described for Taqwa, Mr. Badshah could "bring potential clients" to Southside but "the actual signing of the paper" would be by Ms. Mohammed. Later in her cross-examination, she was more emphatic that it was not part of his role to solicit loans or investments in Southside.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Mr. Badshah's Conduct at Taqwa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Mohammed addressed the presence of the debt to Mr. Omer on Taqwa's 2013 balance sheet, which he said had been "doctored" by Mr. Badshah. He emphasized that this balance sheet is not the same as the company's actual financial statement. In fact, Taqwa's banking records show that no such payment was ever received by it, either directly or through Southside.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He gave the same explanation for another of Taqwa's financial records that had been provided to Mr. Omer - a "general journal" entry reflecting a "third party loan" to Mr. Omer, which was listed as $77,049.89, with the accompanying entry of "consulting". He described this entry as being made at the preliminary stage of preparing a financial statement. It ended up being recorded as part of the accounts payable in the 2013 financial statement, which Mr. Badshah sent to Mr. Omer in January of 2015 as further support for his claim for repayment.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By resolution, Taqwa reversed that entry in 2014, on the basis that it reflected an amount that the company had never actually received.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Mohammed's contention in both cases was that the balance sheet and journal entry reflected instructions by Mr. Badshah to Taqwa's accountant that he had not approved or taken part in. However, he agreed in cross-examination that the same amount as the general journal entry had been listed under "management fees" in the 2013 financial statement, and that this entry was also "discussing" Mr. Omer's loan. In response to the further suggestion that whichever Taqwa director had approved this financial statement (Mr. Mohammed thought it had been Ms. Mohammed) was therefore aware of the loan in 2013, he said that Mr. Badshah was "very manipulative" and would likely have had some kind of "situation story" with respect to the entry. Mr. Badshah was also dealing with a new accountant for the company at that point, who would not have had much background knowledge. Mr. Mohammed pointed out in addition that even though the same amount of money was shown as a liability on the financial statement as in the journal entry, it was still shown as a management fee, not as the loan that is being alleged by Mr. Omer.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Mohammed also confirmed that the liability to Mr. Omer was listed as having been reduced to $71,000 in Taqwa's 2015 financial statement, to reflect the payments to Mr. Omer that had been made by the company.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He explained that the payments to Mr. Omer from Taqwa were part of a larger pattern of fraudulent financial actions by Mr. Badshah within the company. Mr. Badshah's main offence was "kiting cheques" - taking money from the company based on cheques that he had written to it from closed accounts. Mr. Mohammed referred to company banking records showing, for example, cheques for $20,000 and $30,000 being returned for insufficient funds in September 2013, with the entry "M Badshah" accompanying them (I infer, showing the payor of the cheque). There were similar NSF cheques for $20,000 and $40,000 in December 2013.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Mohammed initially said that he noticed these latter two cheques by accident, and the investigation into them was what led to Mr. Badshah's resignation the following month. In cross-examination, he clarified that he had become aware of the practice in August of that year and confirmed that all of Mr. Badshah's cheque-kiting activity had happened in 2013.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He explained that Mr. Badshah would actually withdraw smaller amounts by forging his signature on cheques to himself, before depositing these large NSF cheques, and would put smaller amounts back in "just to keep the cash flow going".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He then referred to copies of additional cheques payable to Mr. Badshah, for $22,000 and $12,770.65, in which his authorizing signature had been forged. (There was a second cheque to Mr. Omer for $22,000 on the same page, but Mr. Mohammed did not refer to it in his direct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Omer's counsel pursued this issue of forged signatures on Taqwa cheques. He suggested that the three cheques to Mr. Badshah on the page of the banking records that he had referred to had a markedly different signature from the other five cheques on that page. Mr. Mohammed was not prepared to accept the suggestion that therefore the other cheques had been signed by him. Instead he simply repeated that he had never signed the ones that were payable to Mr. Badshah. He explained that he might be able to determine which cheques he had signed by examining them closely, but was sure of the three he had not signed.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Omer's counsel then pointed out to him, as an example, that on another page of the records three of the cheques, which were payable to recipients other than Mr. Badshah, also bore the same distinctive signature as the previous cheques that he was certain he had not signed. He then agreed with the suggestion that Mr. Badshah was not just forging cheques to pay himself, but also to "meet the general day-to-day business of the company".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After being shown similar signatures from cheques written in May of 2012, he agreed with the further suggestion that Mr. Badshah had been routinely forging his signature for several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Finally on this issue, after being shown a signature on a cheque in April of 2012, which counsel suggested was yet a third version of his signature, he agreed that it was not his and said he assumed that Mr. Badshah had done it. After initially responding that this signature was "not that different" from the others, he agreed that the forged signatures that he had been shown for 2013 were "incredibly consistent" with each other compared with this one. He also attributed a further, somewhat different, signature from March 2012 to Mr. Badshah.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While he was not prepared to accept that there was a practice at Taqwa of other people signing cheques when he was not available, he did acknowledge the forged signatures on cheques for routine payments that he had been shown, and that Mr. Badshah was "fraudulent in doing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He confirmed that the payments to Mr. Omer from Taqwa for which there are supporting documents in the Taqwa banking records would also have resulted from Mr. Badshah forging his signature.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Omer's counsel pursued the extent of Mr. Mohammed's level of involvement in the financial affairs of Taqwa. He responded that it was not his role to examine key financial documents like balance sheets and journal entries, and that he was unable to explain financial statements. Mr. Badshah would do the reconciliations and have the bookkeeper prepare the financial statements, which he, Ms. Mohammed or her husband as would review and sign off on as directors. He agreed with the suggestion that Mr. Badshah could submit "anything he wanted" to the accountant, but stressed that a signing authority would have to give the final approval.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When it was suggested to Mr. Mohammed that the approval of the directors was in effect a rubber stamp of Mr. Badshah's proposals, he answered, "We trusted him, yes."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think it would be helpful at the outset to identify, as a framework for further discussion, the facts that are either not disputed or are established by objective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There is no question that Mr. Omer gave the $75,000 to Mr. Badshah, in two cheques that were made payable to Southside, or that it was deposited in Southside's account.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No shares were ever issued to him by Southside for the 51% interest in it that was described in Mr. Badshah's email. Indeed, there is no evidence that the company itself ever acknowledged his supposed investment. He was not even notified when it was sold.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Taqwa recorded the amount advanced by Mr. Omer as a liability in its records, although the entry in its financial statement was subsequently reversed by a resolution, and it made payments to Mr. Omer that were solely referable to a debt to him. At one point its records even decreased the liability by reference to the payments that had been made to that point. Despite all of this recording however, there is no evidence that Taqwa ever actually received the $75,000, either directly or from Southside.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threshold factual question, which is essential to the determination of all of the claims, is what was said by Mr. Omer and Mr. Badshah to each other before the $75,000 was provided.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We do not have the benefit of Mr. Badshah's version of events, but the statements that Mr. Mohammed attributes to him and Mr. Omer about investing in Southside are inconsistent with Mr. Omer's claim of an agreement to make a loan to Taqwa.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Despite this, I think that the objective evidence is most consistent with Mr. Omer having agreed to lend money to Taqwa, rather than to invest in Southside.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Although his cheques had been made out to the numbered company operating as Southside, he received at least some of the regular "interest" payments that he said he bargained for as part of his loan; Taqwa's financial records showed the amount as a liability, which declined in a manner corresponding to the repayments; and the promissory note that purported to be capturing the agreement that had previously been reached described Taqwa as the borrower.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These steps show Mr. Badshah acting, and causing the company to act, in accordance the essential points of the agreement as Mr. Omer has described it. Mr. Omer's subsequent demand for repayment of his money so he could meet another financial obligation, instead of seeking to sell his shares as would have occurred in the case of an investment in Southside, also supports his evidence of the nature of the obligation.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contrast, there is no objective support for Mr. Mohammed's description of Mr. Omer being "excited" to invest in Southside and planning to operate it after his retirement, or indeed of any of the contents of their conversations before the money was advanced. I cannot accept that this occurred as he described it. I find that the role that Mr. Mohammed described for himself in the discussions with Mr. Omer is much more passive and detached than it actually was, given the benefits he saw of expanding Taqwa's business and his view of Southside as essentially a franchise of it. Everything else he relied on in his evidence to suggest that this was an investment in Southside came from Mr. Badshah.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same is true of any knowledge on Ms. Mohammed's part of Mr. Omer investing in Southside. Crucially in my view, she never heard from Mr. Omer even when the business was closing, concluding that he was in contact with Mr. Badshah about it instead. This implies (1) that Mr. Omer had no knowledge that he was supposed to have invested in it and (2) that everything he did know about the whereabouts of his money was channelled through Mr. Badshah.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It is difficult to know what to make of the cheques being payable to Southside and the resulting deposit of the money in Southside's account, or of Mr. Badshah's December 2011 email to the Mohammed's describing the details of Mr. Omer's investment.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To the extent that Southside being the payee of the cheques might have indicated an intention that his money would go to a different entity than Taqwa, I am satisfied that Mr. Omer drew the conclusion, as he claimed, that Taqwa was essentially one indivisible enterprise and made the cheques payable as Mr. Badshah directed. Because of his level of trust in Mr. Badshah and the Mohammeds, he was not as careful as he might have been about the specific destination of his money.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Although Mr. Badshah's email could be read as an accurate contemporaneous recording of the basis on which the money was being received, I find, based on his subsequent actions, that at that point he was communicating with his employers in a misleading way while pursuing some agenda of his own. It is noteworthy that between the deposit of the money in Southside's account and Mr. Badshah's departure from Taqwa no other steps were taken in furtherance of this supposed investment. Another obvious factor that undermines the credibility of the assertions about an investment in the email is that when he was advocating for Mr. Omer to be repaid, he relied on documents purporting to show that the money had been received by Taqwa, and claimed that he had had the authority to bind it to the loan through the promissory note.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Turning to the breach of contract claim, the threshold issue is whether Mr. Badshah had authority to act on behalf of Taqwa in reaching an agreement.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 accept that neither Mr. Mohammed nor any of the other officials of Taqwa ever authorized him to enter into this agreement with Mr. Omer. The question is whether Taqwa, by its statements or conduct, led Mr. Omer to believe that he had the authority in question: </w:t>
      </w:r>
      <w:r>
        <w:rPr>
          <w:rFonts w:ascii="arial" w:eastAsia="arial" w:hAnsi="arial" w:cs="arial"/>
          <w:i/>
          <w:color w:val="000000"/>
          <w:sz w:val="20"/>
          <w:lang w:val="en-US" w:eastAsia="en-US" w:bidi="ar-SA"/>
        </w:rPr>
        <w:t>Keddie v. Canada Life Assurance Co.</w:t>
      </w:r>
      <w:r>
        <w:rPr>
          <w:rFonts w:ascii="arial" w:eastAsia="arial" w:hAnsi="arial" w:cs="arial"/>
          <w:color w:val="000000"/>
          <w:sz w:val="20"/>
          <w:lang w:val="en-US" w:eastAsia="en-US" w:bidi="ar-SA"/>
        </w:rPr>
        <w:t xml:space="preserve">, </w:t>
      </w:r>
      <w:hyperlink r:id="rId804" w:history="1">
        <w:r>
          <w:rPr>
            <w:rFonts w:ascii="arial" w:eastAsia="arial" w:hAnsi="arial" w:cs="arial"/>
            <w:i/>
            <w:color w:val="0077CC"/>
            <w:sz w:val="20"/>
            <w:u w:val="single"/>
            <w:shd w:val="clear" w:color="auto" w:fill="FFFFFF"/>
            <w:lang w:val="en-US" w:eastAsia="en-US" w:bidi="ar-SA"/>
          </w:rPr>
          <w:t>1999 BCCA 541</w:t>
        </w:r>
      </w:hyperlink>
      <w:r>
        <w:rPr>
          <w:rFonts w:ascii="arial" w:eastAsia="arial" w:hAnsi="arial" w:cs="arial"/>
          <w:color w:val="000000"/>
          <w:sz w:val="20"/>
          <w:lang w:val="en-US" w:eastAsia="en-US" w:bidi="ar-SA"/>
        </w:rPr>
        <w:t xml:space="preserve"> at paras. 24 and 28. This is assessed by the standard of what the outside world would reasonably infer if they were in the shoes of the plaintiff, or someone like him: </w:t>
      </w:r>
      <w:r>
        <w:rPr>
          <w:rFonts w:ascii="arial" w:eastAsia="arial" w:hAnsi="arial" w:cs="arial"/>
          <w:i/>
          <w:color w:val="000000"/>
          <w:sz w:val="20"/>
          <w:lang w:val="en-US" w:eastAsia="en-US" w:bidi="ar-SA"/>
        </w:rPr>
        <w:t>Thiessen v. Clarica Life Assurance Co.</w:t>
      </w:r>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2002 BCCA 501</w:t>
        </w:r>
      </w:hyperlink>
      <w:r>
        <w:rPr>
          <w:rFonts w:ascii="arial" w:eastAsia="arial" w:hAnsi="arial" w:cs="arial"/>
          <w:color w:val="000000"/>
          <w:sz w:val="20"/>
          <w:lang w:val="en-US" w:eastAsia="en-US" w:bidi="ar-SA"/>
        </w:rPr>
        <w:t xml:space="preserve"> at para. 32. Crucially, entrusting the agent with certain duties can impliedly represent the agent's authority to act: </w:t>
      </w:r>
      <w:r>
        <w:rPr>
          <w:rFonts w:ascii="arial" w:eastAsia="arial" w:hAnsi="arial" w:cs="arial"/>
          <w:i/>
          <w:color w:val="000000"/>
          <w:sz w:val="20"/>
          <w:lang w:val="en-US" w:eastAsia="en-US" w:bidi="ar-SA"/>
        </w:rPr>
        <w:t>Clarica</w:t>
      </w:r>
      <w:r>
        <w:rPr>
          <w:rFonts w:ascii="arial" w:eastAsia="arial" w:hAnsi="arial" w:cs="arial"/>
          <w:color w:val="000000"/>
          <w:sz w:val="20"/>
          <w:lang w:val="en-US" w:eastAsia="en-US" w:bidi="ar-SA"/>
        </w:rPr>
        <w:t>, at para. 31.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my opinion, Mr. Mohammed's initial concession that Mr. Badshah was his right hand man was accurate. It seems clear from the evidence that I have summarized that Mr. Mohammed, on behalf of Taqwa, gave Mr. Badshah wide latitude in carrying out the business, including arranging agreements (at least one of which Mr. Omer was aware of) with other businesses. The concept of a final sign-off by Mr. Mohammed being required to conclude any agreement is a subtle one, and a reasonable observer would be more likely to focus on Mr. Omer's extensive role in the earlier stages as an indication of his authority.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More generally, the directors were apparently content to allow Mr. Badshah to conduct himself in a manner in relation to Taqwa that convinced outside observers like Mr. Krishna that he owned it. This included, through neglect born of trust, ceding effective control of its financial affairs to him. There was also Mr. Badshah's close family connection with the directors of Taqwa, which Mr. Omer would have known about and which would have suggested a greater degree of influence in its operations than that of a mere employee.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As a result, I conclude that the actions of Taqwa endowed Mr. Omer with ostensible authority in the transaction with Mr. Omer, as it would have been perceived by a reasonable person in Mr. Omer's shoes, and that this authority was present during both the initial agreement and the signing of the promissory note.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Given the finding of fact I have made about the nature of their communications, I conclude that the agreement for Mr. Omer to lend $75,000 to Taqwa, when viewed objectively, contained all of the necessary elements to be legally binding. The essential terms of the amount to be loaned, the interest to be paid and the conditions of repayment were all clear and the discussions that I have found took place would have conveyed to the objective observer a meeting of the minds on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was, at first, concerned by Mr. Omer's evidence the amount of interest was "four or five hundred dollars", but given his subsequent evidence that the payments he received from Taqwa were in accordance with the agreement I am satisfied that the uncertainty was in his recollection of the exact amount, not its presence as a precise term at the time of the agreement.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am also satisfied that the cheques being payable to Southside was a step by Mr. Omer in fulfillment of the agreement, taken at Mr. Badshah's direction, rather than an action contrary to its purported nature as a loan to Taqwa.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think that promissory note is best characterized as both a written record of the initial loan and an amendment of some of its terms - adding a defined date for repayment and changing the compensation formula. As Mr. Omer's counsel pointed out during submissions, there was consideration for the granting of these amendments, in the form of Mr. Omer's forbearance of his right to demand repayment according to the original terms.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It is clear that having been bound by its ostensible agent to repay this amount, Taqwa then breached the agreement by failing to do so. The fact that Mr. Badshah actually allocated the money elsewhere does not detract from this result, since by then he had already reached an objectively verifiable agreement on Taqwa's behalf as to its nature and 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do not think that liability can be found against Southside on the same basis. I have rejected the evidence that Mr. Omer agreed at any point to invest in it and would characterize the deposit of his money in its account as an allocation of it by Mr. Badshah as part of his agreement with Mr. Omer on behalf of Taqwa. My rejection of the investment scenario also eliminates any basis to characterize Mr. Badshah as also being Southside's agent in relation to the agreement.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Unjust enrichment was pleaded only as an alternative basis of liability, in the event that the contract alleged between Mr. Omer and Taqwa was found not to be valid, so there is no need to consider the implications of Southside being the actual recipient of the loan money.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also do not think that it can be said that Mr. Badshah contracted separately on his own behalf, despite the statement on the promissory note that he and Taqwa had received the $75,000 previously. There was no real explanation for the addition of that language, and no evidence from Mr. Omer that he ever considered himself to be contracting with Mr. Badshah in addition to Taqwa, as opposed to solely on its behalf.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Next, I must determine whether the elements of civil fraud (also known as the tort deceit or fraudulent misrepresentation) have been made out against Mr. Badshah. These are: (1) a false representation made by the defendant; (2) some level of knowledge by the defendant of the falseness of the representation (whether actual knowledge or recklessness); (3) the false representation caused the plaintiff to act; and (4) the plaintiff's actions resulted in a loss: </w:t>
      </w:r>
      <w:r>
        <w:rPr>
          <w:rFonts w:ascii="arial" w:eastAsia="arial" w:hAnsi="arial" w:cs="arial"/>
          <w:i/>
          <w:color w:val="000000"/>
          <w:sz w:val="20"/>
          <w:lang w:val="en-US" w:eastAsia="en-US" w:bidi="ar-SA"/>
        </w:rPr>
        <w:t>Bruno Appliance and Furniture Inc. v. Hryniak</w:t>
      </w:r>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2014 SCC 8</w:t>
        </w:r>
      </w:hyperlink>
      <w:r>
        <w:rPr>
          <w:rFonts w:ascii="arial" w:eastAsia="arial" w:hAnsi="arial" w:cs="arial"/>
          <w:color w:val="000000"/>
          <w:sz w:val="20"/>
          <w:lang w:val="en-US" w:eastAsia="en-US" w:bidi="ar-SA"/>
        </w:rPr>
        <w:t xml:space="preserve"> at para. 21.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same material facts were pleaded in support of both the breach of contract and the fraud, and it is clear from the submissions by Mr. Omer's counsel that he relied on the same representations about the loan to Taqwa that supported the existence of a contract.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Badshah's subsequent manipulations to show the $75,000 as a liability of Taqwa and to have the company purport to pay interest on it (which in light of his extensive pattern of arranging unauthorized payments to himself from the company, I am satisfied he was responsible for), were misleading to Mr. Omer and obviously dishonest in relation to Taqwa. However, I am not satisfied that his representations to Mr. Omer at the time of the agreement or the signing of the promissory note were necessarily knowingly or recklessly false.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Omer agreed to make the cheques out to Southside under the belief that it and Taqwa were all one entity, and it is equally plausible, given the close relationship between the two companies and the intentions of their operators to pursue franchising opportunities, that during this transaction Mr. Badshah was legitimately intending to commit Taqwa to borrowing money that he would then allocate to Southside. The same is true of the recording and updating of the original oral agreement in the promissory note.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There seems to have been a substantial period of time during which he was acting on behalf of both companies, and despite his subsequent double-dealing and inconsistent explanations for his actions, I cannot say on a balance of probabilities that he did not intend to have Taqwa ultimately honour the commitments to Mr. Omer that he was making on its behalf, and that he made those commitments falsely or recklessly simply to obtain the money.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As a result, I am unable to find Mr. Badshah liable in civil fraud. This in turn makes it unnecessary to decide whether Taqwa is vicariously liable for that fraud.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Having found liability against Taqwa, I must consider Taqwa's third party claims.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With respect to the claim against Mr. Badshah, it is certainly open to a principal to seek indemnification from an agent for torts committed by the agent in the course of their agency, and for which the principal has been held liable: </w:t>
      </w:r>
      <w:r>
        <w:rPr>
          <w:rFonts w:ascii="arial" w:eastAsia="arial" w:hAnsi="arial" w:cs="arial"/>
          <w:i/>
          <w:color w:val="000000"/>
          <w:sz w:val="20"/>
          <w:lang w:val="en-US" w:eastAsia="en-US" w:bidi="ar-SA"/>
        </w:rPr>
        <w:t>Fenn v. Peterborough (City)</w:t>
      </w:r>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(1979), 104 DLR (3d) 174</w:t>
        </w:r>
      </w:hyperlink>
      <w:r>
        <w:rPr>
          <w:rFonts w:ascii="arial" w:eastAsia="arial" w:hAnsi="arial" w:cs="arial"/>
          <w:color w:val="000000"/>
          <w:sz w:val="20"/>
          <w:lang w:val="en-US" w:eastAsia="en-US" w:bidi="ar-SA"/>
        </w:rPr>
        <w:t xml:space="preserve"> (Ont CA) at p. 444. In this case however, Taqwa's liability arises from Mr. Badshah's exercise of ostensible authority as its agent, and I was not satisfied that the tort of civil fraud was committed here. Further, where the principal is actually seeking compensation for a breach by the agent of the terms of the agent's employment, that it is not a proper subject of third party proceedings against the agent, because it does out arise of the matter for which the principal has been held liable: </w:t>
      </w:r>
      <w:r>
        <w:rPr>
          <w:rFonts w:ascii="arial" w:eastAsia="arial" w:hAnsi="arial" w:cs="arial"/>
          <w:i/>
          <w:color w:val="000000"/>
          <w:sz w:val="20"/>
          <w:lang w:val="en-US" w:eastAsia="en-US" w:bidi="ar-SA"/>
        </w:rPr>
        <w:t>Westlands Industrial Park Ltd. v. Burgee Developments Ltd.</w:t>
      </w:r>
      <w:r>
        <w:rPr>
          <w:rFonts w:ascii="arial" w:eastAsia="arial" w:hAnsi="arial" w:cs="arial"/>
          <w:color w:val="000000"/>
          <w:sz w:val="20"/>
          <w:lang w:val="en-US" w:eastAsia="en-US" w:bidi="ar-SA"/>
        </w:rPr>
        <w:t xml:space="preserve">, </w:t>
      </w:r>
      <w:hyperlink r:id="rId808" w:history="1">
        <w:r>
          <w:rPr>
            <w:rFonts w:ascii="arial" w:eastAsia="arial" w:hAnsi="arial" w:cs="arial"/>
            <w:i/>
            <w:color w:val="0077CC"/>
            <w:sz w:val="20"/>
            <w:u w:val="single"/>
            <w:shd w:val="clear" w:color="auto" w:fill="FFFFFF"/>
            <w:lang w:val="en-US" w:eastAsia="en-US" w:bidi="ar-SA"/>
          </w:rPr>
          <w:t>[1982] A.J. No. 42</w:t>
        </w:r>
      </w:hyperlink>
      <w:r>
        <w:rPr>
          <w:rFonts w:ascii="arial" w:eastAsia="arial" w:hAnsi="arial" w:cs="arial"/>
          <w:color w:val="000000"/>
          <w:sz w:val="20"/>
          <w:lang w:val="en-US" w:eastAsia="en-US" w:bidi="ar-SA"/>
        </w:rPr>
        <w:t xml:space="preserve"> (Q.B. Master) at paras. 38-41. So, while Taqwa may have separate remedies against Mr. Badshah for wrongdoing in the course of his employment, those cannot be pursued in the context of this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For the claim against Mr. Krishna, the question is whether the absence of expert evidence on the standard of care applicable to him in that situation is fatal to a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him. The principles to be considered were helpfully summarized in </w:t>
      </w:r>
      <w:r>
        <w:rPr>
          <w:rFonts w:ascii="arial" w:eastAsia="arial" w:hAnsi="arial" w:cs="arial"/>
          <w:i/>
          <w:color w:val="000000"/>
          <w:sz w:val="20"/>
          <w:lang w:val="en-US" w:eastAsia="en-US" w:bidi="ar-SA"/>
        </w:rPr>
        <w:t>Krawchuk v. Scherbak et al.</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2011 ONCA 352</w:t>
        </w:r>
      </w:hyperlink>
      <w:r>
        <w:rPr>
          <w:rFonts w:ascii="arial" w:eastAsia="arial" w:hAnsi="arial" w:cs="arial"/>
          <w:color w:val="000000"/>
          <w:sz w:val="20"/>
          <w:lang w:val="en-US" w:eastAsia="en-US" w:bidi="ar-SA"/>
        </w:rPr>
        <w: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[132] While the authorities discussed above indicate that, as a general rule, it will not be possible to determine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 given situation without the benefit of expert evidence, they do indicate two exceptions to this general rule.</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[133] The first exception applies to cases in which it is possible to reliably determine the standard of care without the assistance of expert evidence. As explained by Southin J.A., at para. 44 of </w:t>
      </w:r>
      <w:r>
        <w:rPr>
          <w:rFonts w:ascii="arial" w:eastAsia="arial" w:hAnsi="arial" w:cs="arial"/>
          <w:i/>
          <w:color w:val="000000"/>
          <w:sz w:val="20"/>
          <w:lang w:val="en-US" w:eastAsia="en-US" w:bidi="ar-SA"/>
        </w:rPr>
        <w:t>Zink v. Adrian</w:t>
      </w:r>
      <w:r>
        <w:rPr>
          <w:rFonts w:ascii="arial" w:eastAsia="arial" w:hAnsi="arial" w:cs="arial"/>
          <w:color w:val="000000"/>
          <w:sz w:val="20"/>
          <w:lang w:val="en-US" w:eastAsia="en-US" w:bidi="ar-SA"/>
        </w:rPr>
        <w:t xml:space="preserve">, </w:t>
      </w:r>
      <w:hyperlink r:id="rId810" w:history="1">
        <w:r>
          <w:rPr>
            <w:rFonts w:ascii="arial" w:eastAsia="arial" w:hAnsi="arial" w:cs="arial"/>
            <w:i/>
            <w:color w:val="0077CC"/>
            <w:sz w:val="20"/>
            <w:u w:val="single"/>
            <w:shd w:val="clear" w:color="auto" w:fill="FFFFFF"/>
            <w:lang w:val="en-US" w:eastAsia="en-US" w:bidi="ar-SA"/>
          </w:rPr>
          <w:t>2005 BCCA 93</w:t>
        </w:r>
      </w:hyperlink>
      <w:r>
        <w:rPr>
          <w:rFonts w:ascii="arial" w:eastAsia="arial" w:hAnsi="arial" w:cs="arial"/>
          <w:color w:val="000000"/>
          <w:sz w:val="20"/>
          <w:lang w:val="en-US" w:eastAsia="en-US" w:bidi="ar-SA"/>
        </w:rPr>
        <w:t>, this will be the case only where the court is faced with "non-technical matters or those of which an ordinary person may be expected to have knowledge".</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[135] The second exception applies to cases in which the impugned actions of the defendant are so egregious that it is obvious that his or her conduct has fallen short of the standard of care, even without knowing precisely the parameters of that standard: see [page 630] </w:t>
      </w:r>
      <w:r>
        <w:rPr>
          <w:rFonts w:ascii="arial" w:eastAsia="arial" w:hAnsi="arial" w:cs="arial"/>
          <w:i/>
          <w:color w:val="000000"/>
          <w:sz w:val="20"/>
          <w:lang w:val="en-US" w:eastAsia="en-US" w:bidi="ar-SA"/>
        </w:rPr>
        <w:t>Cosway v. Boorman's Investment Co.</w:t>
      </w:r>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[2008] B.C.J. No. 2081</w:t>
        </w:r>
      </w:hyperlink>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2008 BCSC 1482</w:t>
        </w:r>
      </w:hyperlink>
      <w:r>
        <w:rPr>
          <w:rFonts w:ascii="arial" w:eastAsia="arial" w:hAnsi="arial" w:cs="arial"/>
          <w:color w:val="000000"/>
          <w:sz w:val="20"/>
          <w:lang w:val="en-US" w:eastAsia="en-US" w:bidi="ar-SA"/>
        </w:rPr>
        <w:t xml:space="preserve">, at para. 35. As can be seen, this second exception involves circumstances where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be determined without first identifying the parameters of the standard of care rather than identifying a standard of care without the assistance of expert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do not think either of those exceptions apply here. It is not possible to determine without expert assistance what standard should be expected of a notary who is informed by the parties that he is simply assisting them to put an existing and already partly executed agreement into writing and then witnessing their signatures on it. In particular, I cannot determine whether such a notary is required to look behind the authority to represent a corporation that is claimed by one of the parties. Nor is the error so egregious that I can conclude that it must inevitably have been a breach of any reasonable standard.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Krishna was willing to make assumptions about Mr. Badshah's trustworthiness based on his religious activities, and about his role with Taqwa based on his actions and statements in connection with the nearby store. But without knowing whether the standard actually mandated deeper inquiries in these specific circumstances, it would be question-begging to characterize this credulity as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As a result, the third party actions must be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As damages, Mr. Omer seeks the return of the $75,000, plus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from the date that the cause of action arose. He identifies that date as January 1, 2015 - which I take to be the point at which Taqwa definitively refused to return his money. I will make that 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Unless there are additional matters that should be considered on the issue of costs, in which case a further hearing or written submissions can be arranged, Mr. Omer and Mr. Krishna will each receive their costs as successful parties at the ordinary scale of difficulty. Also subject to further submissions, I would not award Southside or Mr. Badshah costs arising from the dismissal of the claims against them - in Southside's case because of its transitory reinstatement and in Mr. Badshah's because of his failure to attend the trial.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T.A. SCHULTES J.</w:t>
      </w:r>
      <w:r>
        <w:rPr>
          <w:lang w:val="en-US" w:eastAsia="en-US" w:bidi="ar-SA"/>
        </w:rPr>
        <w:cr/>
      </w:r>
    </w:p>
    <w:p>
      <w:pPr>
        <w:spacing w:after="240"/>
        <w:rPr>
          <w:lang w:val="en-US" w:eastAsia="en-US" w:bidi="ar-SA"/>
        </w:rPr>
      </w:pPr>
      <w:r>
        <w:pict>
          <v:line id="_x0000_s1162" style="position:absolute;z-index:251799552" from="0,15pt" to="180pt,15pt" strokecolor="#bcbeb0" strokeweight="0.5pt">
            <v:stroke linestyle="single"/>
          </v:line>
        </w:pict>
      </w:r>
    </w:p>
    <w:p>
      <w:pPr>
        <w:rPr>
          <w:lang w:val="en-US" w:eastAsia="en-US" w:bidi="ar-SA"/>
        </w:rPr>
      </w:pPr>
    </w:p>
    <w:p>
      <w:pPr>
        <w:spacing w:before="120" w:after="20" w:line="240" w:lineRule="atLeast"/>
        <w:ind w:left="720" w:hanging="360"/>
        <w:jc w:val="both"/>
        <w:rPr>
          <w:lang w:val="en-US" w:eastAsia="en-US" w:bidi="ar-SA"/>
        </w:rPr>
      </w:pPr>
      <w:bookmarkStart w:id="154" w:name="Forward_fnref_fnr-1_1"/>
      <w:hyperlink w:anchor="Backward_fnref_fnr-1" w:history="1">
        <w:r>
          <w:rPr>
            <w:rFonts w:ascii="arial" w:eastAsia="arial" w:hAnsi="arial" w:cs="arial"/>
            <w:b/>
            <w:color w:val="BE161D"/>
            <w:sz w:val="18"/>
            <w:shd w:val="clear" w:color="auto" w:fill="FFFFFF"/>
            <w:lang w:val="en-US" w:eastAsia="en-US" w:bidi="ar-SA"/>
          </w:rPr>
          <w:t>1</w:t>
        </w:r>
      </w:hyperlink>
      <w:bookmarkEnd w:id="154"/>
      <w:r>
        <w:rPr>
          <w:lang w:val="en-US" w:eastAsia="en-US" w:bidi="ar-SA"/>
        </w:rPr>
        <w:tab/>
      </w:r>
      <w:r>
        <w:rPr>
          <w:rFonts w:ascii="arial" w:eastAsia="arial" w:hAnsi="arial" w:cs="arial"/>
          <w:color w:val="6D6E71"/>
          <w:sz w:val="18"/>
          <w:lang w:val="en-US" w:eastAsia="en-US" w:bidi="ar-SA"/>
        </w:rPr>
        <w:t>[1] His wife, Hind Mustafa, is also a plaintiff. She did not testify, but Mr. Omer described her involvement in providing the money in question as being the same as his.</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8159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12"/>
          <w:headerReference w:type="default" r:id="rId813"/>
          <w:footerReference w:type="even" r:id="rId814"/>
          <w:footerReference w:type="default" r:id="rId815"/>
          <w:headerReference w:type="first" r:id="rId816"/>
          <w:footerReference w:type="first" r:id="rId81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18" w:history="1">
        <w:r>
          <w:rPr>
            <w:rFonts w:ascii="arial" w:eastAsia="arial" w:hAnsi="arial" w:cs="arial"/>
            <w:b/>
            <w:bCs/>
            <w:i/>
            <w:color w:val="0077CC"/>
            <w:kern w:val="32"/>
            <w:sz w:val="28"/>
            <w:szCs w:val="32"/>
            <w:u w:val="single"/>
            <w:shd w:val="clear" w:color="auto" w:fill="FFFFFF"/>
            <w:lang w:val="en-US" w:eastAsia="en-US" w:bidi="ar-SA"/>
          </w:rPr>
          <w:t>Pan v. Lau, [2020] B.C.J. No. 319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 Ehrcke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27-31 and February 3,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M184229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319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288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Guo Ping Pan, Plaintiff, and Sally Tai and Yen Lau, also known as Yen Ching Michelle Lau,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(78 paras.)</w:t>
      </w:r>
    </w:p>
    <w:p>
      <w:pPr>
        <w:jc w:val="both"/>
        <w:rPr>
          <w:rFonts w:ascii="arial" w:eastAsia="arial" w:hAnsi="arial" w:cs="arial"/>
          <w:sz w:val="20"/>
          <w:lang w:val="en-US" w:eastAsia="en-US" w:bidi="ar-SA"/>
        </w:rPr>
      </w:pPr>
      <w:bookmarkStart w:id="155" w:name="Counsel_38"/>
      <w:bookmarkEnd w:id="15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4"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David M. Smart.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Bryan Tsui, C. Gallardo-Gabanan (A/S).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6" w:name="Judgment_38"/>
      <w:bookmarkEnd w:id="156"/>
      <w:r>
        <w:pict>
          <v:line id="_x0000_s1165" style="position:absolute;z-index:2517524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7" w:name="W. EHRCKE J."/>
            <w:bookmarkEnd w:id="157"/>
            <w:r>
              <w:rPr>
                <w:rFonts w:ascii="arial" w:eastAsia="arial" w:hAnsi="arial" w:cs="arial"/>
                <w:b/>
                <w:color w:val="000000"/>
                <w:sz w:val="30"/>
                <w:lang w:val="en-US" w:eastAsia="en-US" w:bidi="ar-SA"/>
              </w:rPr>
              <w:t>W. EHRCKE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Guo Ping Pan, seeks damages for injuries she sustained in a motor vehicle accident at the intersection of West Blvd. and 41st Avenue in Vancouver, British Columbia on April 19, 2016. The defendants' liability is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time of the accident, Ms. Pan was a passenger in the rear seat of a vehicle driven by her husband, Jun Ma. She was seated directly behind him. According to Mr. Ma's evidence, which is uncontradicted, he was driving southbound on West Blvd. and entered the intersection on a green light, when the defendants' vehicle, travelling on 41st Avenue, struck the left front side of his car. He said the defendants' vehicle was going at a high speed and there was a strong impact. This is confirmed by the fact that the estimate for repairs of the damage to the two vehicles was in excess of $30,000 each. The impact from the collision caused Ms. Pan's airbag to deploy. The defendants' vehicle was being driven by the defendant Sally Tai with the consent of its owner, Yen Lau.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Following the accident, the plaintiff's vehicle was undriveable, and the police arranged for the plaintiff and her husband to take a taxi to their townhome in Richmond, where they live with their adult daughter, Li Ma. Ms. Pan began to experience tightness, pain and dizziness. She did not sleep well that night. Both her husband and her daughter noticed that she seemed nervous and distraught. Mr. Ma testified that his wife did not seem to be herself. Ms. Ma said that her mother was jumping from topic to topic when she spoke.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claims that as a result of the accident, she suffered injury and pain to her neck, shoulders, upper and lower back; pain and numbness in her legs; headaches, dizziness and nausea; loss of concentration; difficulty with memory; irritability; poor sleep and fatigue; 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Almost four years have now passed since the accident. Although the worst of the physical symptoms have mostly resolved, the plaintiff says that she still has some stiffness and pain, as well as psychological and cognitive difficulties that continue to be a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Ma was also injured in the accident. He has commenced his own court action in that regard, but that trial has not yet taken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TRIAL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Seven witnesses testified at trial: the plaintiff, Ms. Pan; her daughter, Li Ma; the plaintiff's husband, Jun Ma; Dr. Joy Wee, who was qualified as an expert in psychiatry; Dr. James Schmidt, who was qualified as an expert in neuro-psychology; Dr. Terrence Ho, who was qualified as a medical doctor with a general practice; and Dr. Timothy McDowell, a defence witness who was qualified as an expert in neurology. In addition, numerous medical reports and other documents were filed as exhibits.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and her husband have limited English-language skills, and both testified with a Mandarin interpreter. Their daughter speaks both English and Mandarin. She assisted the plaintiff in communicating with some of the medical professionals.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found all three members of the family to be generally credible and reliable witnesses. I do not accept the defence contention that Ms. Ma's evidence should be discounted because of bias in favour of her mother.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Situation Before and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Pan was born in Shanghai, China in 1959. She is now 63 years old, and she was 59 at the time of the accident. She graduated from a two-year technical college in 1976, having studied chemistry. She worked for seven years in a chemical factory. She and her husband married in 1981, and their daughter was born in 1983. They came to Canada around 1990 and became Canadian citizens in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Starting in 1993, the couple purchased and operated a succession of restaurants in the Vancouver area. From 2005 to 2012, they owned and operated Jun Sushi on Cambie Street. They sold that restaurant in late 2012 and during 2013, Ms. Pan worked about 10 hours a week looking after a neighbour's children for $10 per hour. In April 2014, they purchased a restaurant in Kitsilano which they operated under the name Sushi Lano. They also purchased the strata lot where the restaurant operated. In addition to paying themselves a salary of around $3,000 per month, the restaurant business also paid them a rental amount of $2,000 per month for the use of the strata lot. They worked 10 or 11 hour days, 6 days a week, but both said that they enjoyed their work and took great satisfaction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home, Ms. Pan did most of the cleaning and laundry, while her husband did most of the cooking. They did the shopping together. Because of their long work schedule, there was little time for recreation, but Ms. Pan did play ping pong, practiced yoga, and went for walks or hikes. She took pride in keeping a clean and tidy home, and regularly entertained friends there. She described herself as a happy person who was in good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April 15, 2016, just a few days before the accident, Ms. Pan was diagnosed with colon cancer. She decided to travel to Shanghai, China for treatment in order to avoid a wait time for treatment here. They bought plane tickets to leave on April 20th and to return to Canada in June. They closed the restaurant, telling customers that they would reopen in June. At that time, they had no plans to retire.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accident happened in the evening of April 19, 2016, as they were on their way home from the restaurant. Because their flight was leaving on April 20th, they had little time for medical consultations regarding the accident before they left. Ms. Pan could not go to her regular family physician, Dr. Fong, because that office had not opened yet. Instead, her daughter drove her to a walk-in clinic, where she saw Dr. Ho, who examined her and found soft-tissue injuries. That same day, she boarded her flight for Shanghai.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She had surgery for her colon cancer later that week, but following the surgery, she was told that she would also need a course of chemotherapy, which kept her in Shanghai until November,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a result, they were not able to return to Vancouver to reopen the restaurant in June as had been planned. Instead, they wound up selling the restaurant business. The new owner changed the name of the restaurant and entered into a 3-year lease for the strata lot paying roughly $2,000 per month rent, but the lease was terminated in September 2018 because of a default on the lease payments. The property remained vacant from August 2018 to August 2019, and they ultimately sold the strata lot for $478,000 in August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Neither the plaintiff nor her husband has returned to work since the accident. Ms. Pan feels that she cannot return to work because of a combination of low back pain and cognitive difficulties. As a result, the couple have found it necessary to rely on financial help from relatives.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Pan testified that she was relieved at the end of her chemotherapy when she was told that her treatment had been a success. Upon returning to Canada, however, she found that she was still experiencing the effects of the motor vehicle accident, and she grew depressed when treatment was not 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She continued to see Dr. Ho in this regard. He recommended a chiropractor and active rehabilitation. She followed through on those recommendations. She has attended Dr. Chow, a chiropractor; Peggy Lee, a registered massage therapist; KARP Rehabilitation for active rehabilitation; and Dr. Xiao Yuan for muscle injections. She has also seen Dr. Joy Wee, a physiatrist, and Bessie Wang, a psychologist.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Over time, Ms. Pan's physical symptoms have gradually improved, although she still has problems with low back pain. Some of the therapy, such as chiropractic and massage, has provided temporary relief, but no apparent lasting benefit. She found that the muscle injections were not useful.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Pan's cognitive and psychological problems have persisted. In terms of depression, the worst period was in late 2017 and early 2018, when she began to have suicidal thoughts. Fortunately, her depression improved significantly when she began counselling with a psychologist, Bessie Wang. However, her anxiety and cognitive symptoms have not improved as much. Both her husband and her daughter gave evidence that her mental state is still significantly worse than before the accident. They say that she worries excessively, becomes irritable and confused, and has trouble focusing. She does not appear to enjoy life as much as she did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an example of Ms. Pan's cognitive changes, her daughter described how she used to be very quick with mental math. At the market, she would do calculations in her head for discounts or sales tax, whereas now she has to rely on a calculator.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Pan testified that her memory now is poor. She often forgets her glasses or leaves the key in the lock. She says she has trouble following television shows or understanding what she reads and has trouble concentrating. She said she is scared of the smallest thing. She still will not drive, and she is afraid to ride with others. She worries and becomes scared if her daughter or her husband come home late. She said her sleep is not good on an average of 4-5 times a week. She gets nightmares, wakes in the middle of the night and cannot return to sleep. She states it was not like this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Because of her lower back problems, Ms. Pan still cannot do housework as efficiently as before. For example, it is difficult for her to bend to use the vacuum. As a result, their home is never as clean and tidy as it was before the accident. Ms. Pan explained that because of this, she does not invite guests over to their house to visit as regularly as she had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Following the counselling advice of Bessie Wang, Ms. Pan has again become involved in activities like singing and dancing, which improve her mood. She does some yoga and some walking, but she cannot do either to the same extent as before the accident. She has not resumed ping pong.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Medical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his report dated November 7, 2019, Dr. Ho wrote that Ms. Pan continues to complain of flare-ups of stiffness and pain to the neck, upper back, upper shoulders, and lower back; difficulty concentrating and focusing; difficulty with logical thinking; numbness and tingling to the lower extremities bilaterally from the knee down to the level of the foot; anxiety, especially around vehicles; and being unable to resume her pre-accident activity level. He made a diagnosis of soft-tissue injuries, anxiety and chronic headaches. He said that in his opinion, the accident is the main cause of her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Counsel for the defendant notes that Dr. Ho's records do not indicate he received any complaint of cognitive impairment until September 25, 2019, and submits that this should cast doubt on whether any such impairment was caused by the accident. As well, he submits that it may be an indication of a failure to mitigate, by failing to obtain early treatment for such symptoms. Plaintiff's counsel submits that there may have been a failure of communication with Dr. Ho, due to his inability to speak Mandarin, and Ms. Pan's very limited ability to speak English.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physiatrist Dr. Wee wrote in her report dated August 30, 2019 that Ms. Pan suffered muscular strain or myofascial pain syndrome, as well as a mild traumatic brain injury. She also found that Ms. Pan had a curve in her low spine, which may affect her ability to stretch her low back muscles adequately. She said it was likely that some residual impairments would persist even after the next 2 to 3 years, and that Ms. Pan would likely continue to experience some degree of back pain long-term even after a course of treatment and improvements.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neuropsychologist, Dr. Schmidt, wrote in his report dated October 22, 2019 that Ms. Pan might have suffered a neuropsychologically significant mild traumatic brain injury, but "all other things being equal, she would have been expected to show a full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Having conducted various tests and having interviewed Ms. Pan and her daughter,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Taking the historical information together with the test results and interview findings, it is my opinion that Ms. Pan does have difficulties with mental efficiency and basic focused attention. However, it is also my opinion that on the balance of probabilities these difficulties are not likely due to traumatic brain injury, but rather are manifestations of her other problems including her ongoing pain, depression, and anxiety. Her anxiety is both generalized and focused, specifically on vehicles and driving.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a diagnostic standpoint, then, it is in my opinion more likely than not that Ms. Pan suffers from significant emotional disruption as a result of the accident in question. Determining the exact nature of that emotional disruption is extremely difficult given the language and cultural factors, both of which can impact on how emotional disturbances present. In that context I would conclude that she is suffering, at minimum, from an Adjustment Disorder with Mixed Anxiety and Depressed Mood, and may be suffering from a Major Depressive Disorder and/ or a Generalized Anxiety Disorder. She is also in my opinion suffering from a Specific Phobia related to driving and motor vehicles. Finally, she presents with at least elements of a Posttraumatic Stress Disorder. It is further in my opinion more likely than not that but for the accident in question she would not be showing the emotional disruption she currently demonstrates.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prognosis of this matter from a psychological standpoint must be seen as guarded. Ms. Pan's language limitations represent a significant barrier to her receiving many forms of psychological intervention that might otherwise be beneficial to her. Although she has not received optimal treatment because of the language limitations, she has nevertheless received appropriate treatments which have produced only limited benefits. Likewise, given the amount time that has passed, the likelihood of any spontaneous resolution of her emotional disruption is becoming less and less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neurologist, Dr. Tim McDowell, conducted an independent medical examination for the defence. In his report dated October 29, 2019, he provided a diagnosis of concussion, and mechanical soft tissue injuries to the low back and neck.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Pan is a 62-year old female who was involved in a motor vehicle accident on April 19, 2016. She reports that there was a gap in her memory at the time of the accident which would be consistent with transient neurologic symptoms, likely after hitting her head. This meets the criteria for concussion/mild traumatic brain injury (mTBI). This is in concordance with what other physicians have reported contemporaneously. She also describes significant anxiety symptoms. It is possible that most of her transient symptoms were in fact related to an acute stress response and were psychological in nature, rather than sequelae of a mTBI; but, on balance, I think it is more likely than not that she did have a concussion. Typically the symptoms of concussion resolve within days to weeks. When symptoms persist beyond one year it is generally recommended to investigate for alternative etiology of the symptoms. At this point I think it is unlikely that her cognitive complaints, which are improving, are related to the concussion. I think it is more likely that they are nonspecific and related to chronic pain and psychological factors. Her chemotherapy may have contributed to these symptoms initially; however it is difficult to comment without knowing the specific regimen...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Headaches starting within seven days of a concussion or whiplash injury would fulfil the criteria for posttraumatic headaches. Since she denies a previous history of headaches to a significant degree it is likely she did have posttraumatic headaches. They are now rare and brief...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not expect significant disability from a neurologic perspective at this time or moving forward. Again, it is difficult to retrospectively assess how much of her symptoms are related to the underlying malignancy and its treatment versus the concussion and but for the cancer, I think it is reasonable to say she may have been partially disabled from a concussion/headache perspective for several days to approximately three months after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intermittent dizziness she is describing could be further evaluated by ENT. If it becomes more disabling, brain imaging could be considered for this as well and neuro-vestibular testing could also be considered.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see any evidence of a significant cervical or lumbar radiculopathy. Her mechanical neck and lower back pain are best opined on by the relevant experts.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Similarly, although it may be a significant aspect of her overall symptoms, I will not comment specifically on her psychiatric/anxiety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test for causation in tort cases was explained by the Supreme Court of Canada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The issue there was whether the defendant was fully liable for damages flowing from the plaintiff's disc herniation. The Court summarized the test at para.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The applicable principles can be summarized as follows. If the injuries sustained in the motor vehicle accidents caused or contributed to the disc herniation, then the defendants are fully liable for the damages flowing from the herniation. The plaintiff must prove causation by meeting the "but for" or material contribution test. Future or hypothetical events can be factored into the calculation of damages according to degrees of probability, but causation of the injury must be determined to be proven or not proven. This has the following ramifications:</w:t>
      </w:r>
    </w:p>
    <w:p>
      <w:pPr>
        <w:numPr>
          <w:numId w:val="2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disc herniation would likely have occurred at the same time, without the injuries sustained in the accident, then causation is not proven.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was necessary to have both the accidents and the pre-existing back condition for the herniation to occur, then causation is proven, since the herniation would not have occurred but for the accidents. Even if the accidents played a minor role, the defendant would be fully liable because the accidents were still a necessary contributing cause.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accidents alone could have been a sufficient cause, and the pre-existing back condition alone could have been a sufficient cause, then it is unclear which was the cause-in-fact of the disc herniation. The trial judge must determine, on a balance of probabilities, whether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am satisfied on all the evidence that following the accident, Ms. Pan suffered soft-tissue injuries and pain to her neck, shoulders and back, as well as headaches and difficulty sleeping. She sought and obtained appropriate treatment for these physical injuries, and the symptoms gradually improved over time, to the point that she is now about 70% recovered, except for her low back pain, which has resolved only about 50% to date. She still continues to experience low back pain 2 to 3 times per week for a few hours at a time. This pain is often triggered by bending over, and she finds it difficult to stand for more than 30 minutes at a time without resting. She continues to have neck and shoulder pain once or twice per month, especially when she tries to read. She experiences dizziness, perhaps once per week, although that is variable, and she has headaches about once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Applying the "but for" or material contribution test for causation as explained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I am satisfied that these injuries were caused by the motor vehicle accident that resulted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am also satisfied that Ms. Pan had, and continues to have, problems of a cognitive and psychological nature, including difficulty with memory and concentration, loss of mental acuity, anxiety,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causation of these cognitive and psychological symptoms is less straightforward than the physical symptoms on account of the possible alternate explanation that the plaintiff's diagnosis of cancer and her treatment with chemotherapy may have contributed to her feelings of depression and her cognitive impairment. The defendants submit that various other disappointing events in her life may have contributed to the plaintiff's depression. Nevertheless, I agree with counsel for the plaintiff that the test is not whether other factors may have contributed to these symptoms, but rather whether the motor vehicle accident was a material cause. The onus is not on the plaintiff to prove this beyond a reasonable doubt, but only on a balance of probabilities. Applying that standard, I am satisfied that plaintiff has met its burden. On all the evidence, including the expert medical reports and especially the neuropsychological report of Dr. Schmidt, I am satisfied on a balance of probabilities that the accident was a material cause of the plaintiff's cognitive and psychological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 and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overarching principle in assessing non-pecuniary damages is that the plaintiff is entitled to be put in the position she would have been,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to the extent that this can be done with money. The award in each case must be specific to the individual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the British Columbia Court of Appeal set out a helpful list of factors to consider in assessing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that influence an award of non-pecuniary damages includes: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723"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in the present case submits that an appropriate award for non-pecuniary damages would be $125,000. The plaintiff refers to the following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Broomfield v Lof</w:t>
      </w:r>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2019 BCSC 1155</w:t>
        </w:r>
      </w:hyperlink>
      <w:r>
        <w:rPr>
          <w:rFonts w:ascii="arial" w:eastAsia="arial" w:hAnsi="arial" w:cs="arial"/>
          <w:color w:val="000000"/>
          <w:sz w:val="20"/>
          <w:lang w:val="en-US" w:eastAsia="en-US" w:bidi="ar-SA"/>
        </w:rPr>
        <w:t>, $130,000 was awarded for general damages to a 42 year-old woman who sustained a concussion and soft tissue injuries to her neck, shoulders, and back as a result of a motor vehicle accident. She had severe headaches causing nausea, and she became irritable, argumentative, and withdrawn. Four years after the accident, she still suffered from depression and chronic pain disorder, and was still experiencing lengthy headaches with nausea connected to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Ingram v Munroe</w:t>
      </w:r>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2019 BCSC 234</w:t>
        </w:r>
      </w:hyperlink>
      <w:r>
        <w:rPr>
          <w:rFonts w:ascii="arial" w:eastAsia="arial" w:hAnsi="arial" w:cs="arial"/>
          <w:color w:val="000000"/>
          <w:sz w:val="20"/>
          <w:lang w:val="en-US" w:eastAsia="en-US" w:bidi="ar-SA"/>
        </w:rPr>
        <w:t>, the court awarded $110,000 for general damages to a 62-year-old warehouse technician who experienced headaches, neck pain, dizziness, right knee pain, left shoulder pain, vision issues, light and noise sensitivity, tinnitus, sleep disruption, difficulty concentrating, memory issues and mood impacts as a result of a motor vehicle accident. The court found that the plaintiff was unable to return to work and that this affected her sense of self-worth.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Reimer v Bischoff</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2015 BCSC 1876</w:t>
        </w:r>
      </w:hyperlink>
      <w:r>
        <w:rPr>
          <w:rFonts w:ascii="arial" w:eastAsia="arial" w:hAnsi="arial" w:cs="arial"/>
          <w:color w:val="000000"/>
          <w:sz w:val="20"/>
          <w:lang w:val="en-US" w:eastAsia="en-US" w:bidi="ar-SA"/>
        </w:rPr>
        <w:t xml:space="preserve">, rev'd on other grounds </w:t>
      </w:r>
      <w:hyperlink r:id="rId822" w:history="1">
        <w:r>
          <w:rPr>
            <w:rFonts w:ascii="arial" w:eastAsia="arial" w:hAnsi="arial" w:cs="arial"/>
            <w:i/>
            <w:color w:val="0077CC"/>
            <w:sz w:val="20"/>
            <w:u w:val="single"/>
            <w:shd w:val="clear" w:color="auto" w:fill="FFFFFF"/>
            <w:lang w:val="en-US" w:eastAsia="en-US" w:bidi="ar-SA"/>
          </w:rPr>
          <w:t>2017 BCCA 4</w:t>
        </w:r>
      </w:hyperlink>
      <w:r>
        <w:rPr>
          <w:rFonts w:ascii="arial" w:eastAsia="arial" w:hAnsi="arial" w:cs="arial"/>
          <w:color w:val="000000"/>
          <w:sz w:val="20"/>
          <w:lang w:val="en-US" w:eastAsia="en-US" w:bidi="ar-SA"/>
        </w:rPr>
        <w:t>, the court awarded $100,000 in general damages to a 55 year-old woman who suffered soft tissue injuries to her neck, shoulder and low back. She also suffered from chronic dizziness, TMJ injury, aggravation of pre-existing migraine condition, adjustment disorder with mixed anxiety and depression, fatigue and cognitive deficits.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Wiles v Seabrook</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2019 BCSC 13</w:t>
        </w:r>
      </w:hyperlink>
      <w:r>
        <w:rPr>
          <w:rFonts w:ascii="arial" w:eastAsia="arial" w:hAnsi="arial" w:cs="arial"/>
          <w:color w:val="000000"/>
          <w:sz w:val="20"/>
          <w:lang w:val="en-US" w:eastAsia="en-US" w:bidi="ar-SA"/>
        </w:rPr>
        <w:t>, a 60 year-old man was awarded $120,000 in general damages for injuries sustained in two motor vehicle accidents. He suffered chronic whiplash associated disorder, chronic myofascial pain syndrome, right C5 facet flake fracture, depressive symptoms, sleep disorder, MBTI, adjustment disorder with depressed mood verging on major depressive disorder, somatic symptom disorder, STI of neck and upper back and post-traumatic headaches, 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Defendants submit that non-pecuniary damages in this case should be assessed at $35,000 to $60,000. They refer to the following authorities in support of their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Liu v Zhang</w:t>
      </w:r>
      <w:r>
        <w:rPr>
          <w:rFonts w:ascii="arial" w:eastAsia="arial" w:hAnsi="arial" w:cs="arial"/>
          <w:color w:val="000000"/>
          <w:sz w:val="20"/>
          <w:lang w:val="en-US" w:eastAsia="en-US" w:bidi="ar-SA"/>
        </w:rPr>
        <w:t xml:space="preserve">, </w:t>
      </w:r>
      <w:hyperlink r:id="rId824" w:history="1">
        <w:r>
          <w:rPr>
            <w:rFonts w:ascii="arial" w:eastAsia="arial" w:hAnsi="arial" w:cs="arial"/>
            <w:i/>
            <w:color w:val="0077CC"/>
            <w:sz w:val="20"/>
            <w:u w:val="single"/>
            <w:shd w:val="clear" w:color="auto" w:fill="FFFFFF"/>
            <w:lang w:val="en-US" w:eastAsia="en-US" w:bidi="ar-SA"/>
          </w:rPr>
          <w:t>2019 BCSC 778</w:t>
        </w:r>
      </w:hyperlink>
      <w:r>
        <w:rPr>
          <w:rFonts w:ascii="arial" w:eastAsia="arial" w:hAnsi="arial" w:cs="arial"/>
          <w:color w:val="000000"/>
          <w:sz w:val="20"/>
          <w:lang w:val="en-US" w:eastAsia="en-US" w:bidi="ar-SA"/>
        </w:rPr>
        <w:t>, a 56 year-old woman was awarded $60,000 in non-pecuniary damages. She had persistent symptoms of headaches, dizziness, back pain and occasional neck pain due to a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Johal v Radek</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2016 BCSC 454</w:t>
        </w:r>
      </w:hyperlink>
      <w:r>
        <w:rPr>
          <w:rFonts w:ascii="arial" w:eastAsia="arial" w:hAnsi="arial" w:cs="arial"/>
          <w:color w:val="000000"/>
          <w:sz w:val="20"/>
          <w:lang w:val="en-US" w:eastAsia="en-US" w:bidi="ar-SA"/>
        </w:rPr>
        <w:t>, a 70 year-old woman who was struck on the driver side of her vehicle, was off work for 11 months and was diagnosed with a soft tissue injury to her neck, mid-back, and lower-back. She experienced periodic headaches, sleep issues, anxiety and some left shoulder and left arm pain. She was awarded $60,000 in non-pecuniary damages. For comparison purposes, some adjustment would have to be made to account for inflation.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Piper v Hassan</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2012 BCSC 189</w:t>
        </w:r>
      </w:hyperlink>
      <w:r>
        <w:rPr>
          <w:rFonts w:ascii="arial" w:eastAsia="arial" w:hAnsi="arial" w:cs="arial"/>
          <w:color w:val="000000"/>
          <w:sz w:val="20"/>
          <w:lang w:val="en-US" w:eastAsia="en-US" w:bidi="ar-SA"/>
        </w:rPr>
        <w:t>, a 50 year-old man was awarded $50,000 in non-pecuniary damages for injuries from a motor vehicle accident. He suffered lower back and neck pain which persisted and disabled him from work, but the court found that his ongoing lower back pain and neck pain were caused by a snow shovelling incident. He suffered from a pre-existing depression, which was exacerbated by the motor vehicle accident. The injuries interfered with his enjoyment of golfing and motorcycle riding. Again, the amount awarded would have to be adjusted for inflation to make this case comparable.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Abraha v Suri</w:t>
      </w:r>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2019 BCSC 1855</w:t>
        </w:r>
      </w:hyperlink>
      <w:r>
        <w:rPr>
          <w:rFonts w:ascii="arial" w:eastAsia="arial" w:hAnsi="arial" w:cs="arial"/>
          <w:color w:val="000000"/>
          <w:sz w:val="20"/>
          <w:lang w:val="en-US" w:eastAsia="en-US" w:bidi="ar-SA"/>
        </w:rPr>
        <w:t>, was a case in which a 52 year-old woman suffered neck, shoulder and lower back pain, sleep issues, psychological difficulties, anxiety, depression, and cognitive changes including memory loss, arising from a rear-end motor vehicle accident. She was awarded $70,000 in non-pecuniary damages, as well as $15,000 for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No two cases are ever identical on their facts, and the authorities cited by both the plaintiff and the defendants simply provide guidance as to an appropriate award for comparable pain, suffering, and loss of amenities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 present case, the plaintiff seeks an award of $25,000 for loss of housekeeping capacity in addition to the award for non-pecuniary damages. I am satisfied on the evidence that as a result of the accident, Ms. Pan has suffered a reduction in her capacity to perform housework and domestic chores. This is largely related to her back pain, which is exacerbated by the bending which is inevitably involved in such chores as vacuuming and cleaning. Her capacity now is about 50% of what it was before the accident, and despite the help she receives from her husband and daughter, the result is that the home is now not kept as clean and tidy as it used to be. Whereas a clean house used to be a source of pride for Ms. Pan, she finds that she is now somewhat reluctant to invite people over to visit, because her home is not as clean as she would like it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Kim v Lin</w:t>
      </w:r>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2018 BCCA 77</w:t>
        </w:r>
      </w:hyperlink>
      <w:r>
        <w:rPr>
          <w:rFonts w:ascii="arial" w:eastAsia="arial" w:hAnsi="arial" w:cs="arial"/>
          <w:color w:val="000000"/>
          <w:sz w:val="20"/>
          <w:lang w:val="en-US" w:eastAsia="en-US" w:bidi="ar-SA"/>
        </w:rPr>
        <w:t>, the British Columbia Court of Appeal recognized that there are two ways of compensating for a proven loss of housekeeping capacity: either as a separate head of damages, or as a component of non-pecuniary damages. The court said,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Therefore, where a plaintiff suffers an injury which would make a reasonable person in the plaintiff's circumstances unable to perform usual and necessary household work -- i.e., where the plaintiff has suffered a true loss of capacity -- that loss may be compensated by a pecuniary damages award. Where the plaintiff suffers a loss that is more in keeping with a loss of amenities, or increased pain and suffering, that loss may instead be compensated by a non-pecuniary damages award. However, I do not wish to create an inflexible rule for courts addressing these awards, and as this Court said in </w:t>
      </w:r>
      <w:r>
        <w:rPr>
          <w:rFonts w:ascii="arial" w:eastAsia="arial" w:hAnsi="arial" w:cs="arial"/>
          <w:i/>
          <w:color w:val="000000"/>
          <w:sz w:val="20"/>
          <w:lang w:val="en-US" w:eastAsia="en-US" w:bidi="ar-SA"/>
        </w:rPr>
        <w:t>Liu</w:t>
      </w:r>
      <w:r>
        <w:rPr>
          <w:rFonts w:ascii="arial" w:eastAsia="arial" w:hAnsi="arial" w:cs="arial"/>
          <w:color w:val="000000"/>
          <w:sz w:val="20"/>
          <w:lang w:val="en-US" w:eastAsia="en-US" w:bidi="ar-SA"/>
        </w:rPr>
        <w:t>, "it lies in the trial judge's discretion whether to address such a claim as part of the non-pecuniary loss or as a segregated pecuniary head of damage":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the case of Ms. Pan, I find that her loss of housekeeping capacity is most appropriately considered as the loss of an amenity. It is something that negatively affects her enjoyment of life. I shall therefore take this into account in assessing the award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On all the evidence, and taking account of the various factors listed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I am satisfied that non-pecuniary damages, including loss of housekeeping capacity, should be assessed at $80,000.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defendants submit that the plaintiff's award for damages should be reduced on account of a failure to take reasonable steps to mitigate her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the Supreme Court of Canada held at para. 32 the defendant bears the burden of proving that the plaintiff could have and should have mitigated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defendants submit that the plaintiff did not report all her symptoms in a timely way to Dr. Ho and that she should have found a Mandarin speaking doctor and a Mandarin speaking counsellor.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is evidence that Dr. Ho recommended psychological counselling in January 2018, but that Mrs. Pan did not begin treatments with Bessie Wong until April 2,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am not satisfied that the defendants have met the burden on them of establishing a failure to mitigate. There clearly were some language difficulties, but the plaintiff took reasonable steps of having her daughter assist her with communication. Although it would have been desirable to be treated by Mandarin speaking professionals, there is evidence that Mandarin speaking counsellors are in short supply and this would have involved a long waiting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well, I am not satisfied that the defendants have shown that any delay in obtaining treatment had the effect of delaying resolution of the plaintiff's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would not make any reduction in the damages award for failure to mitigate.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submits that she should be awarded $50,000-$75,000 for loss of earning capacity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defendants submit that there should be no award under this head of damages, because it has not been shown that any loss is attributable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relevant legal principles were summarized by Madam Justice Warren in </w:t>
      </w:r>
      <w:r>
        <w:rPr>
          <w:rFonts w:ascii="arial" w:eastAsia="arial" w:hAnsi="arial" w:cs="arial"/>
          <w:i/>
          <w:color w:val="000000"/>
          <w:sz w:val="20"/>
          <w:lang w:val="en-US" w:eastAsia="en-US" w:bidi="ar-SA"/>
        </w:rPr>
        <w:t>Bhandal v Charlebois</w:t>
      </w:r>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2015 BCSC 2315</w:t>
        </w:r>
      </w:hyperlink>
      <w:r>
        <w:rPr>
          <w:rFonts w:ascii="arial" w:eastAsia="arial" w:hAnsi="arial" w:cs="arial"/>
          <w:color w:val="000000"/>
          <w:sz w:val="20"/>
          <w:lang w:val="en-US" w:eastAsia="en-US" w:bidi="ar-SA"/>
        </w:rPr>
        <w:t>, at paras. 150-153: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[150] To establish a claim for future loss of income earning capacity, a plaintiff must first prove a real and substantial possibility of a future event leading to a loss of income, as opposed to a speculative loss: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The onus on the plaintiff is not heavy but must nonetheless be met: </w:t>
      </w:r>
      <w:r>
        <w:rPr>
          <w:rFonts w:ascii="arial" w:eastAsia="arial" w:hAnsi="arial" w:cs="arial"/>
          <w:i/>
          <w:color w:val="000000"/>
          <w:sz w:val="20"/>
          <w:lang w:val="en-US" w:eastAsia="en-US" w:bidi="ar-SA"/>
        </w:rPr>
        <w:t>Kim v. Morier</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2014 BCCA 63</w:t>
        </w:r>
      </w:hyperlink>
      <w:r>
        <w:rPr>
          <w:rFonts w:ascii="arial" w:eastAsia="arial" w:hAnsi="arial" w:cs="arial"/>
          <w:color w:val="000000"/>
          <w:sz w:val="20"/>
          <w:lang w:val="en-US" w:eastAsia="en-US" w:bidi="ar-SA"/>
        </w:rPr>
        <w:t xml:space="preserve"> at para. 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[151] If the plaintiff discharges that burden, then the loss must be assessed, taking into account all realistic positive and negative contingencies. The assessment may employ what has been referred to as an "earnings approach" or a "capital asset approach": </w:t>
      </w:r>
      <w:r>
        <w:rPr>
          <w:rFonts w:ascii="arial" w:eastAsia="arial" w:hAnsi="arial" w:cs="arial"/>
          <w:i/>
          <w:color w:val="000000"/>
          <w:sz w:val="20"/>
          <w:lang w:val="en-US" w:eastAsia="en-US" w:bidi="ar-SA"/>
        </w:rPr>
        <w:t>Schenker v. Scott</w:t>
      </w:r>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2014 BCCA 203</w:t>
        </w:r>
      </w:hyperlink>
      <w:r>
        <w:rPr>
          <w:rFonts w:ascii="arial" w:eastAsia="arial" w:hAnsi="arial" w:cs="arial"/>
          <w:color w:val="000000"/>
          <w:sz w:val="20"/>
          <w:lang w:val="en-US" w:eastAsia="en-US" w:bidi="ar-SA"/>
        </w:rPr>
        <w:t xml:space="preserve"> at paras. 50-51;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 53; and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[152] The earnings approach is generally appropriate where the loss is more easily measurable, such as where the plaintiff has some earnings history and where the court can reasonably estimate what his/her likely future earning capacity will be. This approach typically involves an assessment of the plaintiff's estimated annual income loss multiplied by the remaining years of work and then discounted to reflect current value, or alternatively, awarding the plaintiff's entire annual income for a year or two: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at para. 43; and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[153] The capital asset approach, which is typically used in cases where the loss is not as easily measurable, involves consideration of a number of factors including whether the plaintiff has been rendered less capable overall of earning income from all types of employment, is less marketable or attractive as a potential employee, has lost the ability to take advantage of all job opportunities that might otherwise have been open, and is less valuable to himself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at para. 8; and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 xml:space="preserve"> at paras. 53 and 56. As stated recently by Justice </w:t>
      </w:r>
      <w:r>
        <w:rPr>
          <w:rFonts w:ascii="arial" w:eastAsia="arial" w:hAnsi="arial" w:cs="arial"/>
          <w:i/>
          <w:color w:val="000000"/>
          <w:sz w:val="20"/>
          <w:lang w:val="en-US" w:eastAsia="en-US" w:bidi="ar-SA"/>
        </w:rPr>
        <w:t>Schultes in Litt v. Guo</w:t>
      </w:r>
      <w:r>
        <w:rPr>
          <w:rFonts w:ascii="arial" w:eastAsia="arial" w:hAnsi="arial" w:cs="arial"/>
          <w:color w:val="000000"/>
          <w:sz w:val="20"/>
          <w:lang w:val="en-US" w:eastAsia="en-US" w:bidi="ar-SA"/>
        </w:rPr>
        <w:t xml:space="preserve">, </w:t>
      </w:r>
      <w:hyperlink r:id="rId833" w:history="1">
        <w:r>
          <w:rPr>
            <w:rFonts w:ascii="arial" w:eastAsia="arial" w:hAnsi="arial" w:cs="arial"/>
            <w:i/>
            <w:color w:val="0077CC"/>
            <w:sz w:val="20"/>
            <w:u w:val="single"/>
            <w:shd w:val="clear" w:color="auto" w:fill="FFFFFF"/>
            <w:lang w:val="en-US" w:eastAsia="en-US" w:bidi="ar-SA"/>
          </w:rPr>
          <w:t>2015 BCSC 2207</w:t>
        </w:r>
      </w:hyperlink>
      <w:r>
        <w:rPr>
          <w:rFonts w:ascii="arial" w:eastAsia="arial" w:hAnsi="arial" w:cs="arial"/>
          <w:color w:val="000000"/>
          <w:sz w:val="20"/>
          <w:lang w:val="en-US" w:eastAsia="en-US" w:bidi="ar-SA"/>
        </w:rPr>
        <w:t xml:space="preserve"> at para. 388: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factors] must be addressed in the context of the facts of the case, and the trial judge must make findings of fact as to the nature and extent of the plaintiff's loss of capacity and how that loss may impact on the plaintiff's ability to earn income: </w:t>
      </w:r>
      <w:r>
        <w:rPr>
          <w:rFonts w:ascii="arial" w:eastAsia="arial" w:hAnsi="arial" w:cs="arial"/>
          <w:i/>
          <w:color w:val="000000"/>
          <w:sz w:val="20"/>
          <w:lang w:val="en-US" w:eastAsia="en-US" w:bidi="ar-SA"/>
        </w:rPr>
        <w:t>Morris v. Rose Estate</w:t>
      </w:r>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(1996), 23 B.C.L.R. (3d) 256</w:t>
        </w:r>
      </w:hyperlink>
      <w:r>
        <w:rPr>
          <w:rFonts w:ascii="arial" w:eastAsia="arial" w:hAnsi="arial" w:cs="arial"/>
          <w:color w:val="000000"/>
          <w:sz w:val="20"/>
          <w:lang w:val="en-US" w:eastAsia="en-US" w:bidi="ar-SA"/>
        </w:rPr>
        <w:t xml:space="preserve"> (C.A.) at para. 24. In other words, while the capital asset approach is not the mathematical calculation, the trial judge must still make findings of fact on which to base the assessment: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 xml:space="preserve"> ... at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agree with counsel for the plaintiff that in this case, the capital asset approach is more appropriate than the earnings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unusual aspect of the present case is that the plaintiff and her husband closed the Sushi Lano restaurant just before the motor vehicle accident occurred. The closure was not because of the motor vehicle accident, but rather, it was because of Ms. Pan's cancer diagnosis. Although she and her husband initially intended to reopen the restaurant, they gave up that idea when they learned how long the course of chemotherapy in China would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the plaintiff explained, because of the length of the chemotherapy, their return to Canada would be during the restaurant's slow season. They decided that it was better to sell the Sushi Lano business and lease their strata lot to the purchaser, as this would allow them to have a stream of income from the rent. Ultimately, the new owner closed the business in September 2018 and removed or altered the equipment in the strata lot. The plaintiff and her husband subsequently sold the strata lot. I agree with the defendants that the decision not to reopen the restaurant was unrelated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Although prior to the cancer diagnosis, the plaintiff and her husband had made no plans to retire, I am not satisfied that there is evidence to show a real and substantial possibility that but for the accident, they might have bought and run a new restaurant after their return from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must then consider the possibility of Ms. Pan obtaining other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do not accept the plaintiff's position that because of the accident, she is incapable of any kind of work. In his November 7, 2019 report, Dr. Ho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Pan is well suited to any occupation requiring light to heavy physical work. Very heavy physical work or sustained positioning, or such recreational activities notably with her neck, shoulders, and back, may exacerbate flare-ups of her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Should Ms. Pan look for employment, she may be somewhat more restricted in her ability to find work, considering her symptoms and injuries. She would likely have more difficulty to participate in very physically demanding occupations or activities.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 balance of probability, Ms. Pan is more likely to injure herself in the future should she pursue such a line of work or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Despite being "well suited to any occupation requiring light to heavy physical work", Ms. Pan has not attempted any form of employment after the completion of her chemotherapy in China. According to Dr. Ho, the plaintiff has lost the ability to do "very heavy physical work", but in my view, she has not satisfied the burden of showing a real and substantial possibility that but for the accident, she might have sought or found such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It would appear that Ms. Pan's lack of ability to speak English might be a significant barrier to her finding work, but that limitation is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As for cognitive impairment, there is simply not enough evidence to support a claim that she has lost a capital asset relative to employment as a result of the accident. In her report dated August 30, 2019, Dr. Wee advised Ms. Pan to seek "involvement by occupational therapy (OT) over at least 6 months in providing relevant strategies for impairments." Dr. Wee went on to say that "OT could also work with her on potential for return to work assessment." As well, Dr. Schmidt wrote in his October 22, 2019 report, "I believe that it would be useful for her to work with a vocational consultant to explore whether there is any kind of work she might be able to return to..." Despite those recommendations, Ms. Pan has not made any effort to see an occupational therapist or vocational consultant.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Accordingly, I agree with the defendants that the plaintiff has not shown that she is entitled to an award for loss of earning capacity, either past or future.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Defendants have admitted special damages in the amount of $395.12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has not advanced any argument in support of an award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SUMMARY AND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It is admitted that the defendants were negligent and wholly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award the following damages to Ms. Pan for the injuries she suffered as a result of the accident:</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66" type="#_x0000_t75" style="width:352.5pt;height:183pt">
            <v:imagedata r:id="rId835"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parties may appear before me for submissions on costs if they cannot agree on the appropriate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 EHRCKE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7" style="position:absolute;z-index:2518005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36"/>
          <w:headerReference w:type="default" r:id="rId837"/>
          <w:footerReference w:type="even" r:id="rId838"/>
          <w:footerReference w:type="default" r:id="rId839"/>
          <w:headerReference w:type="first" r:id="rId840"/>
          <w:footerReference w:type="first" r:id="rId8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42" w:history="1">
        <w:r>
          <w:rPr>
            <w:rFonts w:ascii="arial" w:eastAsia="arial" w:hAnsi="arial" w:cs="arial"/>
            <w:b/>
            <w:bCs/>
            <w:i/>
            <w:color w:val="0077CC"/>
            <w:kern w:val="32"/>
            <w:sz w:val="28"/>
            <w:szCs w:val="32"/>
            <w:u w:val="single"/>
            <w:shd w:val="clear" w:color="auto" w:fill="FFFFFF"/>
            <w:lang w:val="en-US" w:eastAsia="en-US" w:bidi="ar-SA"/>
          </w:rPr>
          <w:t>Perilli v. Marlow, [2018] B.C.J. No. 558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S.D. Dley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16 and March 14,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27,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52020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558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495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290 A.C.W.S. (3d) 441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48 C.C.L.T. (4th) 337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CarswellBC 710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Rosario Perilli, Plaintiff, and Wendy Elizabeth Marlow, Patrick Bernard Marlow and Victoria Marlow,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(45 paras.)</w:t>
      </w:r>
    </w:p>
    <w:p>
      <w:pPr>
        <w:jc w:val="both"/>
        <w:rPr>
          <w:rFonts w:ascii="arial" w:eastAsia="arial" w:hAnsi="arial" w:cs="arial"/>
          <w:sz w:val="20"/>
          <w:lang w:val="en-US" w:eastAsia="en-US" w:bidi="ar-SA"/>
        </w:rPr>
      </w:pPr>
      <w:bookmarkStart w:id="158" w:name="Counsel_39"/>
      <w:bookmarkEnd w:id="15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8"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F.R. Scordo, J. Vliegenthart.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 Chiarot.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9" w:name="Judgment_39"/>
      <w:bookmarkEnd w:id="159"/>
      <w:r>
        <w:pict>
          <v:line id="_x0000_s1169" style="position:absolute;z-index:2517534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0" w:name="S.D. DLEY J."/>
            <w:bookmarkEnd w:id="160"/>
            <w:r>
              <w:rPr>
                <w:rFonts w:ascii="arial" w:eastAsia="arial" w:hAnsi="arial" w:cs="arial"/>
                <w:b/>
                <w:color w:val="000000"/>
                <w:sz w:val="30"/>
                <w:lang w:val="en-US" w:eastAsia="en-US" w:bidi="ar-SA"/>
              </w:rPr>
              <w:t>S.D. DLEY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Perilli was jogging along a familiar route in his residential neighbourhood. He came up behind three young girls riding their bicycles. Mr. Perilli intended to pass the girls on their right. As he was passing them, Ms. Marlow moved her bicycle to the right. Mr. Perilli tried to avoid colliding with her, but struck the rear tire and fell 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summary judgment application is to determine the question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the reasons that follow, I conclude that Ms. Marlow is not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 This Suitable for Summary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parties had relied on affidavits at the initial application appearance. There was a conflict as to what occurred. I declined to make a decision on the basis of affidavit evidence alone. As a result, the parties called the respective parties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have now the benefit of seeing and hearing the parties. Accordingly, I conclude that this matter is suitable for summary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August 27, 2014, at about 5:00 p.m., Mr. Perilli was out jogging in the area of Robson Street, Kamloops, British Columbia; it was sunny and warm. He typically ran about three times per week on a route that took him through the residential neighbourhood.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Marlow was ten-years-old at the time of the accident. She had been taught how to ride a bicycle and to follow the rules of the road by her grandparents (the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Marlow and two friends were riding their bicycles on Robson Street on the day of the accident. Robson Street only has a sidewalk on the south side. There were cars parked on the north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girls decided that it would be safer to ride on the south side so they could take advantage of the sidewalk. They rode three abreast and in a direction that faced oncoming traffic. Two of the girls were on the sidewalk while Ms. Marlow was riding on the street adjacent to the curb. The girls were talking to each other as they rode along.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Perilli had been running on the sidewalk in the same direction the girls were cycling. He was running faster than the girls were riding and intended to go by them. There was no room to pass on the sidewalk so he decided to go around Ms. Marlow on the road. As Mr. Perilli maneuvered around Ms. Marlow, she moved into his path. Mr. Perilli's foot struck the back wheel and, as he attempted to avoid a collision, he fell onto his shoulder. He suffered various injures with the most serious being to his shoulder which required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Perilli's claim against Ms. Marlow sets out the following allegations of breaches of the duty of care:</w:t>
      </w:r>
      <w:r>
        <w:rPr>
          <w:rFonts w:ascii="arial" w:eastAsia="arial" w:hAnsi="arial" w:cs="arial"/>
          <w:sz w:val="20"/>
          <w:lang w:val="en-US" w:eastAsia="en-US" w:bidi="ar-SA"/>
        </w:rPr>
        <w:cr/>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cycling without due care and attention or without reasonable consideration for other persons using the roadway contrary to Section 183(14)(a) &amp; (b)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and amendments thereto;</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changing direction or speed on a roadway without [signaling] clearly contrary to Section 183(14)(a) &amp; (b)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and amendments thereto;</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cycling on a sidewalk on the left side of the highway while riding abreast with other cyclists, contrary to Section 183(2)(a)(c) and (d)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and amendments thereto;</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cycling recklessly or carelessly without due regard to the safety of other individuals using the roadway;</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maintain an adequate lookout;</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take any or adequate steps to avoid colliding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Perilli claims against Ms. Marlow's grandparents on the basis that they did not properly instruct Ms. Marlow in the safe operation of a bicycle.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Marlow does not dispute that she owed a duty of care to Mr. Perilli - the question is whether she breached the standard of care owed to Mr. Perilli in respect to that duty and whether she acted reasonably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Where a person violates a traffic law, he or she assumes a heightened duty of care: </w:t>
      </w:r>
      <w:r>
        <w:rPr>
          <w:rFonts w:ascii="arial" w:eastAsia="arial" w:hAnsi="arial" w:cs="arial"/>
          <w:i/>
          <w:color w:val="000000"/>
          <w:sz w:val="20"/>
          <w:lang w:val="en-US" w:eastAsia="en-US" w:bidi="ar-SA"/>
        </w:rPr>
        <w:t>Hadden v. Lynch</w:t>
      </w:r>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2008 BCSC 295</w:t>
        </w:r>
      </w:hyperlink>
      <w:r>
        <w:rPr>
          <w:rFonts w:ascii="arial" w:eastAsia="arial" w:hAnsi="arial" w:cs="arial"/>
          <w:color w:val="000000"/>
          <w:sz w:val="20"/>
          <w:lang w:val="en-US" w:eastAsia="en-US" w:bidi="ar-SA"/>
        </w:rPr>
        <w:t xml:space="preserve"> at para.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breach of a statute does not of itself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only be shown if the alleged tortfeasor did not exhibit the standard of care required in the circumstances, and the breach of that standard contributed to the collision</w:t>
      </w:r>
      <w:r>
        <w:rPr>
          <w:rFonts w:ascii="arial" w:eastAsia="arial" w:hAnsi="arial" w:cs="arial"/>
          <w:i/>
          <w:color w:val="000000"/>
          <w:sz w:val="20"/>
          <w:lang w:val="en-US" w:eastAsia="en-US" w:bidi="ar-SA"/>
        </w:rPr>
        <w:t>: Deol v. Veach</w:t>
      </w:r>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2011 BCSC 1437</w:t>
        </w:r>
      </w:hyperlink>
      <w:r>
        <w:rPr>
          <w:rFonts w:ascii="arial" w:eastAsia="arial" w:hAnsi="arial" w:cs="arial"/>
          <w:color w:val="000000"/>
          <w:sz w:val="20"/>
          <w:lang w:val="en-US" w:eastAsia="en-US" w:bidi="ar-SA"/>
        </w:rPr>
        <w:t xml:space="preserve">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standard of care is not one of perfection, but whether Ms. Marlow acted as an ordinarily prudent person would act: </w:t>
      </w:r>
      <w:r>
        <w:rPr>
          <w:rFonts w:ascii="arial" w:eastAsia="arial" w:hAnsi="arial" w:cs="arial"/>
          <w:i/>
          <w:color w:val="000000"/>
          <w:sz w:val="20"/>
          <w:lang w:val="en-US" w:eastAsia="en-US" w:bidi="ar-SA"/>
        </w:rPr>
        <w:t>Hadden</w:t>
      </w:r>
      <w:r>
        <w:rPr>
          <w:rFonts w:ascii="arial" w:eastAsia="arial" w:hAnsi="arial" w:cs="arial"/>
          <w:color w:val="000000"/>
          <w:sz w:val="20"/>
          <w:lang w:val="en-US" w:eastAsia="en-US" w:bidi="ar-SA"/>
        </w:rPr>
        <w:t xml:space="preserve"> at para. 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standard of care on a ten-year-old child is different than the standard attributable to an adult. A child is to be measured with the standard that conforms to another child of similar age, intelligence and experience: </w:t>
      </w:r>
      <w:r>
        <w:rPr>
          <w:rFonts w:ascii="arial" w:eastAsia="arial" w:hAnsi="arial" w:cs="arial"/>
          <w:i/>
          <w:color w:val="000000"/>
          <w:sz w:val="20"/>
          <w:lang w:val="en-US" w:eastAsia="en-US" w:bidi="ar-SA"/>
        </w:rPr>
        <w:t>McEllistrum v. Etches</w:t>
      </w:r>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[1956] S.C.R. 787</w:t>
        </w:r>
      </w:hyperlink>
      <w:r>
        <w:rPr>
          <w:rFonts w:ascii="arial" w:eastAsia="arial" w:hAnsi="arial" w:cs="arial"/>
          <w:color w:val="000000"/>
          <w:sz w:val="20"/>
          <w:lang w:val="en-US" w:eastAsia="en-US" w:bidi="ar-SA"/>
        </w:rPr>
        <w:t xml:space="preserve"> at p. 793. A momentary lapse in awareness may be expected from children; such a lapse does not result in a finding of legal responsibility: </w:t>
      </w:r>
      <w:r>
        <w:rPr>
          <w:rFonts w:ascii="arial" w:eastAsia="arial" w:hAnsi="arial" w:cs="arial"/>
          <w:i/>
          <w:color w:val="000000"/>
          <w:sz w:val="20"/>
          <w:lang w:val="en-US" w:eastAsia="en-US" w:bidi="ar-SA"/>
        </w:rPr>
        <w:t>Connell v. Dyck</w:t>
      </w:r>
      <w:r>
        <w:rPr>
          <w:rFonts w:ascii="arial" w:eastAsia="arial" w:hAnsi="arial" w:cs="arial"/>
          <w:color w:val="000000"/>
          <w:sz w:val="20"/>
          <w:lang w:val="en-US" w:eastAsia="en-US" w:bidi="ar-SA"/>
        </w:rPr>
        <w:t xml:space="preserve">, </w:t>
      </w:r>
      <w:hyperlink r:id="rId846" w:history="1">
        <w:r>
          <w:rPr>
            <w:rFonts w:ascii="arial" w:eastAsia="arial" w:hAnsi="arial" w:cs="arial"/>
            <w:i/>
            <w:color w:val="0077CC"/>
            <w:sz w:val="20"/>
            <w:u w:val="single"/>
            <w:shd w:val="clear" w:color="auto" w:fill="FFFFFF"/>
            <w:lang w:val="en-US" w:eastAsia="en-US" w:bidi="ar-SA"/>
          </w:rPr>
          <w:t>[1998] B.C.J. No. 1792</w:t>
        </w:r>
      </w:hyperlink>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Statutory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As a cyclist, Ms. Marlow was bound to obey the rules of the road as set out in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Ms. Marlow was governed by the following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183 (1) In addition to the duties imposed by this section, a person operating a cycle on a highway has the same rights and duties as a driver of a vehicle.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operating a cycle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ride on a sidewalk unless authorized by a bylaw made under section 124 or unless otherwise directed by a sign,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subject to paragraph (a), ride as near as practicable to the right side of the highway,</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ride abreast of another person operating a cycle on the roadway,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must not operate a cycle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 highway without due care and attention or without reasonable consideration for other persons using the highway, or</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a sidewalk without due care and attention or without reasonable consideration for other persons using the sidewalk.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operating a cycle on a highway must signify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left turn by extending the person's left hand and arm horizontally from the cycle,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right turn by doing either of the following:</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extending the person's left hand and arm out and upward from the cycle so that the upper and lower parts of the arm are at right angles;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extending the person's right hand and arm horizontally from the cycle,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Section 183(2)(a)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prohibits a cyclist from riding on a sidewalk. Ms. Marlow was not on the sidewalk and thus cannot be said to have breached her statutory duty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Section 183(2)(d)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prohibits a cyclist from riding abreast of another person on the roadway. There were no other persons on the roadway that Ms. Marlow was riding abreast of; her friends were on the sidewalk. Although I will consider the fact that Ms. Marlow and her friends created an obstruction from which Mr. Perilli had to manoeuvre around, I conclude that Ms. Marlow was not in breach of that subsection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prohibiting a cyclist from riding abreast of another cyclist on a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Section 183(17)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requires a cyclist to signify a turn by using hand signals. Ms. Marlow moved toward the curb and then back to her normal riding position on the roadway. At all times she was continuing to cycle forward and within the lane space of about a foot. She did not make any turns. At most, Ms. Marlow was simply repositioning herself within her own lane of travel. She was not required to signal those minor movements. To require a cyclist to signal such movements would result in the cyclist spending much of her time operating the unit with one hand and signalling with the other. That would not be in the spirit of the safety aspects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therefore, conclude that Ms. Marlow was not in breach of the statutory requirement to signal a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Ms. Marlow breached her statutory duty under s. 183(2)(c)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by failing to ride as near as practicable to right side of the road. The question is whether that breach contributed to the accident in a way that attracts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Assessment of the Parties'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Marlow and Mr. Perilli were questioned at respective Examinations for Discovery. Each had provided affidavit evidence and each was cross-examined. Both were good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Although there were some inconsistencies in Ms. Marlow's evidence between what she said at Discovery, in her affidavit and in cross-examination, those inconsistencies do not lead me to conclude that she was untruthful or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 was Ms. Marlow's evidence that before the accident, she had looked over her shoulder and saw that Mr. Perilli was coming up from behind. In her affidavit, Ms. Marlow deposed that she looked back three times. Under cross-examination she said that she had only looked back twice. She opined that the affidavit was incorrect - she could not recall looking back a third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Marlow was certain that the impact had occurred when she had moved away from the curb and was riding parallel to the sidewalk. After considering the nature of the impact and the angle at which Mr. Perilli's foot contacted her rear wheel, Ms. Marlow conceded that it was highly unlikely that she was parallel to the sidewalk when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These inconsistencies do not make Ms. Marlow's evidence unreliable. Not every inconsistency or change in evidence results in a finding of untruthfulness or unreliability. The changes have to be considered in the particular circumstances. Those circumstances include the age or maturity of the witness, the ability of a witness to observe or recollect, the importance of what was occurring at the time and the version of events taken in context with all of the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Marlow presented as a polite and mature young person. She listened to the questions attentively and was appropriately responsive. She did not hesitate to make concessions when confronted with propositions that put her observations into question. She was not defensive about her evidence or stubborn in maintaining a view that was open to question. Ms. Marlow was an impressive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therefore, conclude that Ms. Marlow's willingness to change her evidence was to ensure that she was being correct as opposed to being untruthful or trying to buttress her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Did Ms. Marlow Breach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Perilli stated that he was unsure if the cyclists were aware of his presence. He testified that he did not announce his intention to pass them, and he did not notice Ms. Marlow move closer to the curb. Mr. Perilli did not want to startle the cyclists as he passed them, so he left 1- 1.5 metres of space from Ms. Marlow as he began to overtake her on the right by running into the road. He was either right beside her, right behind her or roughly equal with her rear wheel when she pulled out in front of him. Mr. Perilli tried to avoid colliding with her, but his foot struck the rear wheel causing him to fall to the pavement.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Marlow testified that she heard Mr. Perilli's footsteps. She glanced over her shoulder and saw Mr. Perilli about 2 metres behind. She had been about a foot from the sidewalk and edged her bicycle closer to the curb so as to let him pass. Ms. Marlow looked back over her shoulder again and saw that Mr. Perilli had slowed down and fallen back. She assumed that he was not going to pass. As a result, Ms. Marlow leaned her bike to maneuver slowly back to the same distance she had been from the curb. Ms. Marlow did not give a hand signal since she was moving back gradually to the foot from the curb and she was not turning.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Marlow estimated that the accident occurred within three seconds from when she had pulled back to her original position. She agreed that the impact likely occurred when she was still moving away from the curb.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Perilli's observations are not helpful as they relate to Ms. Marlow's attentiveness to her surroundings. Mr. Perilli did not notice anyone looking back - that is not say that Ms. Marlow did not look back. As far as Mr. Perilli was concerned, the cyclists did not know of his presence - hence his concern that he not startle them as he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accept Ms. Marlow's evidence that she looked back twice. She was certain of making those observations and she was not shaken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also accept her explanation that she only looked twice - not three times as indicated in her affidavit. If Ms. Marlow intended to exaggerate her attention to her surroundings, a third backward glance would be to her advantage. Instead, she has taken the opposite position of reducing the number of times she looked back - the fewer backward glances, the greater the strength of the opposing party's argument that she was not paying proper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find that Ms. Marlow was paying proper attention to her surroundings and to others who were using the roadway. I conclude that she acted with due care and attention and did not conduct herself in a manner that imperilled others or was the cause of Mr. Perilli's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Marlow thought Mr. Perilli was going to pass; she moved closer to the curb to give him room even though there were no other vehicles on the road which might impede his ability to go by. When she looked back a second time she concluded - reasonably - that he was not going to pass because he had slowed and fallen back. It was reasonable for her to move back to her original place on the roadway. When Ms. Marlow moved back there was nothing to indicate that such a movement was out of the ordinary or would create a hazard to Mr. Perilli.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accept Ms. Marlow's evidence that she leaned to move her bike away from the curb and did so gradually. I do not accept that it was a sudden or dangerous maneuver.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Marlow was not required to continually look behind her. Requiring Ms. Marlow to do so would place her and others at greater peril than someone in the position of Mr. Perilli who was following and able to see everything in front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Marlow's actions were not perfect. Another look behind her may have alerted her that Mr. Perilli was about to pass. However, the standard of care is not one of perfection and Ms. Marlow's actions (looking behind her only twice) are not inconsistent with what a similarly aged young girl would have reasonably done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acknowledge that Ms. Marlow was part of a group that had blocked the sidewalk thus obstructing Mr. Perilli's access. However, this was no different than if two people pushing strollers or walking their dogs had clogged the sidewalk with a cyclist alongside. Mr. Perilli would still have had to pass 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also conclude that riding on the left side of the road did not contribute to the accident. It was reasonable for the cyclists to seek the sanctuary of the sidewalk on the side of the road that was facing traffic. By riding against the traffic, Ms. Marlow did not endanger Mr. Perilli.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therefore, conclude that Ms. Marlow acted reasonably in the circumstances and did not breach the standard of care that she owed to others using the roadway. Since Ms. Marlow was not in breach, there can be no liability against her grandparents.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action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S.D. DLEY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0" style="position:absolute;z-index:2518016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47"/>
          <w:headerReference w:type="default" r:id="rId848"/>
          <w:footerReference w:type="even" r:id="rId849"/>
          <w:footerReference w:type="default" r:id="rId850"/>
          <w:headerReference w:type="first" r:id="rId851"/>
          <w:footerReference w:type="first" r:id="rId85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53" w:history="1">
        <w:r>
          <w:rPr>
            <w:rFonts w:ascii="arial" w:eastAsia="arial" w:hAnsi="arial" w:cs="arial"/>
            <w:b/>
            <w:bCs/>
            <w:i/>
            <w:color w:val="0077CC"/>
            <w:kern w:val="32"/>
            <w:sz w:val="28"/>
            <w:szCs w:val="32"/>
            <w:u w:val="single"/>
            <w:shd w:val="clear" w:color="auto" w:fill="FFFFFF"/>
            <w:lang w:val="en-US" w:eastAsia="en-US" w:bidi="ar-SA"/>
          </w:rPr>
          <w:t>R.L. v. Southam Inc. (c.o.b. The Vancouver Sun), [2002] B.C.J. No. 2010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Boyd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6,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4,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S003090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2010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1277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116 A.C.W.S. (3d) 113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R.L., plaintiff, and Southam Inc. doing business as The Vancouver Sun, Rick Ouston, Jon Ferry, Damian Inwood, Neal Hall and Gordon Neufeld,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(90 paras.)</w:t>
      </w:r>
    </w:p>
    <w:p>
      <w:pPr>
        <w:jc w:val="both"/>
        <w:rPr>
          <w:rFonts w:ascii="arial" w:eastAsia="arial" w:hAnsi="arial" w:cs="arial"/>
          <w:sz w:val="20"/>
          <w:lang w:val="en-US" w:eastAsia="en-US" w:bidi="ar-SA"/>
        </w:rPr>
      </w:pPr>
      <w:bookmarkStart w:id="161" w:name="Counsel_40"/>
      <w:bookmarkEnd w:id="16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1"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R.L. acted on his own behalf. G.B. Butler, for the defendant, Neufeld. S.A. Dawson, for defendants, Southam Inc. doing business as The Vancouver Sun, Rick Ouston and Neal Hall. D.F. Sutherland, for defendants, Ferry and Inwood.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2" w:name="Judgment_40"/>
      <w:bookmarkEnd w:id="162"/>
      <w:r>
        <w:pict>
          <v:line id="_x0000_s1172" style="position:absolute;z-index:25175449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3" w:name="BOYD J."/>
            <w:bookmarkEnd w:id="163"/>
            <w:r>
              <w:rPr>
                <w:rFonts w:ascii="arial" w:eastAsia="arial" w:hAnsi="arial" w:cs="arial"/>
                <w:b/>
                <w:color w:val="000000"/>
                <w:sz w:val="30"/>
                <w:lang w:val="en-US" w:eastAsia="en-US" w:bidi="ar-SA"/>
              </w:rPr>
              <w:t>BOYD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At the outset of this hearing, the defendants Southam Inc., Neal Hall and Rick Ouston ("Southam", "Hall" and "Ouston") applied to strike the plaintiff's action on the grounds that he failed to appear on certain scheduled examinations for discovery. The plaintiff made a cross application for an adjournment of the trial. I dismissed the plaintiff's motion for the reasons given orally on May 6, 2002, but I reserved judgment on those defendants' application to strike the action. I ordered that those defendants then proceed with the other defendant, Dr. Neufeld ("Neufeld"), in their motion, pursuant to Rule 18A, for an order dismissing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R.L. ("R.L.") seeks damages for defamation and breach of duty of confidentiality. His claims arise from events which occurred over twenty years ago when he was eighteen years old. R.L. was a troubled youth without a home, frequently in trouble with the law. He abused drugs and alcohol. He dropped out of school and left home after Grade 7. He lived in foster homes, then group homes and often, at no fixed address. Between 1979 and 1981, while he was in his early teens, he was convicted of 28 offences ranging from breach of probation and common assault to armed robberies. (Chambers Brief, Tab 6, Exhibit H, pp. 6-11).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By virtue of his criminal history, R.L. was involved with Probation Services from April 1979 through to 1982. He was involved with various community and institutional services for youth, including Gateway Correctional Services ("Gateway").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Neufeld provided consulting psychological services to Gateway. He began working with Gateway in approximately 1976 or 1977. It was a non-profit society which provided an alternative to incarceration for young adult male offenders between the ages of 17 and 24. Neufeld provided professional development for Gateway staff, clinical supervision for three counsellors and on occasion, would assist the counsellors by seeing their clients and making recommendations as to treatment. At no time however did he provide any ongoing therapy or treatment for any of Gateway's clients. Typically he provided consulting services to Gateway about one day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Neufeld did not consider Gateway's clients to be his patients. He saw them so as to provide recommendations to the Gateway counsellors. He never billed any of Gateway's clients for professional services. Rather, he always invoiced Gateway for those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Neufeld first met R.L. in approximately December 1980. At that time R.L. was experiencing altered states of consciousness and episodes of disorientation. He expressed suicidal impulses. Neufeld recommended that R.L. obtain counselling. This was arranged by Gateway through a psychologist with New Westminster Mental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approximately April 1981, while hitchhiking, R.L. was picked up by Clifford Olson. Olson had known R.L.'s father, which was of interest to R.L. since he had never met him. Over the next few months, R.L. saw Olson on many occasions. He travelled to California and Edmonton with him and spent a lot of time driving around partying or drinking in bars with Olson. He also ran chores for him, delivering boxes using rental cars or trucks.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July 9, 1981 R.L. was in Olson's car when he picked up Judy Kozma ("Kozma"). He spent a couple of hours with Kozma and Olson, before Olson dropped him off. Kozma became one of Olson's victims and accordingly, R.L. became a potential witness for the criminal prosecution of Olson. After Olson was arrested in August 1981, R.L. became aware of these charges against Olson. The hallucinations and disorientation which R.L. was suffering from became worse. In early October, 1981 Susan Shouldice ("Shouldice"), R.L.'s Gateway counsellor, asked Neufeld to see R.L. on an urgent basis and to provide her with treatment suggestions.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Neufeld saw R.L. at his office on October 7 and October 8, 1981. It was evident and R.L. himself confirmed that he was high on drugs. He was in great distress and expressing strong urges to commit violent acts. He was having episodes of disorientation and hallucination associated with intensive pain. It is these incidents which produced strong urges for violence. He told Neufeld that he had, on three occasions, hurt people badly enough that they had required hospitalization. He said that he had very little control over these episodes and that he attempted to avoid them through use of marijuana and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one of these meetings R.L. told Neufeld, "I feel like I could very easily kill someone when I'm like that" (i.e. when he was having one of his episodes involving disorientation and hallucinations).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During his meeting with Neufeld on October 8, 1981, R.L. began the session by proclaiming that he thought he may have killed someone the previous night while he was high on drugs. He said he was not apprehensive about the killing, stating that he required violence to soothe his psychic pain. He threatened to kill Neufeld if any of the information given to him was ever released. R.L. told Neufeld of his involvement with Clifford Olson. He also told Shouldice of his involvement with Clifford Olson.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Neufeld recommended to Shouldice that R.L. attend Outward Bound, a structured residential program near Keremeos. He felt that it would be good for R.L. since it would give him a chance to get the drugs out of his system and further that it would be useful for him to get some physical activity in a structured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the Outward Bound program, R.L. became violent and pulled a knife on a counsellor. The Outward Bound staff were frightened. R.L. was assessed by a doctor who signed a 72-hour committal warrant to Riverview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approximately October 8, 1981, Neufeld was asked by someone at Gateway (either Shouldice or the Director, Bob Kismer) to send a letter to Dr. Walter Goresky, the Medical Director of the Psychiatric Unit at Riverview, with regard to R.L. Neufeld sent a letter to Riverview dated October 14, 1981 ("the letter"). Neufeld's purpose in writing the letter was to provide his opinions and recommendations to Dr. Goresky and the staff at Riverview. It was his responsibility as a consultant to Gateway to provide advice to individuals involved in the assessment and treatment of R.L. He was concerned that R.L. could present a danger to himself and others, given his self-confessed violent urges. The opinions expressed in the letter were opinions truthfully held by Neufeld at the time. The statements attributed to R.L. in the letter were statements made by R.L. to Neufeld. In the letter (Chambers Brief, Tab 5, Exhibit D) Neufeld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(R.L.) would require a fairly lengthy period of observation and treatment with regards to his illness, and this would be in the best interest of both (R.L.) and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October 15, 1981 the plaintiff was released from Riverview Hospital. He went directly from Riverview to the Gateway Offices where he burst in and threatened Shouldice and others there. He repeatedly threatened to kill someone. He issued threats against Bob Kismer, the Director of Gateway, Shouldice and a Ms. Mary Weyhe. In the course of his ravings, he referred to Neufeld and also threatened to kill him. While he made the threats, he pulled out a hunting knife.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R.C.M.P. arrived at Gateway and arrested the plaintiff. He was charged with possession of an offensive weapon. He was ultimately convicted of that offence on March 26, 1982.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his first court appearance on this charge, Neufeld's letter was read into the record to support the Crown's application to have R.L. remanded to the Forensic Psychiatric Unit for assessment. In addition to Neufeld's letter, the Crown relied upon the opinion of a Dr. Arthur Robertshaw who opined that R.L. "may be mentally ill" and that he suffered "from a personality disorder manifesting itself in the form of aggression and aggressive behaviour" such that he might be a danger to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Neufeld never intended that his letter be released to anyone other than the intended recipient, Dr. Goresky. He was never asked by Dr. Goresky or anyone whether the letter could be given to some other individual or authority. He had no idea his letter was utilized by the Crown at R.L.'s first appearance on the criminal offence on October 16, 1981.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October 28, 1981 R.L. was examined by D.J. Crockett, a consulting psychologist, with regard to his ability to instruct counsel. Dr. Crockett concluded that his "level of functioning on the intelligent test suggests that he is capable of instructing counsel, contributing to his defence, and understanding the nature of the proceedings being taken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 Dr. P.H. Adilman, a psychiatrist, conducted the forensic psychiatric consultation ordered on October 17, 20, and 27, 1981. He concluded in a letter dated October 27, 1981 (see Affidavit of Maryam Rafi, Exhibit "E"):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R.L. appears to be of average or above average intelligence. His memory for recent and remote events is intact. There is no evidence of any thought disorder, in form, flow or content. There is no evidence of any delusional thinking.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Apparently in the last several weeks there have been fears because R.L. apparently has threatened the lives of several persons.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tends to be demanding, somewhat provocative, but has not yet shown signs of uncontrollable rage, hostility or anger. I get the feeling that he could be quite easily provoked, particularly if his demands are not immediately attended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R.L. is aware of the charges against him. He appreciates the serious of the charges and understands the court proceedings. He has a good knowledge of the roles of the key figures in court. He has the mental capacity to instruct counsel. In my opinion, at the time of this examination, I feel that R.L. is fit to stand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R.L. at this time does not appear to be suffering from psychosis, organic brain disease or mental deficiency. I would diagnose him as suffering from a personality disorder, anti-social type. He is not certifiable under the Mental Health Act and is fit to stand trial. It appears that R.L. has suffered significant trauma and fright over the past few months. R.L. is a young man who is quite provocative and has the potential for violent behaviour. Given the police report and information from agencies involved with R.L. in the past, I am of the opinion that he has the potential to be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January 1982, Clifford Olson pled guilty to numerous charges of first degree murder. Subsequently, Ouston wrote a series of newspaper articles in the Vancouver Sun about Clifford Olson. Some of those articles included information about R.L.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advance of the publication of those articles, Ouston contacted Neufeld on January 22, 1982. Neufeld refused to grant him an interview. Ouston said that he was going to publish the letter of October 14, 1981 which had been referred to by Crown counsel in court. Neufeld was very upset that Ouston was going to publish the letter. In the interim, Neufeld had already learned of R.L.'s anger and aggression which had been triggered by the delivery of Neufeld's letter to Dr. Goresky. As a result, he asked to speak "off the record" with Ouston, to try to convince him not to publish the letter. In attempting to do that, he made the comments, later attributed to him, regarding the police showing photographs to R.L. Neufeld explained that R.L.'s hallucinations could have been precipitated by the photographs. He gave this explanation in an attempt to dissuade Ouston from publishing an article suggesting that R.L.'s hallucinations were the result of him actually having witnessed Olson's killings.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Eventually, Ouston's article was published in the Vancouver Sun on January 27, 1982, in which Ouston quoted extensively from Neufeld's letter to Goresky. The article also referred to the statements made by Neufeld in his conversation with Ouston. The article contained the allegedly defamatory statement, "I feel like I could very easily kill someone when I am like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R.L. learned of the newspaper articles from his ex-girlfriend in late January, 1982. He has alleged that he was not curious enough to read the articles and that he never did so until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r>
        <w:rPr>
          <w:rFonts w:ascii="arial" w:eastAsia="arial" w:hAnsi="arial" w:cs="arial"/>
          <w:sz w:val="20"/>
          <w:lang w:val="en-US" w:eastAsia="en-US" w:bidi="ar-SA"/>
        </w:rPr>
        <w:cr/>
      </w:r>
    </w:p>
    <w:p>
      <w:pPr>
        <w:numPr>
          <w:numId w:val="2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R.L. in fact incapable of or substantially impeded in the management of his affairs from 1982 to 1997, such that there should be an extension of a limitation period for the claims and defamation?</w:t>
      </w:r>
    </w:p>
    <w:p>
      <w:pPr>
        <w:numPr>
          <w:numId w:val="2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 R.L. sustain a claim of defamation against Neufeld?</w:t>
      </w:r>
    </w:p>
    <w:p>
      <w:pPr>
        <w:numPr>
          <w:numId w:val="2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 the running of time with respect to the limitation period for his claim based on breach of a duty of confidentiality, be postponed pursuant to s. 6 of the Limitation Act?</w:t>
      </w:r>
    </w:p>
    <w:p>
      <w:pPr>
        <w:numPr>
          <w:numId w:val="2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 R.L. sustain a claim for breach of duty of confidentiality against Neufeld?</w:t>
      </w:r>
    </w:p>
    <w:p>
      <w:pPr>
        <w:numPr>
          <w:numId w:val="2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 R.L.'s claims of defamation against Southam Inc., Ouston and Hall causing out of the newspaper articles dated January 27, 28 and 29, 1982 be sustained?</w:t>
      </w:r>
    </w:p>
    <w:p>
      <w:pPr>
        <w:numPr>
          <w:numId w:val="2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 R.L.'s claims against Ferry and Inwood be sustained?</w:t>
      </w:r>
    </w:p>
    <w:p>
      <w:pPr>
        <w:numPr>
          <w:numId w:val="2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R.L.'s claim for defamation against Southam Inc., Ouston and Hall arising from the publication of an article dated March 7, 1997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Are claims of defamation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Section 3(2) of the Limitation Act provides for a two-year limitation period for an action for defamation. The limitation period begins to run as soon as the allegedly defamatory statement is published. However since the plaintiff had not yet reached the age of majority when the 1982 articles were published, the limitation period did not begin to run until he reached the age of majority on February 3, 1982. Accordingly, his claims in connection with the 1982 articles became prima facie statute barred on February 3, 1984.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order to succeed in the argument that the limitation period ought to be postponed pursuant to s. 7 (1)(a) of the Limitation Act, the plaintiff has the onus of proving that he was "in fact incapable of or substantially impeded in managing his .. affairs" up to the point when the action was commenced in July,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test to be applied in considering Section 7 of the Limitation Act is set out in Wirtanen v. British Columbia </w:t>
      </w:r>
      <w:hyperlink r:id="rId854" w:history="1">
        <w:r>
          <w:rPr>
            <w:rFonts w:ascii="arial" w:eastAsia="arial" w:hAnsi="arial" w:cs="arial"/>
            <w:i/>
            <w:color w:val="0077CC"/>
            <w:sz w:val="20"/>
            <w:u w:val="single"/>
            <w:shd w:val="clear" w:color="auto" w:fill="FFFFFF"/>
            <w:lang w:val="en-US" w:eastAsia="en-US" w:bidi="ar-SA"/>
          </w:rPr>
          <w:t>(1994), 98 B.C.L.R. (2d) 335</w:t>
        </w:r>
      </w:hyperlink>
      <w:r>
        <w:rPr>
          <w:rFonts w:ascii="arial" w:eastAsia="arial" w:hAnsi="arial" w:cs="arial"/>
          <w:color w:val="000000"/>
          <w:sz w:val="20"/>
          <w:lang w:val="en-US" w:eastAsia="en-US" w:bidi="ar-SA"/>
        </w:rPr>
        <w:t xml:space="preserve"> (B.C.S.C.). Maczko J. held that in determining whether or not a plaintiff was in fact incapable of or substantially impeded in managing his affairs the Court ought to consider the following factors: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plaintiff cognizant of the facts giving rise to the cause of action; (that is was he aware that there were false statements made about him in newspapers articles as a result of which he was injured and for which he might be able to sue and collect money)?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 understand the nature and purpose of legal proceedings including the respective roles of judge, jury and council?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 comprehend the personal import of proceedings? Was he able to form a rational judgment about the effect of a legal action on his interest?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plaintiff able to comprehend legal advice being given to him? Was he able to instruct counsel and to make critical decisions on counsel's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will consider each of these factors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Firstly, regarding the plaintiff's knowledge of the facts giving rise to the cause of action, I find, based on R.L.'s admissions on examination for discovery, that he always understood he could sue someone for physical injuries. From 1982 onwards, he was fully aware of his potential claim. He was specifically aware that the publicity surrounding his involvement with Olson had affected him in a severe way. He further believed that the articles which had been published contained information which was both false or misleading. He was sufficiently concerned by the articles that he spoke to a Mr. Warren Standerwick, his defence counsel on the criminal charges, to express his concerns about what was being said in the articles.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Although R.L. has alleged he was unaware of a reference in the newspaper articles to Neufeld's letter until he read the article in 1995, the evidence indicates otherwise. In an interview with the RCMP on February 5, 1982, he explained his refusal to speak to the press in these words (Chambers Brief, Tab 6, Exhibit G) pp. 25-26: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they tried to talk to me on many occasions, but I refused to talk, ... not after what they did, no way, they called me dangerous, they called disturbed, they called me many things, accomplice was the worst one though...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saw a guy by the name of Gordon Neufeld, that was before this really came up, I've seen him only once after like when I realized what was going on. He came to the conclusion that I was dangerous and this and that and said I could kill people and things like this. I always thought that was supposed to be confidential, whatever he did talk about in the first place but...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While R.L. has produced expert's opinion evidence stating it was not until 1997 that he had sufficient knowledge to consider bringing an action, this is clearly not the case. In 1995, R.L. contacted Neufeld and eventually met with him and confronted him with the earlier history of disclosure. Neufeld apologized profusely for that chain of events. R.L. carried a concealed recorder with him during that interview. Then after July 1995, he approached his then lawyer, Mr. Rick Brooks, to ask that he look into a possible legal claim or to research his possible claim arising out of the newspaper publications. Clearly, R.L. was trying to get Mr. Brooks to look into the commencement of a legal action as early as July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Regarding the second factor, that is, whether R.L. understood the nature and purpose of legal proceedings, it is clear, in the opinions rendered by both Dr. Crockett and Dr. Adilman that as at October 1981, both were satisfied R.L. was capable of instructing counsel and understanding the nature of the proceedings. Further, I note that in his opinion of March 14, 2002, Dr. Eaves, the expert retained on behalf of Neufeld, has also concluded that R.L. clearly understood the nature and purpose of proceedings and the respective rules of judge, jury and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third factor is whether R.L. comprehends the personal import of the proceedings and whether he is able to form a rational judgment about the effect of a legal action on his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find that there can be no suggestion the plaintiff was incapable of understanding the personal import of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For some number of years, the plaintiff has been able to manage his affairs. He was on welfare from 1980 to 1988. In approximately 1987, he obtained a student loan to attend BCIT and he did so, taking a welding course for several months. In 1988, he went to work in a bar in Edmonton and later as a labourer. He then travelled to Toronto where he worked for a short period in 1988 and 1989. He first filed tax returns in 1988 and did so throughout the 1990s. By the late 1980's, he decided to get his life in order and began to work for CN Rail for whom he was employed from 1990 to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note that he opened a bank account in 1990, obtained a credit card in 1991 and obtained a bank loan for $15,000 to buy a new motorcycle in 1991. He has had his own debit card since 1991. He purchased several different motor vehicles in the mid-1980s and early 1990s. He kept the motorcycle that he purchased for four years and during that time paid back the motorcycle loan as well as the student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For the past ten and half years, he has managed a full family life. He has lived with common-in-law spouse, Darla Morgan for ten-and-a-half years, with some periods of separation. During that time, he and Ms. Morgan have raised their three children, an eleven-year-old boy (from Morgan's previous relationship) and their own children, a boy aged five-and-half and a girl aged one. Since 1990, he has coached Pee Wee lacrosse, his team ultimately winning a bronze medal at a Canadian Championship. He coached hockey in 1990 and 1991 and lacrosse in 1995, 1996, 1997 and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Turning to the final factor, that is, whether R.L. was able to comprehend the legal advice being given to him and whether he was able to instruct counsel and make critical decisions on counsel's advice, I note that from 1981 onwards, he has hired legal aid lawyers for criminal matters on more than five occasions. He has admitted that from 1982 onwards, he was specifically aware that the publicity surrounding his involvement with Olson had affected him severely. As I earlier mentioned, after July 1995, he asked his lawyer, Mr. Brooks, to look into a possible claim arising from the newspaper publications. He clearly was attempting to persuade Mr. Brooks to look into the possibility of beginning a legal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Addressing the general issue of R.L.'s understanding of legal matters, he has admitted that by 1987 he understood he could sue a party for damages for physical injuries. Indeed in 1987, he considered suing the New Westminster police as a result of an incident in while he alleges he was beaten and handcuffed. I must generally note that R.L. retained Mr. Brooks to commence a civil action against the Vancouver City Police for damages for injuries sustained when he was hit by a rubber bullet during the "Stanley Cup Riot" on June 14,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Thus, I conclude, applying the test enunciated in the Wirtanen case, that there is no doubt here the plaintiff cannot rely upon Section 7 of the Limitation Act to extend the limitation period which would otherwise apply. R.L. has not presented any credible evidence to suggest that he has been incapable of or substantially impeded in the management of his affairs. To the contrary, the evidence establishes that he successfully managed his affairs for many years before 1997. Even during the 1980s, when he was not gainfully employed, he managed his affairs to the extent that he collected welfare, sold drugs, maintained a long-term relationship, rented premises, purchased cars and travelled.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support of his contention that the limitation period ought to be extended pursuant to Section 7 of the Limitation Act, the plaintiff relies entirely upon the opinion expressed in Dr. Janke's reports dated February 17, 1999 and December 1, 1999? Although R.L. refused to participate in the hearing of this Rule 18A application, defence counsel agreed that these reports ought to be tendered before the Court for consideration (Chambers Brief - Tabs 9 and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thrust of Dr. Janke's opinion is that R.L. had episodes of severe symptoms related to a chronic post-traumatic stress disorder from the 1980s through until the fall of 1997. He opined that it was not until the fall of 1997 that R.L. was in a position of sufficient mental health whereby he could tolerate the process of initiating a lawsuit. The opinion, in my view, is a very qualified opinion. Dr. Janke describes R.L. as suffering from post-traumatic stress disorder "from time to time" during this lengthy period, yet makes to attempt specify the actual periods of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light of the factual evidence which has been led, I do not accept this opinion. To the contrary, I find the evidence of R.L.'s history during this period overwhelming demonstrates that he was very capable of managing his affairs during those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follows that R.L. has not met the burden required to postpone the limitation period under s. 7 of the Limitation Act. Accordingly the claim in defamation against Neufeld was statute-barred on February 3, 1984.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 R.L. sustain a claim in defamation against Neufeld?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Since I have found that R.L.'s claim in defamation against Neufeld is statute-barred, there is no need to consider the further issue of whether the claim could have been sustained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my view, it should be noted that the claim in defamation could not have succeeded given the fact that Neufeld was not responsible for the publications in the question. The allegedly defamatory statement, "I feel like I could very easily kill one when I like that", was quoted by Ouston from Neufeld's letter of October 14, 1981 and Neufeld participated in no way in that publication. He did not authorize the publication. Indeed he tried in every way to prevent its 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Further, the defence of justification applies. All of the evidence supports Neufeld's evidence that R.L. indeed told him that he could easily kill someone when he was in a state of hallucination.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There is no reason to believe Neufeld would have fabricated the statement in his letter intended only for Dr. Goresky at Riverview Hospital. The plaintiff himself was high on drugs on October 7th and 8th and has not provided any evidence of any other recollection of events as they occurred at that time. I find that the plaintiff did indeed make the statements in issue to Neufeld and accordingly, the reference to those statements in the letter cannot be defamatory. I will not address the defence of absolute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the plaintiff's claim against Neufeld based on the alleged breach of a duty of confidentiality statute-barred?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limitation period for commencing an action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six years after the date on which the right to do arose. Dr. Neufeld's letter, which forms the basis for the allegation of breach of confidentiality, was dated October 14, 1981. Since he reached the age of majority on February 3, 1982, the limitation period would run until February 3, 1988. The Writ of Summons in this action was not issued until October 29,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Since R.L. failed to commence this action within the prescribed period, the issue is whether or not there has been a postponement of the limitation. Section 6(3) of the Limitation Act postpones the commencement of the running of time with respect to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following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836"/>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running of time with respect to the limitation periods set by this Act for any of the following actions is postponed as provided in subsection (4):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Section 6(4) qualifies section 6(3) by providing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836"/>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Time does not begin to run against a plaintiff with respect to an action referred to in subsection (3) until the identity of the defendant is known to the plaintiff and those facts within the plaintiff's means of knowledge are such that a reasonable person, knowing those facts and having taken the appropriate advice a reasonable person would seek on those facts, would regard those facts as showing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Section 6(5) defines "appropriate advice and facts"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 For the purpose of subsection (4),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"appropriate advice", in relation to facts, means the advice of competent persons, qualified in their respective fields, to advise on the medical, legal and other aspects of the facts, as the case may require,</w:t>
      </w:r>
    </w:p>
    <w:p>
      <w:pPr>
        <w:numPr>
          <w:numId w:val="5"/>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"facts" include</w:t>
      </w:r>
    </w:p>
    <w:p>
      <w:pPr>
        <w:numPr>
          <w:numId w:val="6"/>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 owed to the plaintiff by the defendant, and</w:t>
      </w:r>
    </w:p>
    <w:p>
      <w:pPr>
        <w:numPr>
          <w:numId w:val="7"/>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breach of a duty caused injury, damage or loss to the plaintiff...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leading case in British Columbia relating to Section 6 of the Limitation Act is the Supreme Court of Canada decision in Novak v. Bond </w:t>
      </w:r>
      <w:hyperlink r:id="rId855" w:history="1">
        <w:r>
          <w:rPr>
            <w:rFonts w:ascii="arial" w:eastAsia="arial" w:hAnsi="arial" w:cs="arial"/>
            <w:i/>
            <w:color w:val="0077CC"/>
            <w:sz w:val="20"/>
            <w:u w:val="single"/>
            <w:shd w:val="clear" w:color="auto" w:fill="FFFFFF"/>
            <w:lang w:val="en-US" w:eastAsia="en-US" w:bidi="ar-SA"/>
          </w:rPr>
          <w:t>[1999] 1 S.C.R. 808</w:t>
        </w:r>
      </w:hyperlink>
      <w:r>
        <w:rPr>
          <w:rFonts w:ascii="arial" w:eastAsia="arial" w:hAnsi="arial" w:cs="arial"/>
          <w:color w:val="000000"/>
          <w:sz w:val="20"/>
          <w:lang w:val="en-US" w:eastAsia="en-US" w:bidi="ar-SA"/>
        </w:rPr>
        <w:t>. There, McLachlin J. adopted a more restrictive subjective/objective test in interpreting Section 6(4)(b), stating at paragraph 81: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this approach, s. 6(4)(b) may be read as denoting a time at which a reasonable person would consider that someone in the plaintiff's position, acting reasonably in light of his... own circumstances and interests, could -- not necessarily should -- bring an action. This approach is neither purely subjective nor purely objective. The question becomes: "in light of his or her own circumstances and interests, at what point could the plaintiff reasonably have brought an action?" The reasonable person would only consider that the plaintiff could not have brought an action at the time the right to do so first arose if the plaintiff's own interests and circumstances were serious, significant, and compelling. Purely tactical considerations have no place in this analysis. In my view, this approach best accords with the purposes of modern limitations statutes, gives a sensible meaning to the terms of s. 6(4)(b), and is most likely to result in clear and fair results in the majority of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this case, the evidence is that on October 15, 1981, when he attended the Gateway offices and threatened to kill Neufeld, R.L. was already aware of the letter. In addition, he was present in Court on October 16, 1981 when the letter was read aloud by Crown counsel to the Court. Further, on discovery, he has admitted that he knew about the January 1982 article when it was written. Given all of these facts, it is clear that in 1982, he had the facts within his means of knowledge and he was in a position to have taken the appropriate advice and ought to have been able to bring an action before February 3, 1988, when the limitation period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Applying the test set out by the Court in Novak (supra), I find that there is no evidence the plaintiff's own interest and circumstances were "serious, significant or compelling" such that he was not able to bring an action at the time when his right to do so crystallized.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the Statement of Claim, the plaintiff notes at paragraph 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Only recently have the public emotions surrounding the facts and issues in this action become sufficiently moderated by the passage of time that the sensitivity of the public to these issues is at a level that permits the action to be properly and justly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is no evidence to support this allegation. Nor, does the allegation raise any issues which are relevant to a consideration of the factors required to be proven under Section 6(4) of 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Accordingly, I find that the plaintiff has failed to meet the burden of establishing those facts necessary to gain the benefit of the postponement available under Section 6 of the Limitation Act. In the result, the claim for damages against Neufeld arising from the alleged breach of confidentiality is statute-barred.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 the plaintiff sustain a claim for breach of duty of confidentiality against Dr. Neufeld?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have already found that the plaintiff's claim against Dr. Neufeld based on an alleged breach of confidentiality is statute-barred. Accordingly, it is unnecessary to consider the merits of this portion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any case I must point out that such a claim has no evidentiary foundation in this case. While Neufeld did owe a duty to the plaintiff, it was not to withhold information from Gateway or others within the health or probation system. Neufeld was retained by Gateway and as such, he was not only free to but was required to discuss R.L.'s case with both Gateway and with others involved in the probation process including Riverview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R.L. was well aware that Neufeld was working for Gateway and accordingly, he ought to have expected Neufeld would discuss his case with Gateway and with others at the request of Gateway. I find that the release of the letter to Dr. Goresky did not constitute a breach of the duty of confidentiality.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Finally, quite apart from the quoted portions of the letter of October 14, 1981, I find that the balance of the information conveyed by Neufeld to Ouston, which found its way into the article of January 27, 1982, was not confidential information arising out of the relationship between Neufeld and R.L. Neufeld's comments regarding the photograph shown to R.L. were nothing more than Neufeld's own theory offered to contradict Ouston's suggestion that R.L. may have been present when one of the Olson's murders were committed.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 the plaintiff's claims advanced against Southam Inc., Ouston and Hall be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Adopting the same analysis as in the case of Neufeld, I find that likewise the actions against Southam Inc. (doing business as the Vancouver Sun), Ouston and Hall, arising from the articles published in the Vancouver Sun prior to October 29, 1995, are statute-barred.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claim related to the most recent article published March 7, 1997 however is not caught by the Limitation Act and I will deal with that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the plaintiff's action against the defendants Ferry and Inwood statute-barred?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seeks damages from the defendants Jon Ferry ("Ferry") and Damian Inwood ("Inwood") in defamation for statements made in the book titled "The Olson Murders" published by Cameo Books Ltd. in June 1982. The book discusses the events surrounding the infamous series of murders committed by Clifford Olson, for which he was convicted. The book recounts the fact that R.L. was an associate of Olson's in and around the time Olson was committing the murders for which he was eventually convicted. The book also recounts the fact that R.L. was driving around with Olson on July 9, 1981, when Olson picked up Kozma. The book notes that Olson subsequently murdered Kozma after R.L. had parted company with them but the book does not suggest, either directly or by implication, that R.L. assisted Olson in the murder of Kozma or any other individual, or that R.L. knew or ought to have known that Olson intended to kill Kozma or otherwise harm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the course of his interview with Dr. Eaves, R.L. advised Dr. Eaves that he had heard about the book which was published in June 1982 although he did not actually read it until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Writ of Summons here was issued October 29, 1997, more than fifteen years after the book was published and more than thirteen years after the expiry of the applicable limitation.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For the same reasons I have set out earlier, I find that the plaintiff is unable to justify a postponement of the running of the applicable limitation against him. Accordingly, this claim, like the previous claims, is statute-barred.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Ought the plaintiff's claim for defamation arising from the publication of the Vancouver Sun article of March 1997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As I noted earlier, at the outset of this hearing, the defendants, Southam Inc., Ouston and Hall, applied for a dismissal of the plaintiff's action against them by virtue of his failure to appear on examinations for discovery. I reserved Judgment on that matter and required those defendants to make submissions in connection with their Rule 18A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Regardless of the success of the Rule 18A application, the claim for defamation based upon the publication of the article dated March 7, 1997, remains extant. That claim is not defeated by the expiration of any limitation period. Accordingly, it is necessary to consider those defendants' application to strike the plaintiff's claim on the alternative grounds mentioned.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should mention at the outset that I have had a fairly extensive history in this litigation. I was appointed as the Case Management judge in April 2000 and held the first case management conference on April 10, 2000. At that point, the parties were aware that the matter was scheduled to proceed to trial by judge and jury on May 6, 2002 for a period of approximately 40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parties appeared before me February 1, 2002 at which point Mr. Menkes, was R.L.'s new counsel on record. By this time, the defence had scheduled Rule 18A applications for late March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Those applications did not proceed. Instead in early March 2002, the plaintiff applied for an adjournment of the trial. The defendants made cross applications for the plaintiff's actions to be dismissed for his refusal or neglect to allow for discovery of documents and his refusal or neglect to attend on examinations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plaintiff's application for an adjournment was premised on Mr. Menkes' inability to locate R.L. and thus communicate with him. Mr. Menkes theorized there was some possibility that R.L. suffered from depression and anxiety and was withdrawing from the litigation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dismissed the application for an adjournment noting that Mr. Menkes was doing no more than speculating as to why R.L. was not communicating with him. I rejected the suggestion that a mere telephone call to his home telephone number constituted a sufficient effort to locate him. I recommended the retainer of a detective or skip tracer or other steps to thoroughly attempt to contact him. If matters persisted, and counsel wished to renew the application for the adjournment, I suggested that counsel do so with the necessary supporting affidavit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the interim, I ordered that the examination for discovery of R.L. be rescheduled to late March 2002 and the Rule 18A application (dealing with the limitation issue) be rescheduled to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Within a short period, Mr. Menkes withdrew as counsel on behalf of R.L. The defendants nevertheless served R.L. with the necessary appointments and conduct money and he appeared at the discovery without counsel on March 27, 2002. While he attended during the morning session, he failed to return for the continuing discovery at 2:00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April 5, 2002, the parties appeared before me on the next case management conference. The defendants, Southam Inc., Ouston and Hall, sought an order dismissing the plaintiff's claim, relying on his failure to appear at the continuing discovery scheduled for the afternoon of March 27th. Appearing on his own behalf, R.L. submitted that he was not psychologically or emotionally able to continue with the litigation. In support of his contentions, he presented his own unsworn affidavit. There were no supporting exhibits attached to that unsworn affidavit, that is reports from either a physician, a psychologist or a psychiatrist addressing R.L.'s alleged emotional or psychological issues. There was some discussion as to the appropriateness of Mr. Menkes' withdrawal as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adjourned both R.L.'s and the defendants' applications to April 16, 2002, the date set for the continuing Case Management Conference. In the interim I strongly recommended to R.L. that he take various steps: communicate directly with Mr. Menkes concerning his withdrawal as counsel; attend at the next discovery date arranged for April 10, 2002 and finally, if he intended to adjourn the trial, to consider retaining new counsel or at the very least, to prepare the necessary affidavit material including a letter from his family physician or a psychologist or psychiatrist, describing the emotional difficulties he was saddled with. I warned him that if he appeared in court and renewed his application for an adjournment without the necessary supporting material, it was unlikely his application for an adjournment would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 April 16, 2002, Mr. Menkes appeared on a motion to formally remove himself as solicitor of record. Mr. Menkes advised that he had had difficulty communicating with R.L. over the past 4-5 months and expressed the view that R.L.'s health was perhaps a contributing factor. R.L. disputed this contention stating that his only difficulties with Mr. Menkes began when he failed to appear on the discovery on February 26th.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 May 6, 2002, the first morning set for trial, the defendants, Ouston and Hall and Southam Inc. renewed their application to strike the plaintiff's claim for his failure to attend on examination for discovery. Despite the fact the continued discovery was specifically scheduled to accommodate R.L. and the necessary conduct material had been paid, R.L. had failed to attend the discovery scheduled for April 26,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R.L. advanced his cross application for an adjournment of the trial. Again, he complained that he was neither physically nor mentally able to pursue the trial and that his physicians had advised him not to participate. He insisted that despite his request for an opinion letter supporting his position, his doctor would not provide such a letter, insisting "the Court should contact him". He complained that he had been unable to retrieve his file from Mr. Menkes and indeed that Mr. Menkes had refused to speak to him and stated that he would only communicate with new counsel. He stated he had been in touch with a number of lawyers but that no one was able to take on the case, given the short time frame and the complexity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refused to accede to R.L.'s application for an adjournment for the reasons which are set out in my Oral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only remaining issue is whether the defendants, Southam Inc., Ouston and Hall, are entitled to a striking out of the single remaining claim against them, on the grounds that the plaintiff has refused to attend on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my view, this application must be considered in the context of the litigation as a whole. Here, there was a fifteen-year delay in the commencement of these proceedings. The plaintiff's documents were not produced until late February 2002 and then, only upon Court order. Despite three separate applications for this case to be dismissed, I have twice before exercised my discretion in favour of R.L. and either adjourned or dismissed the applications, providing R.L. with ample opportunity to comply with the Rules so as to allow the matter to proceed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Despite his insistence that he is neither physically nor mentally able to prosecute this claim, I have formed the strong opinion that R.L. is well able to proceed with this litigation. While R.L. alleged that he had recently dealt with a number of different doctors who supported his contention of continuing disability, not a single shred of evidence was produced from any physician or health professional supporting R.L.'s contention that he was mentally unable to proceed with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Having observed R.L. in the Courtroom on a number of different occasions, I have formed the strong impression that he is an extremely intelligent, manipulative individual, well aware of the nature of the proceedings and obsessively bent on perpetuating this litigation. As I noted in my ruling dismissing his application for an adjournment, I have concluded that despite his insistence he wishes to dispose of this litigation, R.L. is actually deliberately creating obstacles to prevent that from occurring. It is significant that whether represented by counsel or acting on his own behalf, there have been continuing difficulties in advancing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the context of this background and the many indulgences which have been granted R.L. to date, I have concluded that he has not established a lawful excuse for his failure to comply with the order requiring him to attend for discovery. In my view, to defeat this application and thus allow R.L. further time within which to comply with the rules and attend discovery-with a trial to eventually proceed at some future date on this limited portion of this action-would be to defeat the object of the Rules of Court as stated in Rule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Thus I allow the defendants' application and strike the plaintiff's single remaining claim-that is for damages for defamation arising from the article of March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defendants are entitled to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BOYD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3" style="position:absolute;z-index:2518026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56"/>
          <w:headerReference w:type="default" r:id="rId857"/>
          <w:footerReference w:type="even" r:id="rId858"/>
          <w:footerReference w:type="default" r:id="rId859"/>
          <w:headerReference w:type="first" r:id="rId860"/>
          <w:footerReference w:type="first" r:id="rId86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62" w:history="1">
        <w:r>
          <w:rPr>
            <w:rFonts w:ascii="arial" w:eastAsia="arial" w:hAnsi="arial" w:cs="arial"/>
            <w:b/>
            <w:bCs/>
            <w:i/>
            <w:color w:val="0077CC"/>
            <w:kern w:val="32"/>
            <w:sz w:val="28"/>
            <w:szCs w:val="32"/>
            <w:u w:val="single"/>
            <w:shd w:val="clear" w:color="auto" w:fill="FFFFFF"/>
            <w:lang w:val="en-US" w:eastAsia="en-US" w:bidi="ar-SA"/>
          </w:rPr>
          <w:t>Robson v. Spencer, [2006] B.C.J. No. 1872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Quesnel,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Chamberlist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 and 2,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14,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Quesnel Registry No. 12057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1872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1240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151 A.C.W.S. (3d) 543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Michael Gerald Robson, Plaintiff, and Edward Ross Spencer,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 paras.)</w:t>
      </w:r>
    </w:p>
    <w:p>
      <w:pPr>
        <w:jc w:val="both"/>
        <w:rPr>
          <w:rFonts w:ascii="arial" w:eastAsia="arial" w:hAnsi="arial" w:cs="arial"/>
          <w:sz w:val="20"/>
          <w:lang w:val="en-US" w:eastAsia="en-US" w:bidi="ar-SA"/>
        </w:rPr>
      </w:pPr>
      <w:bookmarkStart w:id="164" w:name="Counsel_41"/>
      <w:bookmarkEnd w:id="16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4"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B.K.P. Chudiak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M.S. Hallen, R.N. Beckmann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5" w:name="Judgment_41"/>
      <w:bookmarkEnd w:id="165"/>
      <w:r>
        <w:pict>
          <v:line id="_x0000_s1175" style="position:absolute;z-index:2517555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6" w:name="CHAMBERLIST J."/>
            <w:bookmarkEnd w:id="166"/>
            <w:r>
              <w:rPr>
                <w:rFonts w:ascii="arial" w:eastAsia="arial" w:hAnsi="arial" w:cs="arial"/>
                <w:b/>
                <w:color w:val="000000"/>
                <w:sz w:val="30"/>
                <w:lang w:val="en-US" w:eastAsia="en-US" w:bidi="ar-SA"/>
              </w:rPr>
              <w:t>CHAMBERLIST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these proceedings the 64 year old plaintiff seeks damages for a slip and fall that occurred on the defendant's front lawn on December 18th, 2003 in Quesnel, British Columbia. Pursuant to the order of Mr. Justice Parrett the issues of liability and quantum were severed and thus this trial has proceeded only with respect to the issue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the date in question at approximately 12:55 p.m. the plaintiff had determined to visit his friend, the defendant, as a result of having located some wine boxes he thought his friend would like to have. He drove to his friend's house and parked his vehicle on the roadway to the left of his friend's driveway. There was some three inches of snow on the lawn and the temperature was above zero at the time although the temperature had been dropping below zero in the night time. The usual route to the defendant's home was to proceed down the driveway which sloped towards the defendant's home and then where the driveway intersected with the house, to proceed on a cement walkway to the front door. The walkway is a covered walkway with a gutter system running above it. The gutter leaked to the plaintiff's knowledge and water dropped to the edge of the walkway where it met the lawn. The plaintiff did not proceed down the driveway to the walkway because from where he had observed the driveway he thought it had a damp or shiny look and he presumed that it was icy. He did not give any evidence as to the distance he was from the driveway when he made this observation but he definitely did not step foot on the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is some discrepancy about exactly what happened when the plaintiff first parked his motor vehicle on the roadway. According to him he got out of his truck, proceeded across the lawn whereupon Mr. Spencer came to the door and asked what he was doing to which Mr. Robson replied that he had something for him and Mr. Robson then proceeded back to his vehicle, took the wine boxes out of his truck and started to walk again towards the defendant when the defendant told him that he didn't make wine anymore and as a result Robson then returned the boxes to his truck and then started for the third time towards the defendant's house across the lawn. At this time of the winter the defendant had been parking his pickup truck on the lawn immediately in front of his front door. He had been doing this to allow for his second vehicle to be moved freely from its position under his carport at the end of the driveway. The snow covering had become compacted immediately behind the pickup truck as a result of the utilization of this area for parking the truck. On approaching the compacted area the third time the plaintiff, wearing summer running shoes, slipped and fell on the compacted snow after taking one step from the 3" of fresh snow onto the compacted snow. As he approached the compacted portion of snow immediately behind the defendant's parked truck the plaintiff conceded that it looked a bit slippery before he proceeded to step on to it but proceeded in any event. Upon placing his running shoe on the compacted portion he fell. With respect to this aspect of the plaintiff's evidence, the defendant's evidence is somewhat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Spencer states that on the date of the accident Mr. Robson came and knocked on his door and he went to his front door and answered it. Mr. Robson was at his front door with a box in his hand. Mr. Spencer told Mr. Robson that he did not need any more boxes as he didn't make wine any longer and as a result the plaintiff went to put the box back in his pick up while Mr. Spencer proceeded to the kitchen. It was while he was in his kitchen that he heard the plaintiff hollering. Regretfully, I am unable to come to any definitive conclusion on whose version is correct. If the defendant's version is correct then the plaintiff had already travelled across the compacted snow area once and if the plaintiff is to be believed then he had not made it to the compacted area behind the defendant's pickup truck before stepping onto the compacted area and falling.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am of the view it is not necessary for me to resolve this inconsistency however. Under cross-examination the plaintiff agreed that as previously set out that the compacted portion of the lawn being used for a winter driveway appeared slippery and that he noted the slipperiness before he stepped onto it. In addition the plaintiff agreed under cross-examination that he could have approached the home from the driveway and then along the walkway had it not been for appearing icy to him. He also agreed under cross-examination at his examination for discovery that the route he took was a shorter route than going down the driveway and then along the walkway to the front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He also agreed that there is no evidence that the defendant had ever sanded or put granular material over the compacted snow area immediately behind his truck and adjacent to the walkway.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 also agreed that compared to the lawn with the 3" of uncompacted snow the driveway appeared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Following the plaintiff falling, the defendant, after hearing him, attended on him and an ambulance was called. The defendant sprinkled kitty litter around where he had fallen for the safety of the ambulance attendants. When the ambulance arrived it was backed down the defendant's driveway. The ambulance attendants exited from the ambulance and stepped on the driveway and apparently had no trouble traversing the driveway. Mr. Spencer then described how the ambulance attendants attended on the plaintiff who was lying on the compacted snow area in front of the house and then went back to the ambulance and brought back a stretcher. The defendant described how he and the two attendants loaded the plaintiff onto the stretcher fitted with wheels and then pushed the wheeled stretcher towards the ambulance door. The defendant described how the snow pack was soft on the driveway and how the wheels of the stretcher were pushing the snow ahead of the wheels so that the stretcher would not slide on the driveway. The defendant specifically remembered the snow on the driveway being wet and not slippery. The defendant also testified that the walkway immediately in front of his house was seldom ever slippery. Mr. Spencer also described his regular maintenance routine with respect to the maintenance of his driveway. He described how he would shovel his driveway as required and spread granular material when icy conditions occurred. He was seldom required to shovel his walkway as it is covered by the overhang. He would spread granular material when his driveway became slippery.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second witness called for the plaintiff, Janice McRae, who lives across the street, admitted in cross-examination that from her observations, the defendant adequately maintained his property in the summer and in the winter time. She could not recall a time when the defendant lived in the house that he had trouble driving out of his sloped driveway. She also gave evidence that on December 18th, the defendant's driveway looked icy but agreed that she had only inferred that because her driveway had been icy the day before. She conceded that she had not been on the defendant's driveway in the winter time and she candidly admitted that she could not say if the defendant's driveway was actually slippery. She did agree that the ambulance attendants appeared to walk normally on the driveway. She had observed the ambulance attendants place the plaintiff on the stretcher and then into the ambulance without any appearance of them having difficulty with their footing.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Thus, against this background the plaintiff seeks damages allegedly caused by the defendant, Spencer's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his alleged breach of the provisions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In reviewing any potential liability it is, I believe, important to keep in mind five findings that I find emerge from the evidence:</w:t>
      </w:r>
      <w:r>
        <w:rPr>
          <w:rFonts w:ascii="arial" w:eastAsia="arial" w:hAnsi="arial" w:cs="arial"/>
          <w:sz w:val="20"/>
          <w:lang w:val="en-US" w:eastAsia="en-US" w:bidi="ar-SA"/>
        </w:rPr>
        <w:cr/>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admitted that he could see the area where he was about to walk looked slippery but continued in any event wearing summer type footware.</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apparent to the plaintiff that no steps had been taken to place any abrasive material on the compacted and "slippery" area of the lawn.</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plaintiff opines that the driveway looked damp and assumed it was slippery, he did not set foot on the driveway nor does he say how he formed the opinion that it looked slippery or that that was the sole reason he chose to go across the lawn.</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the defendant, Spencer, the driveway and walkway was clear of ice build up which is consistent with Janice McRae's evidence of her observations of the ambulance attendants and might also be inferred from the fact that the plaintiff did not call the ambulance attendants who attended that day.</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shovelled his driveway and walkway as necessary and there was no evidence to indicate that Spencer did not maintain his property adequately.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Section 3(1)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While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itself requires that an occupier must act reasonably the law is quite clear that a defendant homeowner is not an insurer of the plaintiff's safety. In </w:t>
      </w:r>
      <w:r>
        <w:rPr>
          <w:rFonts w:ascii="arial" w:eastAsia="arial" w:hAnsi="arial" w:cs="arial"/>
          <w:b/>
          <w:i/>
          <w:color w:val="000000"/>
          <w:sz w:val="20"/>
          <w:lang w:val="en-US" w:eastAsia="en-US" w:bidi="ar-SA"/>
        </w:rPr>
        <w:t>Chapman v. Bullock</w:t>
      </w:r>
      <w:r>
        <w:rPr>
          <w:rFonts w:ascii="arial" w:eastAsia="arial" w:hAnsi="arial" w:cs="arial"/>
          <w:color w:val="000000"/>
          <w:sz w:val="20"/>
          <w:lang w:val="en-US" w:eastAsia="en-US" w:bidi="ar-SA"/>
        </w:rPr>
        <w:t xml:space="preserve">, </w:t>
      </w:r>
      <w:hyperlink r:id="rId863" w:history="1">
        <w:r>
          <w:rPr>
            <w:rFonts w:ascii="arial" w:eastAsia="arial" w:hAnsi="arial" w:cs="arial"/>
            <w:i/>
            <w:color w:val="0077CC"/>
            <w:sz w:val="20"/>
            <w:u w:val="single"/>
            <w:shd w:val="clear" w:color="auto" w:fill="FFFFFF"/>
            <w:lang w:val="en-US" w:eastAsia="en-US" w:bidi="ar-SA"/>
          </w:rPr>
          <w:t>[2002] B.C.J. No. 2998</w:t>
        </w:r>
      </w:hyperlink>
      <w:r>
        <w:rPr>
          <w:rFonts w:ascii="arial" w:eastAsia="arial" w:hAnsi="arial" w:cs="arial"/>
          <w:color w:val="000000"/>
          <w:sz w:val="20"/>
          <w:lang w:val="en-US" w:eastAsia="en-US" w:bidi="ar-SA"/>
        </w:rPr>
        <w:t xml:space="preserve">, </w:t>
      </w:r>
      <w:hyperlink r:id="rId863" w:history="1">
        <w:r>
          <w:rPr>
            <w:rFonts w:ascii="arial" w:eastAsia="arial" w:hAnsi="arial" w:cs="arial"/>
            <w:i/>
            <w:color w:val="0077CC"/>
            <w:sz w:val="20"/>
            <w:u w:val="single"/>
            <w:shd w:val="clear" w:color="auto" w:fill="FFFFFF"/>
            <w:lang w:val="en-US" w:eastAsia="en-US" w:bidi="ar-SA"/>
          </w:rPr>
          <w:t>2002 BCSC 1805</w:t>
        </w:r>
      </w:hyperlink>
      <w:r>
        <w:rPr>
          <w:rFonts w:ascii="arial" w:eastAsia="arial" w:hAnsi="arial" w:cs="arial"/>
          <w:color w:val="000000"/>
          <w:sz w:val="20"/>
          <w:lang w:val="en-US" w:eastAsia="en-US" w:bidi="ar-SA"/>
        </w:rPr>
        <w:t>, Vickers J. allowed a no evidence motion to succeed. He said at paragraph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fact that the plaintiff was injured on the defendant's property does not create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defendant is not an insurer of the plaintiff's safety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case at bar the plaintiff proceeded across the defendant's property at a point other than the normal access being the driveway and walkway. While there was evidence that the plaintiff had previously been told to park his vehicle on the street rather than the driveway because it leaked oil there is no evidence to indicate that the defendant had instructed him to approach the defendant's front door from by means other than through the usual route via the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It would be unreasonable to expect a homeowner, especially in northern British Columbia, to anticipate non-conventional access or routes of travel onto their property and ensure safe access for all of these potential alternative routes. I agree with the defence that it would be unduly onerous to expect a property owner living in Quesnel, British Columbia, to clear their lawn of all snow and ice in anticipation of this kind of accident. A somewhat similar accident occurred in </w:t>
      </w:r>
      <w:r>
        <w:rPr>
          <w:rFonts w:ascii="arial" w:eastAsia="arial" w:hAnsi="arial" w:cs="arial"/>
          <w:b/>
          <w:i/>
          <w:color w:val="000000"/>
          <w:sz w:val="20"/>
          <w:lang w:val="en-US" w:eastAsia="en-US" w:bidi="ar-SA"/>
        </w:rPr>
        <w:t>Patenaude v. Kamloops/Thompson School District No. 73</w:t>
      </w:r>
      <w:r>
        <w:rPr>
          <w:rFonts w:ascii="arial" w:eastAsia="arial" w:hAnsi="arial" w:cs="arial"/>
          <w:color w:val="000000"/>
          <w:sz w:val="20"/>
          <w:lang w:val="en-US" w:eastAsia="en-US" w:bidi="ar-SA"/>
        </w:rPr>
        <w:t xml:space="preserve"> </w:t>
      </w:r>
      <w:hyperlink r:id="rId864" w:history="1">
        <w:r>
          <w:rPr>
            <w:rFonts w:ascii="arial" w:eastAsia="arial" w:hAnsi="arial" w:cs="arial"/>
            <w:i/>
            <w:color w:val="0077CC"/>
            <w:sz w:val="20"/>
            <w:u w:val="single"/>
            <w:shd w:val="clear" w:color="auto" w:fill="FFFFFF"/>
            <w:lang w:val="en-US" w:eastAsia="en-US" w:bidi="ar-SA"/>
          </w:rPr>
          <w:t>[2003] B.C.J. No. 3114</w:t>
        </w:r>
      </w:hyperlink>
      <w:r>
        <w:rPr>
          <w:rFonts w:ascii="arial" w:eastAsia="arial" w:hAnsi="arial" w:cs="arial"/>
          <w:color w:val="000000"/>
          <w:sz w:val="20"/>
          <w:lang w:val="en-US" w:eastAsia="en-US" w:bidi="ar-SA"/>
        </w:rPr>
        <w:t xml:space="preserve">, </w:t>
      </w:r>
      <w:hyperlink r:id="rId864" w:history="1">
        <w:r>
          <w:rPr>
            <w:rFonts w:ascii="arial" w:eastAsia="arial" w:hAnsi="arial" w:cs="arial"/>
            <w:i/>
            <w:color w:val="0077CC"/>
            <w:sz w:val="20"/>
            <w:u w:val="single"/>
            <w:shd w:val="clear" w:color="auto" w:fill="FFFFFF"/>
            <w:lang w:val="en-US" w:eastAsia="en-US" w:bidi="ar-SA"/>
          </w:rPr>
          <w:t>2003 BCSC 1984</w:t>
        </w:r>
      </w:hyperlink>
      <w:r>
        <w:rPr>
          <w:rFonts w:ascii="arial" w:eastAsia="arial" w:hAnsi="arial" w:cs="arial"/>
          <w:color w:val="000000"/>
          <w:sz w:val="20"/>
          <w:lang w:val="en-US" w:eastAsia="en-US" w:bidi="ar-SA"/>
        </w:rPr>
        <w:t>. In that case a parent injured herself while taking a 20 second shortcut across a portion of the school yard which she knew was not maintained. She slipped on "grass, snow or ice". Her claim was dismissed by Brown J. on the basis that the school district as occupier had taken reasonable measures to ensure that pedestrians entering the school could do so safely by any of the designated walkways provided and maintained by the school district. At paragraphs 14 and 15, after citing various Court of Appeal decisions Justice Brown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The school district is not required to be an insurer, nor to remove every possibility of danger. The school did not restrict access to the school yard to parents or children through the chain link fence. This, however, did not require the school district to salt, sand or shovel the school yard in winter months. It was reasonable in those conditions to shovel, sand or salt the asphalt or concrete walkways to the school.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I find, in addition, that Mrs. Patenaude must be taken to have accepted the risks as her risks pursuant to Section 3(3)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She has lived in Kamloops for most of her life. She had three children attending Parkcrest. She had been walking her children to and from school, primarily using this route for several years. She knew that the empty lot was not maintained. She had never seen any indication that this part of the school yard was shovelled, sanded or salted.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 in this case who was aged 64 at trial and aged 61 at the time of the accident had lived in Quesnel for some 25 years at the time of the accident. He is an adult person familiar with the winter circumstances of Quesnel and the associated risks of visiting his friends' residences during the winter time. The slippery nature of the compacted snow area behind the truck was clearly visible to the plaintiff who was wearing summer runners. There is no evidence to indicate that the defendant occupier was aware of the footwear being utilized by the plaintiff on December 18th, 2003. In these circumstances the defendant cannot be required to take steps to prevent someone in the position of Mr. Robson from being exposed to an everyday exigency of life in northern British Columbia including failure to warn of compacted snow on a date when it is above freezing as evidenced by the dripping of the gutters close by. What happened here is very similar to what happened in </w:t>
      </w:r>
      <w:r>
        <w:rPr>
          <w:rFonts w:ascii="arial" w:eastAsia="arial" w:hAnsi="arial" w:cs="arial"/>
          <w:b/>
          <w:i/>
          <w:color w:val="000000"/>
          <w:sz w:val="20"/>
          <w:lang w:val="en-US" w:eastAsia="en-US" w:bidi="ar-SA"/>
        </w:rPr>
        <w:t>Malcolm v. British Columbia Transit (B.C.C.A.)</w:t>
      </w:r>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[1988] B.C.J. No. 1945</w:t>
        </w:r>
      </w:hyperlink>
      <w:r>
        <w:rPr>
          <w:rFonts w:ascii="arial" w:eastAsia="arial" w:hAnsi="arial" w:cs="arial"/>
          <w:color w:val="000000"/>
          <w:sz w:val="20"/>
          <w:lang w:val="en-US" w:eastAsia="en-US" w:bidi="ar-SA"/>
        </w:rPr>
        <w:t xml:space="preserve"> (B.C.C.A.) where Chief Justice McEachern at page 2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respectful view it is not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 breach of any duty not to warn an adult person, not suffering under any disability, of the ordinary risks arising out of the exigencies of everyday life. Any such adult person without being warned knows and accepts the risks of falling on a steep wet grassy slope or a path and it was not necessary, in my view, to give a warning of such a common everyday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same consideration would, of course, apply to the plaintiff traversing an area of compacted snow that appears slippery and that appears not to be maintained by the property owner for ingress or egress purposes. In </w:t>
      </w:r>
      <w:r>
        <w:rPr>
          <w:rFonts w:ascii="arial" w:eastAsia="arial" w:hAnsi="arial" w:cs="arial"/>
          <w:b/>
          <w:i/>
          <w:color w:val="000000"/>
          <w:sz w:val="20"/>
          <w:lang w:val="en-US" w:eastAsia="en-US" w:bidi="ar-SA"/>
        </w:rPr>
        <w:t>Neilson v. Bear</w:t>
      </w:r>
      <w:r>
        <w:rPr>
          <w:rFonts w:ascii="arial" w:eastAsia="arial" w:hAnsi="arial" w:cs="arial"/>
          <w:color w:val="000000"/>
          <w:sz w:val="20"/>
          <w:lang w:val="en-US" w:eastAsia="en-US" w:bidi="ar-SA"/>
        </w:rPr>
        <w:t xml:space="preserve">, </w:t>
      </w:r>
      <w:hyperlink r:id="rId866" w:history="1">
        <w:r>
          <w:rPr>
            <w:rFonts w:ascii="arial" w:eastAsia="arial" w:hAnsi="arial" w:cs="arial"/>
            <w:i/>
            <w:color w:val="0077CC"/>
            <w:sz w:val="20"/>
            <w:u w:val="single"/>
            <w:shd w:val="clear" w:color="auto" w:fill="FFFFFF"/>
            <w:lang w:val="en-US" w:eastAsia="en-US" w:bidi="ar-SA"/>
          </w:rPr>
          <w:t>[1999] B.C.J. No. 86</w:t>
        </w:r>
      </w:hyperlink>
      <w:r>
        <w:rPr>
          <w:rFonts w:ascii="arial" w:eastAsia="arial" w:hAnsi="arial" w:cs="arial"/>
          <w:color w:val="000000"/>
          <w:sz w:val="20"/>
          <w:lang w:val="en-US" w:eastAsia="en-US" w:bidi="ar-SA"/>
        </w:rPr>
        <w:t>, Mr. Justice Parrett had occasion to deal with a slip and fall in the early morning hours of December 17th, 1995. At paragraph 30 Mr. Justice Parrett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Anyone who lives in Prince George is aware that during the winter snow and ice are often present for much of the winter and represent hazards which must be coped with on a daily basis. In the present case the plaintiff was certainly aware of the hazard snow and ice 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same comment can be made in this case of the plaintiff, a long time resident of Quesnel, who would have known that compacted snow may eventually form ice. That knowledge coupled with his own observations of the compacted area together with the footwear he was utilizing leads me to conclude that Mr. Robson knew the risks of traversing the compacted snow and voluntarily assumed the risk and as a result is the author of his own misfortune.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With respect to causation the evidence is clear that the plaintiff crossed the defendant's lawn in the way that was most convenient to him from his parked truck. Mr. Robson admits that he was about to step upon an area of the defendant's lawn that appeared slippery to him but yet continued. His only explanation for not using the normal access namely the driveway was that it looked damp from which he inferred it was slippery. The driveway was available for his use and short of trying it he had little reason to avoid using it. I am satisfied on the evidence that the driveway was adequately maintained at the time by the defendant to provide the plaintiff with safe access. The plaintiff's decision to cross the lawn where he did and traverse the compacted snow where he did created the risk of injury and therefore his conduct seems to be the approximate cause of the accident. In other words he chose the path that he knew was not maintained for his passage and thus became the author of his own misfortune.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If the plaintiff was to succeed in this action then any homeowner would be liable to all persons who choose to make their own pathway across another's property in winter conditions, rather than utilizing an access maintained by the homeowner for the purpose. I am of the view that it would simply be unreasonable or too onerous to expect homeowners of Quesnel or other similar places in northern British Columbia to start clearing, shovelling, sanding or salting their front lawns to protect against such an exigency as occurred here. It is not only impractical but it would place an occupier in a position of having to maintain a standard of perfection which is simply not practical nor required at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Having failed to establish liability on the part of the defendant, the plaintiff's action is dismissed. The parties are at liberty to speak to costs if they wish but otherwise the defendant will have his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CHAMBERLIST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6" style="position:absolute;z-index:2518036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67"/>
          <w:headerReference w:type="default" r:id="rId868"/>
          <w:footerReference w:type="even" r:id="rId869"/>
          <w:footerReference w:type="default" r:id="rId870"/>
          <w:headerReference w:type="first" r:id="rId871"/>
          <w:footerReference w:type="first" r:id="rId8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73" w:history="1">
        <w:r>
          <w:rPr>
            <w:rFonts w:ascii="arial" w:eastAsia="arial" w:hAnsi="arial" w:cs="arial"/>
            <w:b/>
            <w:bCs/>
            <w:i/>
            <w:color w:val="0077CC"/>
            <w:kern w:val="32"/>
            <w:sz w:val="28"/>
            <w:szCs w:val="32"/>
            <w:u w:val="single"/>
            <w:shd w:val="clear" w:color="auto" w:fill="FFFFFF"/>
            <w:lang w:val="en-US" w:eastAsia="en-US" w:bidi="ar-SA"/>
          </w:rPr>
          <w:t>R. v. Hecimovic, [2013] B.C.J. No. 2243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 Gropper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9-13 and 16-17,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September 18,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X76149-2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2243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1865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53 M.V.R. (6th) 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109 W.C.B. (2d) 480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CarswellBC 3081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Regina, and Andelina Kristina Hecimovic</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(50 paras.)</w:t>
      </w:r>
    </w:p>
    <w:p>
      <w:pPr>
        <w:jc w:val="both"/>
        <w:rPr>
          <w:rFonts w:ascii="arial" w:eastAsia="arial" w:hAnsi="arial" w:cs="arial"/>
          <w:sz w:val="20"/>
          <w:lang w:val="en-US" w:eastAsia="en-US" w:bidi="ar-SA"/>
        </w:rPr>
      </w:pPr>
      <w:bookmarkStart w:id="167" w:name="Counsel_42"/>
      <w:bookmarkEnd w:id="16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7"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Crown: W. Wakabayashi, M. Mann.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Accused: D. Kontou.</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8" w:name="Judgment_42"/>
      <w:bookmarkEnd w:id="168"/>
      <w:r>
        <w:pict>
          <v:line id="_x0000_s1178" style="position:absolute;z-index:2517565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9" w:name="J.M. GROPPER J. (orally)"/>
            <w:bookmarkEnd w:id="169"/>
            <w:r>
              <w:rPr>
                <w:rFonts w:ascii="arial" w:eastAsia="arial" w:hAnsi="arial" w:cs="arial"/>
                <w:b/>
                <w:color w:val="000000"/>
                <w:sz w:val="30"/>
                <w:lang w:val="en-US" w:eastAsia="en-US" w:bidi="ar-SA"/>
              </w:rPr>
              <w:t>J.M. GROPPER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 tragic event occurred on Lougheed Highway at Harris Road on October 19, 2010, just before midnight.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 vehicle, a Toyota Paseo ("Toyota"), driven eastbound on Lougheed Highway by Ms. Hecimovic, who I will also refer to as the accused, went through a red light at Harris Road from a right turn only lane and then swerved to avoid the concrete pedestrian island located in the southeast corner of the intersection. The island extended halfway into the right lane if that lane were a through lane. Ms. Hecimovic steered to the left to avoid hitting the island and lost control of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According to Sergeant Dave Jewers, an accident reconstructionist with the RCMP, the Toyota had a speed loss of 67 kilometres per hour when it hit the curb of the median between the east and westbound lanes on Lougheed Highway. The vehicle vaulted upwards and horizontally. The Toyota struck a Suzuki Swift ("Suzuki"), which was stopped in the left turn lane westbound on Lougheed Highway. The force of the Toyota was sufficient to sheer off the roof of the Suzuki and then to slide or bound a further 20 metres eastward where it came to a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strike to the Suzuki caused fatal injuries to both of its passengers, John De Oliveira, age 21, and Rebecca Dyer, age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accused is charged with two counts of dangerous driving causing death, contrary to s. 249(4)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R.S.C. 1985, c. C-46. Section 249(1)(a)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249. (1) Every one commits an offence who operates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motor vehicle in a manner that is dangerous to the public, having regard to all the circumstances, including the nature, condition and use of the place at which the motor vehicle is being operated and the amount of traffic that at the time is or might reasonably be expected to be at that place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Subsection (4) of s. 249 provides: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one who commits an offence under subsection (1) and thereby causes the death of any other person is guilty of an indictable offence and liable to imprisonment for a term not exceeding fourteen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nature of the offence of dangerous driving causing death is described by the Supreme Court of Canada in a recent decision referred to as </w:t>
      </w:r>
      <w:r>
        <w:rPr>
          <w:rFonts w:ascii="arial" w:eastAsia="arial" w:hAnsi="arial" w:cs="arial"/>
          <w:i/>
          <w:color w:val="000000"/>
          <w:sz w:val="20"/>
          <w:lang w:val="en-US" w:eastAsia="en-US" w:bidi="ar-SA"/>
        </w:rPr>
        <w:t>R. v. Roy</w:t>
      </w:r>
      <w:r>
        <w:rPr>
          <w:rFonts w:ascii="arial" w:eastAsia="arial" w:hAnsi="arial" w:cs="arial"/>
          <w:color w:val="000000"/>
          <w:sz w:val="20"/>
          <w:lang w:val="en-US" w:eastAsia="en-US" w:bidi="ar-SA"/>
        </w:rPr>
        <w:t xml:space="preserve">, </w:t>
      </w:r>
      <w:hyperlink r:id="rId874" w:history="1">
        <w:r>
          <w:rPr>
            <w:rFonts w:ascii="arial" w:eastAsia="arial" w:hAnsi="arial" w:cs="arial"/>
            <w:i/>
            <w:color w:val="0077CC"/>
            <w:sz w:val="20"/>
            <w:u w:val="single"/>
            <w:shd w:val="clear" w:color="auto" w:fill="FFFFFF"/>
            <w:lang w:val="en-US" w:eastAsia="en-US" w:bidi="ar-SA"/>
          </w:rPr>
          <w:t>2012 SCC 26</w:t>
        </w:r>
      </w:hyperlink>
      <w:r>
        <w:rPr>
          <w:rFonts w:ascii="arial" w:eastAsia="arial" w:hAnsi="arial" w:cs="arial"/>
          <w:color w:val="000000"/>
          <w:sz w:val="20"/>
          <w:lang w:val="en-US" w:eastAsia="en-US" w:bidi="ar-SA"/>
        </w:rPr>
        <w:t xml:space="preserve"> at paras.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Dangerous driving causing death is a serious criminal offence punishable by up to 14 years in prison. Like all criminal offences, it consists of two components: prohibited conduct - operating a motor vehicle in a dangerous manner resulting in death - and a required degree of fault - a marked departure from the standard of care that a reasonable person would observe in all the circumstances. The fault component is critical, as it ensures that criminal punishment is only imposed on those deserving the stigma of a criminal conviction. While a mere departure from the standard of care justifies imposing civil liability, only a marked departure justifies the fault requirement for this serious criminal offence.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Defining and applying this fault element is important, but also challenging, given the inherently dangerous nature of driving. Even simple carelessness may result in tragic consequences which may tempt judges and juries to unduly extend the reach of the criminal law to those responsible. Yet, as the Court put it in </w:t>
      </w:r>
      <w:r>
        <w:rPr>
          <w:rFonts w:ascii="arial" w:eastAsia="arial" w:hAnsi="arial" w:cs="arial"/>
          <w:i/>
          <w:color w:val="000000"/>
          <w:sz w:val="20"/>
          <w:lang w:val="en-US" w:eastAsia="en-US" w:bidi="ar-SA"/>
        </w:rPr>
        <w:t>R. v. Beatty</w:t>
      </w:r>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2008 SCC 5</w:t>
        </w:r>
      </w:hyperlink>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[2008] 1 S.C.R. 49</w:t>
        </w:r>
      </w:hyperlink>
      <w:r>
        <w:rPr>
          <w:rFonts w:ascii="arial" w:eastAsia="arial" w:hAnsi="arial" w:cs="arial"/>
          <w:color w:val="000000"/>
          <w:sz w:val="20"/>
          <w:lang w:val="en-US" w:eastAsia="en-US" w:bidi="ar-SA"/>
        </w:rPr>
        <w:t>, at para. 34, "If every departure from the civil norm is to be criminalized, regardless of the degree, we risk casting the net too widely and branding as criminals persons who are in reality not morally blameworthy". Giving careful attention to the fault element of the offence is essential if we are to avoid making criminals out of the merely careless.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As in every criminal case, the Crown bears the onus of proving the elements of the offence: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or the prohibited conduct, and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or the degree of fault, beyond a reasonable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Lougheed Highway is a major thoroughfare connecting Vancouver to the Fraser Valley. Harris Road is a main artery to the Pitt Meadows commercial centre. The speed limit on Lougheed Highway is 80 kilometres per hour. All of the witnesses describe that part of the highway as flat and straight and say that vehicles often exceed the speed limit by as much as 40 to 50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Lougheed Highway at Harris Road has three lanes eastbound as well as a left turn lane and a right turn lane. On the westbound side, there are two lanes and a left turn lane. Harris Road has four lanes on the north side of Lougheed Highway and five on the south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the time of the collision, the Crown and the defence have admitted that the signage for eastbound traffic on the Lougheed Highway leading up to the collision site included:</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One right turn arrow sign located approximately 58 metres west of the centre of the intersection of Lougheed Highway and Harris Road.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One "Right lane must turn right" sign located approximately 50 metres west of the centre of the intersection of Lougheed Highway and Harris Road.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One overhead traffic advisory sign located west of the intersection of Lougheed Highway and Harris Road at approximately 125 metres west of the centre of the intersection;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One "Maximum 80 km/h" speed sign located approximately 579 metres west of the centre of the intersection of Lougheed Highway and Harris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mentioned, there is a raised cement island on the southeast corner which would cover part of the right lane if that lane were a through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October 19, 2010 at 11:44 p.m., the traffic at the intersection was light, the weather was cold and dry, it was obviously dark and there were streetlights and ambient lights at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eastbound lanes of Lougheed Highway, Duncan Buss was in the lane adjacent to the right turn lane, slowing down to stop at a red light at Harris Road. Shannon Macdonald and her two passengers, Ashley Devries and Chelsea Storrings, were stopped in the lane either adjacent to Mr. Buss or in the next lane at the red light. They estimate they had been there for between two and five seconds. Sharon Bosse was stopped for the red light behind one or two other vehicles in the lane adjacent to the right turn lane or the one immediately to the left, that is, north of that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All of these witnesses first observed a red car, the Toyota, in the right turn lane driving at the speed limit or higher go through the red light, cross the intersection, either hit or swerve to avoid the passenger island and then swerve several times, vaulting over the centre median and colliding with another vehicle, the Suzuki. None of the eastbound witnesses had observed the Toyota on the highway before the intersection at Harris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Cole Prpich was in the westbound left turn lane on the north side of Lougheed Highway directly in front of Mr. Oliveira and Ms. Dyer's vehicle. The light had just turned green when he heard a loud screeching and impact sound. He says that he saw the collision through his rear view mirror. He estimated it to be three to four car lengths behind him. He says one car flipped upside down on the other and then he saw the car that had been on top roll off and onto its wheels, cross two lanes of traffic and then stop, partly on the shoulder and partly on the most northern westbound lane of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Harvey West, an accident reconstructionist called by the Crown, prepared a report addressing the speed of the Toyota at the onset of its loss of control, which was at or adjacent to the raised pedestrian island. He concluded that the range of speed was from 100 to 130 kilometres per hour with a probable speed of 110 kilometres per hour. As he provided a range and the accused is entitled to the benefit of any doubt, I consider that at best his report can be taken as opinion evidence of a speed of 100 kilometres per hour. This is similar to the speed estimated by the witnesses. As a result, it is unnecessary to place significant weight on Mr. West's opinion or to address whether Mr. West's calculations can be supported when the horizontal distance which the Toyota travelled after vaulting the centre meridian could not be accurately ascertained.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Hecimovic gave evidence. She explained that she was heading east on Lougheed Highway to her boyfriend's home on Meadow Gardens Way, which is to the left at the next intersection after Harris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Hecimovic had completed an eight-hour shift as a nurse in the emergency department at Eagle Ridge Hospital. The day had been particularly trying. She cared for a young man who had ingested a bottle of pills and a bottle of liquor. His parents were with him at the hospital. She went off shift at 11:15 p.m. and decided to drive to her boyfriend's house. She decided to take the shortest route, which is east on Lougheed Highway to the Meadow Gardens Way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she drove to the intersection, Ms. Hecimovic says she saw a lane "open up", which I take it to mean there were no cars in that lane, so she moved her vehicle into that lane. She said she believed it was a through lane. She says that just at that point she became overwhelmed with the events at work that day and began to cry. She says she did not speed up or slow down in that open lane and was travelling, she thinks, at about 80 kilometres per hour or perhaps 90 or possibly 100 kilometres per hour; she did not check her speedometer.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She did not observe the traffic advisory sign, which is the yellow rectangular sign above with flashing yellow lights ahead of the intersection to warn of a red light ahead, nor did she observe the right turn only sign to the right of the right lane. She says she only noticed the light was red when she was at or in the intersection. Before that she said she felt that the light was green. She says she then noticed the raised pedestrian island and swerved to avoid it. She lost control of her vehicle and the collision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Hecimovic was asked about her familiarity with the intersection of Lougheed Highway and Harris Road. She has been at and through the intersection many times over an almost two year period before October 19, 2010. Her boyfriend moved to Meadow Gardens Way in late 2008. Ms. Hecimovic says that most of the time she has been a passenger in her boyfriend's car or on the bus and has not paid attention to the configuration of the lanes, the signs at the intersection, or the raised pedestrian island. Generally, she says, as a driver she avoided the intersection, preferring a route on Old Dewdney Trunk Road that was minutes longer, but as she describes, more comfortable. She says she enjoyed that drive. She had driven through the intersection at Lougheed Highway and Harris Road once or twice before October 19,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defence submits that the Crown has not proven the essential elements of the offence. While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is established, that is, that the accused went through a red light, she proceeded through the intersection in a right turn lane and travelled at the speed limit or higher, the Crown has not proven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the subjective intent to establish that the accused is guilty of the offence beyond a reasonable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regard to Ms. Hecimovic's evidence, the defence asserts that I must apply the test stated in the Supreme Court of Canada decision of </w:t>
      </w:r>
      <w:r>
        <w:rPr>
          <w:rFonts w:ascii="arial" w:eastAsia="arial" w:hAnsi="arial" w:cs="arial"/>
          <w:i/>
          <w:color w:val="000000"/>
          <w:sz w:val="20"/>
          <w:lang w:val="en-US" w:eastAsia="en-US" w:bidi="ar-SA"/>
        </w:rPr>
        <w:t>R. v. W. (D.)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1 S.C.R. 742</w:t>
      </w:r>
      <w:r>
        <w:rPr>
          <w:rFonts w:ascii="arial" w:eastAsia="arial" w:hAnsi="arial" w:cs="arial"/>
          <w:color w:val="000000"/>
          <w:sz w:val="20"/>
          <w:lang w:val="en-US" w:eastAsia="en-US" w:bidi="ar-SA"/>
        </w:rPr>
        <w:t>, which I will refer to later in these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Crown argues that the offence is established by three deliberate decisions the accused made: to run a red light, to go through an intersection in a right turn only lane, and to travel at an excessive speed. The Crown says she attempted to jump the line of traffic to get to her boyfriend's house faster. All of these features, the Crown argues, satisfy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of the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Crown says that the accused's evidence should not be believed. She downplayed her familiarity with the intersection, she ignored signs that were there to be seen regarding the right lane being a turn lane only, and she entered the intersection on a red light because she felt it was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Crown submits that Ms. Hecimovic was, according to the witnesses, going very fast, yet only allowed that she was going the speed limit or perhaps ten kilometres above that or possibly 100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accused did not, the Crown asserts, experience a momentary lapse or make a simple misjudgment. It was not one single error the Crown says; Ms. Hecimovic made a series of deliberate decisions, albeit in a short timeframe.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Case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 will review the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xml:space="preserve"> decision extensively as it represents the law as established by the Supreme Court of Canada that I must apply in this case. At para. 28 of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xml:space="preserve">, the Court describes the decision which the Supreme Court of Canada made in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In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xml:space="preserve">, the majority of the Court spoke through the reasons of Charron J. which of course are the authoritative statement of the relevant principles. In brief, the Court decided as follows.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of the offence is driving in a manner dangerous to the public, having regard to all the circumstances, including the nature, condition and use of the place at which the motor vehicle was being operated and the amount of traffic that at the time was or might reasonably have been expected to be at that place (s. 249(1)(a)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is that the degree of care exercised by the accused was a marked departure from the standard of care that a reasonable person would observe in the accused's circumstances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at para. 43). The care exhibited by the accused is assessed against the standard of care expected of a reasonably prudent driver in the circumstances. The offence will only be made out if the care exhibited by the accused constitutes a marked departure from that norm. While the distinction between a mere departure from the standard of care, which would justify civil liability, and a marked departure justifying criminal punishment is a matter of degree, the lack of care must be serious enough to merit punishment (para. 48).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It will be helpful to reiterate the main elements of the majority reasons in Beatty.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Importance of the Fault Requirement for Dangerous Driving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A fundamental point in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xml:space="preserve"> is that dangerous driving is a serious criminal offence. It is, therefore, critically important to ensure that the fault requirement for dangerous driving has been established. Failing to do so unduly extends the reach of the criminal law and wrongly brands as criminals those who are not morally blameworthy. The distinction between a mere departure, which may support civil liability, and the marked departure required for criminal fault is a matter of degree. The trier of fact must identify how and in what way the departure from the standard goes markedly beyond mere carelessness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xml:space="preserve"> consolidated and clarified this line of jurisprudence. The Court was unanimous with respect to the importance of insisting on a significant fault element in order to distinguish between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purposes of imposing civil liability and that necessary for the imposition of criminal punishment. As Charron J. put it on behalf of the majority, at paras. 34-35: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If every departure from the civil norm is to be criminalized, regardless of the degree, we risk casting the net too widely and branding as criminals persons who are in reality not morally blameworthy.</w:t>
      </w:r>
      <w:r>
        <w:rPr>
          <w:rFonts w:ascii="arial" w:eastAsia="arial" w:hAnsi="arial" w:cs="arial"/>
          <w:color w:val="000000"/>
          <w:sz w:val="20"/>
          <w:lang w:val="en-US" w:eastAsia="en-US" w:bidi="ar-SA"/>
        </w:rPr>
        <w:t xml:space="preserve"> Such an approach risks violating the principle of fundamental justice that the morally innocent not be deprived of liberty.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 civil setting, it does not matter how far the driver fell short of the standard of reasonable care required by law. The extent of the driver's liability depends not on the degree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on the amount of damage done. Also, the mental state (or lack thereof) of the tortfeasor is immaterial, except in respect of punitive damages. </w:t>
      </w:r>
      <w:r>
        <w:rPr>
          <w:rFonts w:ascii="arial" w:eastAsia="arial" w:hAnsi="arial" w:cs="arial"/>
          <w:color w:val="000000"/>
          <w:sz w:val="20"/>
          <w:u w:val="single"/>
          <w:lang w:val="en-US" w:eastAsia="en-US" w:bidi="ar-SA"/>
        </w:rPr>
        <w:t xml:space="preserve">In a criminal setting, the driver's mental state does matter because the punishment of an innocent person is contrary to fundamental principles of criminal justice. The degree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is the determinative question because criminal fault must be based on conduct that merits punishment</w:t>
      </w:r>
      <w:r>
        <w:rPr>
          <w:rFonts w:ascii="arial" w:eastAsia="arial" w:hAnsi="arial" w:cs="arial"/>
          <w:color w:val="000000"/>
          <w:sz w:val="20"/>
          <w:lang w:val="en-US" w:eastAsia="en-US" w:bidi="ar-SA"/>
        </w:rPr>
        <w:t xml:space="preserve">. [Emphasis added in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w:t>
      </w:r>
      <w:r>
        <w:rPr>
          <w:rFonts w:ascii="arial" w:eastAsia="arial" w:hAnsi="arial" w:cs="arial"/>
          <w:i/>
          <w:color w:val="000000"/>
          <w:sz w:val="20"/>
          <w:u w:val="single"/>
          <w:lang w:val="en-US" w:eastAsia="en-US" w:bidi="ar-SA"/>
        </w:rPr>
        <w:t xml:space="preserve"> Actus Reus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xml:space="preserve"> held that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for dangerous driving is as set out in s. 249(1)(a)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that is, driving "in a manner that was 'dangerous to the public, having regard to all the circumstances, including the nature, condition and use of the place at which the motor vehicle is being operated and the amount of traffic that at the time is or might reasonably be expected to be at that place'" (para. 43).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In considering whether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has been established, the question is whether the driving, viewed objectively, was dangerous to the public in all of the circumstances. The focus of this inquiry must be on the risks created by the accused's manner of driving, not the consequences, such as an accident in which he or she was involved. As Charron J. put it, at para. 46 of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xml:space="preserve">, "The court must not leap to its conclusion about the manner of driving based on the consequence. </w:t>
      </w:r>
      <w:r>
        <w:rPr>
          <w:rFonts w:ascii="arial" w:eastAsia="arial" w:hAnsi="arial" w:cs="arial"/>
          <w:color w:val="000000"/>
          <w:sz w:val="20"/>
          <w:u w:val="single"/>
          <w:lang w:val="en-US" w:eastAsia="en-US" w:bidi="ar-SA"/>
        </w:rPr>
        <w:t>There must be a meaningful inquiry into the manner of driving</w:t>
      </w:r>
      <w:r>
        <w:rPr>
          <w:rFonts w:ascii="arial" w:eastAsia="arial" w:hAnsi="arial" w:cs="arial"/>
          <w:color w:val="000000"/>
          <w:sz w:val="20"/>
          <w:lang w:val="en-US" w:eastAsia="en-US" w:bidi="ar-SA"/>
        </w:rPr>
        <w:t xml:space="preserve">" [emphasis added in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A manner of driving can rightly be qualified as dangerous when it endangers the public. It is the risk of damage or injury created by the manner of driving that is relevant, not the consequences of a subsequent accident. In conducting this inquiry into the manner of driving, it must be borne in mind that driving is an inherently dangerous activity, but one that is both legal and of social value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at paras. 31 and 34). Accidents caused by these inherent risks materializing should generally not result in criminal convictions.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To summarize, the focus of the analysis in relation to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of the offence is the manner of operation of the motor vehicle. The trier of fact must not simply leap from the consequences of the driving to a conclusion about dangerousness. There must be a meaningful inquiry into the manner of driving.</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The </w:t>
      </w:r>
      <w:r>
        <w:rPr>
          <w:rFonts w:ascii="arial" w:eastAsia="arial" w:hAnsi="arial" w:cs="arial"/>
          <w:i/>
          <w:color w:val="000000"/>
          <w:sz w:val="20"/>
          <w:u w:val="single"/>
          <w:lang w:val="en-US" w:eastAsia="en-US" w:bidi="ar-SA"/>
        </w:rPr>
        <w:t>Mens Rea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The focus of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analysis is on whether the dangerous manner of driving was the result of a marked departure from the standard of care which a reasonable person would have exercised in the same circumstances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xml:space="preserve">, at para. 48). It is helpful to approach the issue by asking two questions. The first is whether, in light of all the relevant evidence, a reasonable person would have foreseen the risk and taken steps to avoid it if possible. If so, the second question is whether the accused's failure to foresee the risk and take steps to avoid it, if possible, was a </w:t>
      </w:r>
      <w:r>
        <w:rPr>
          <w:rFonts w:ascii="arial" w:eastAsia="arial" w:hAnsi="arial" w:cs="arial"/>
          <w:i/>
          <w:color w:val="000000"/>
          <w:sz w:val="20"/>
          <w:lang w:val="en-US" w:eastAsia="en-US" w:bidi="ar-SA"/>
        </w:rPr>
        <w:t>marked departure</w:t>
      </w:r>
      <w:r>
        <w:rPr>
          <w:rFonts w:ascii="arial" w:eastAsia="arial" w:hAnsi="arial" w:cs="arial"/>
          <w:color w:val="000000"/>
          <w:sz w:val="20"/>
          <w:lang w:val="en-US" w:eastAsia="en-US" w:bidi="ar-SA"/>
        </w:rPr>
        <w:t xml:space="preserve"> from the standard of care expected of a reasonable person in the accused's circumstances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The marked departure from the standard expected of a reasonable person in the same circumstances - a modified objective standard - is the minimum fault requirement. The modified objective standard means that, while the reasonable person is placed in the accused's circumstances, evidence of the accused's personal attributes (such as age, experience and education) is irrelevant unless it goes to the accused's incapacity to appreciate or to avoid the risk (para. 40). Of course, proof of subjective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 that is, deliberately dangerous driving - would support a conviction for dangerous driving, but proof of that is not required (Charron J., at para. 47; see also McLachlin C.J., at paras. 74-75, and Fish J., at para. 86).</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Proof of the "Marked Departure" Fault Element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Determining whether the required objective fault element has been proved will generally be a matter of drawing inferences from all of the circumstances. As Charron J. put it, the trier of fact must examine all of the evidence, including any evidence about the accused's actual state of mind (para. 43).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Generally, the existence of the required objective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may be inferred from the fact that the accused drove in a manner that constituted a marked departure from the norm. However, even where the manner of driving is a marked departure from normal driving, the trier of fact must examine all of the circumstances to determine whether it is appropriate to draw the inference of fault from the manner of driving. ... The underlying premise for finding fault based on objectively dangerous conduct that constitutes a marked departure from the norm is that a reasonable person in the position of the accused would have been aware of the risk posed by the manner of driving and would not have undertaken the activity: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at para. 37.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In other words, the question is whether the manner of driving which is a marked departure from the norm viewed in all of the circumstances, supports the inference that the driving was the result of a marked departure from the standard of care that a reasonable person in the same circumstances would have exhibited.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Driving which, objectively viewed, is simply dangerous, will not on its own support the inference that the accused departed markedly from the standard of care of a reasonable person in the circumstances (Charron J., at para. 49; see also McLachlin C.J., at para. 66, and Fish J., at para. 88). In other words, proof of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of the offence, without more, does not support a reasonable inference that the required fault element was present. Only driving that constitutes a marked departure from the norm may reasonably support that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Burden of Proof of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any charge under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the Crown must prove the elements of the case and disprove any available defence beyond a reasonable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Reasonable doubt was defined by the Supreme Court of Canada in </w:t>
      </w:r>
      <w:r>
        <w:rPr>
          <w:rFonts w:ascii="arial" w:eastAsia="arial" w:hAnsi="arial" w:cs="arial"/>
          <w:i/>
          <w:color w:val="000000"/>
          <w:sz w:val="20"/>
          <w:lang w:val="en-US" w:eastAsia="en-US" w:bidi="ar-SA"/>
        </w:rPr>
        <w:t>R. v. Lifchus</w:t>
      </w:r>
      <w:r>
        <w:rPr>
          <w:rFonts w:ascii="arial" w:eastAsia="arial" w:hAnsi="arial" w:cs="arial"/>
          <w:color w:val="000000"/>
          <w:sz w:val="20"/>
          <w:lang w:val="en-US" w:eastAsia="en-US" w:bidi="ar-SA"/>
        </w:rPr>
        <w:t xml:space="preserve">, </w:t>
      </w:r>
      <w:hyperlink r:id="rId876" w:history="1">
        <w:r>
          <w:rPr>
            <w:rFonts w:ascii="arial" w:eastAsia="arial" w:hAnsi="arial" w:cs="arial"/>
            <w:i/>
            <w:color w:val="0077CC"/>
            <w:sz w:val="20"/>
            <w:u w:val="single"/>
            <w:shd w:val="clear" w:color="auto" w:fill="FFFFFF"/>
            <w:lang w:val="en-US" w:eastAsia="en-US" w:bidi="ar-SA"/>
          </w:rPr>
          <w:t>[1997] 3 S.C.R. 320</w:t>
        </w:r>
      </w:hyperlink>
      <w:r>
        <w:rPr>
          <w:rFonts w:ascii="arial" w:eastAsia="arial" w:hAnsi="arial" w:cs="arial"/>
          <w:color w:val="000000"/>
          <w:sz w:val="20"/>
          <w:lang w:val="en-US" w:eastAsia="en-US" w:bidi="ar-SA"/>
        </w:rPr>
        <w:t xml:space="preserve"> at para. 36, where the Court provided a summary of how the definition of reasonable doubt should be explained:</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 of proof beyond a reasonable doubt is inextricably intertwined with that principle fundamental to all criminal trials, the presumption of innocence;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burden of proof rests on the prosecution throughout the trial and never shifts to the accused;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doubt is not a doubt based upon sympathy or prejudice;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rather, it is based upon reason and common sense;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logically connected to the evidence or absence of evidence;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does not involve proof to an absolute certainty; it is not proof beyond any doubt nor is it an imaginary or frivolous doubt; and</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more is required than proof that the accused is probably guilty - a [judge or] jury which concludes only that the accused is probably guilty must acquit.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When the accused testifies the Court must consider </w:t>
      </w:r>
      <w:r>
        <w:rPr>
          <w:rFonts w:ascii="arial" w:eastAsia="arial" w:hAnsi="arial" w:cs="arial"/>
          <w:i/>
          <w:color w:val="000000"/>
          <w:sz w:val="20"/>
          <w:lang w:val="en-US" w:eastAsia="en-US" w:bidi="ar-SA"/>
        </w:rPr>
        <w:t>R. v. W. (D.).</w:t>
      </w:r>
      <w:r>
        <w:rPr>
          <w:rFonts w:ascii="arial" w:eastAsia="arial" w:hAnsi="arial" w:cs="arial"/>
          <w:color w:val="000000"/>
          <w:sz w:val="20"/>
          <w:lang w:val="en-US" w:eastAsia="en-US" w:bidi="ar-SA"/>
        </w:rPr>
        <w:t xml:space="preserve"> The instruction in that case is: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 believe the accused, I must acquit.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 do not believe the testimony of the accused but I am left with a reasonable doubt, I must acquit.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I am not left in doubt by the evidence of the accused, I must ask myself whether on a balance of evidence I do accept I am convinced beyond a reasonable doubt by the evidence of the guilt of the accused.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C.W.H.,</w:t>
      </w:r>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(1991), 68 C.C.C. (3d) 146</w:t>
        </w:r>
      </w:hyperlink>
      <w:r>
        <w:rPr>
          <w:rFonts w:ascii="arial" w:eastAsia="arial" w:hAnsi="arial" w:cs="arial"/>
          <w:color w:val="000000"/>
          <w:sz w:val="20"/>
          <w:lang w:val="en-US" w:eastAsia="en-US" w:bidi="ar-SA"/>
        </w:rPr>
        <w:t xml:space="preserve"> at 155, Wood, J.A. proposed an addition to the three point model suggested in </w:t>
      </w:r>
      <w:r>
        <w:rPr>
          <w:rFonts w:ascii="arial" w:eastAsia="arial" w:hAnsi="arial" w:cs="arial"/>
          <w:i/>
          <w:color w:val="000000"/>
          <w:sz w:val="20"/>
          <w:lang w:val="en-US" w:eastAsia="en-US" w:bidi="ar-SA"/>
        </w:rPr>
        <w:t>W.(D.)</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careful consideration of all the evidence I am unable to decide on whom to believe, I must acquit.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Crown's theory is that Ms. Hecimovic wanted to get ahead of a line of traffic stopped on Lougheed Highway at the red light at Harris Road and get to the other side of the intersection before those other vehicles. The Crown suggests that Ms. Hecimovic was in a hurry to get to her boyfriend's house and she wanted to get ahead because after the intersection she would have to get to the far left lane to turn left at the next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Hecimovic denies the theory. She says she was not in a hurry but had, at the moment she went through the red light, lost her focus and began to cry.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None of the witnesses observed Ms. Hecimovic's Toyota before the intersection, although they had all travelled at least three kilometres from the Pitt River Bridge to this intersection. No witness described a Toyota in a hurry, driving fast or changing lanes to get ahead in that portion of the highway. In that regard, the evidence does not support the Crown's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believe the accused when she says she was not in a hurry. She had almost arrived at her destination and jumping the line by going through the red light would accomplish little in terms of time saving.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find that the Crown's theory is not supported by the evidence. However, that is not the end of the analysis. The theory is just that; it is a theory. It does not address the elements of the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Crown's theory however, supports its position about what it says is the deliberateness of the totality of the accused's actions, which included moving into the right turn only lane, jumping the red light and travelling at a high rate of speed. I agree with the Crown that I must ultimately consider the totality of the evidence, but I must first break down each act and assess whether each represents a marked departure from the standard expected of a reasonable person placed in the accused's circumstances. Addressing first the move to the right lane, there is no doubt that the accused moved into that lane and did so deliberately, but was that a marked departure from the norm? I accept that the accused was unfamiliar as a driver with that intersection. I accept that at the point where the right lane opens, 300 metres from the intersection, there is no marking that it ends or that it is a right turn only lane. I accept the accused's evidence that she believed it was a through lane. The accused did not see the signs indicating that the right lane must turn right. The accused first appreciated that the right lane ended when she observed the raised pedestrian island on the opposite side of the intersection, which was too late. The move to the right turn only lane was dangerous, but I cannot find it was a marked departure from the norm. It was an error, but not a deliberate attempt to get ahead of the other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Next, I will turn to the accused travelling through a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While the accused went through the red light, I cannot find that she -- in the Crown's words -- "jumped the light" or "ran the red". There is no evidence that she sped up to do so. Going through a red light is dangerous, but it happens. People misperceive lights; it is not a marked departure from the norm. I accept the accused's evidence that she did not observe the light to be red until she was just at or in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will now move to the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accused said that she thought she was going at the speed limit of 80 kilometres an hour, but perhaps 90 or possibly 100 kilometres per hour. I accept that evidence. It is not contradicted by the witnesses who were stopped at the red light at Harris Road, who had varying estimates of speed, or by the expert evidence of Sergeant Jewers or Harvey West, but moving to the point I find that it is not a marked departure from the norm. People drive faster than the speed limit on that flat and straight part of the Lougheed Highway that was lightly travelled that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Crown argues that I must look at the totality of the evidence, the combination of travelling in the right turn only lane, going through a red light and excessive speed in order to consider whether it has established the elements of the offence, particularly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beyond a reasonable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is a combination of the three acts of dangerous driving, the Crown says, which demonstrates the deliberateness or mental elements of the accused's decision making and which shows that it was not misjudgment or mere inattention on the accused's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Crown points out that the other cases to which it and the defence have referred address one feature of dangerous driving, as in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xml:space="preserve">. In other cases where the Court has referred to a combination of acts of dangerous driving the Courts have concluded that that combination is a marked departure from the norm and that the charge has been proven beyond a reasonable doubt. Indeed, at para. 55 of the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xml:space="preserve"> decision, the Court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 In my view, the appellant's decision to pull onto the highway is consistent with simple misjudgment of speed and distance in difficult conditions and poor visibility. </w:t>
      </w:r>
      <w:r>
        <w:rPr>
          <w:rFonts w:ascii="arial" w:eastAsia="arial" w:hAnsi="arial" w:cs="arial"/>
          <w:color w:val="000000"/>
          <w:sz w:val="20"/>
          <w:u w:val="single"/>
          <w:lang w:val="en-US" w:eastAsia="en-US" w:bidi="ar-SA"/>
        </w:rPr>
        <w:t>The record here discloses a single and momentary error in judgment with tragic consequences</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 disagree with the Crown that whether there was one act of dangerous driving or more is the test to apply. The Court in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xml:space="preserve"> takes many paragraphs, as I have reviewed, to explain the test to be applied, but it does not suggest that more than one act of dangerous driving meets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element. That is a simple theory that is easy to express and it would not require the Supreme Court of Canada to consider complex legal concepts at all. The finding of the Court in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xml:space="preserve"> at para. 55 in respect to a single and momentary error in judgment describe the facts in that case but do not define a principle that more than a single act of dangerous driving demonstrates that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component has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Here, there were a series of acts and each compounded the other, but I have not found that any of the acts separately constituted a marked departure from the norm. When considered together, I find that they do not establish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element of the defence. These three acts were part of a momentary error and even together they do not show a marked departure from the norm or something other than simple carelessness.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Crown has not met the heavy onus required. I am not convinced beyond a reasonable doubt that the accused's driving at 11:44 p.m. on October 19, 2010 at the intersection of Lougheed Highway and Harris Road constitutes the offence of dangerous driving causing death. I find the accused not guilty of both 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Let me end where I began. A tragic event occurred at that time and place. Two young adults died of the injuries they sustained. Ms. Hecimovic must live with the fact that she is responsible for this terrible tragedy but she has not committed these serious criminal offences.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 GROPPER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9" style="position:absolute;z-index:2518046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78"/>
          <w:headerReference w:type="default" r:id="rId879"/>
          <w:footerReference w:type="even" r:id="rId880"/>
          <w:footerReference w:type="default" r:id="rId881"/>
          <w:headerReference w:type="first" r:id="rId882"/>
          <w:footerReference w:type="first" r:id="rId8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84" w:history="1">
        <w:r>
          <w:rPr>
            <w:rFonts w:ascii="arial" w:eastAsia="arial" w:hAnsi="arial" w:cs="arial"/>
            <w:b/>
            <w:bCs/>
            <w:i/>
            <w:color w:val="0077CC"/>
            <w:kern w:val="32"/>
            <w:sz w:val="28"/>
            <w:szCs w:val="32"/>
            <w:u w:val="single"/>
            <w:shd w:val="clear" w:color="auto" w:fill="FFFFFF"/>
            <w:lang w:val="en-US" w:eastAsia="en-US" w:bidi="ar-SA"/>
          </w:rPr>
          <w:t>R. v. Hecimovic, [2017] B.C.J. No. 2857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J.S. Harvey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14-18, 21-23, 25 and 29,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January 16,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X076149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2857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398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Regina, and Andelina Kristina Hecimovic</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(100 paras.)</w:t>
      </w:r>
    </w:p>
    <w:p>
      <w:pPr>
        <w:jc w:val="both"/>
        <w:rPr>
          <w:rFonts w:ascii="arial" w:eastAsia="arial" w:hAnsi="arial" w:cs="arial"/>
          <w:sz w:val="20"/>
          <w:lang w:val="en-US" w:eastAsia="en-US" w:bidi="ar-SA"/>
        </w:rPr>
      </w:pPr>
      <w:bookmarkStart w:id="170" w:name="Counsel_43"/>
      <w:bookmarkEnd w:id="1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0"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Crown: A. Blunt.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Accused: D. Kontou, K. Cronin.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1" w:name="Judgment_43"/>
      <w:bookmarkEnd w:id="171"/>
      <w:r>
        <w:pict>
          <v:line id="_x0000_s1181" style="position:absolute;z-index:2517575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2" w:name="J.S. HARVEY J. (orally)"/>
            <w:bookmarkEnd w:id="172"/>
            <w:r>
              <w:rPr>
                <w:rFonts w:ascii="arial" w:eastAsia="arial" w:hAnsi="arial" w:cs="arial"/>
                <w:b/>
                <w:color w:val="000000"/>
                <w:sz w:val="30"/>
                <w:lang w:val="en-US" w:eastAsia="en-US" w:bidi="ar-SA"/>
              </w:rPr>
              <w:t>J.S. HARVEY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accused, Andelina Hecimovic, is charged with two counts of dangerous driving causing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Just prior to midnight on October 19, 2010, a Toyota Paseo driven by the accused was proceeding eastbound on Lougheed Highway towards Harris Road in Pitt Meadows,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decedents, John Manuel De Oliveira and Rebecca Cassandra Dyer, were travelling westbound on Lougheed Highway in the left-hand turn lane, intending to make a left-hand turn at Harris Road. They were driving a red Suzuki Swift.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Prior to the intersection, the accused's vehicle moved from one of the three eastbound through lanes on Lougheed Highway into what was a restricted right-hand turn only lane and proceeded through the intersection of Harris Road as the light was red for eastbound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Because of the placement of a concrete pedestrian island located in the southeast corner of the intersection blocking the lane of travel in which the accused was proceeding, she aggressively steered her vehicle to the left so as to avoid hitting the island. As a result, she lost control of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will describe in greater detail the evidence respecting what then happened, but the effect was to cause the accused's vehicle to go into an uncontrolled yaw, eventually striking the median dividing the eastbound from westbound lanes of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speed of the accused's vehicle, coupled with the engineering characteristics of the median, resulted in the accused's vehicle being launched airborne into the westbound lanes of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While airborne, her vehicle struck the Suzuki Swift being driven by John Manuel De Oliveira. The combined effect of the speed and the weight of the Paseo driven by the accused was sufficient to shear the roof off of the Suzuki, thus causing fatal injuries to Mr. Oliveira and Ms. Dyer. Thereafter the Paseo continued to proceed in a north-easterly direction, ending up eventually against the northernmost curb of the eastbound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elements of the offence of dangerous driving causing death are succinctly set out in </w:t>
      </w:r>
      <w:r>
        <w:rPr>
          <w:rFonts w:ascii="arial" w:eastAsia="arial" w:hAnsi="arial" w:cs="arial"/>
          <w:i/>
          <w:color w:val="000000"/>
          <w:sz w:val="20"/>
          <w:lang w:val="en-US" w:eastAsia="en-US" w:bidi="ar-SA"/>
        </w:rPr>
        <w:t>R. v. Roy</w:t>
      </w:r>
      <w:r>
        <w:rPr>
          <w:rFonts w:ascii="arial" w:eastAsia="arial" w:hAnsi="arial" w:cs="arial"/>
          <w:color w:val="000000"/>
          <w:sz w:val="20"/>
          <w:lang w:val="en-US" w:eastAsia="en-US" w:bidi="ar-SA"/>
        </w:rPr>
        <w:t xml:space="preserve">, </w:t>
      </w:r>
      <w:hyperlink r:id="rId874" w:history="1">
        <w:r>
          <w:rPr>
            <w:rFonts w:ascii="arial" w:eastAsia="arial" w:hAnsi="arial" w:cs="arial"/>
            <w:i/>
            <w:color w:val="0077CC"/>
            <w:sz w:val="20"/>
            <w:u w:val="single"/>
            <w:shd w:val="clear" w:color="auto" w:fill="FFFFFF"/>
            <w:lang w:val="en-US" w:eastAsia="en-US" w:bidi="ar-SA"/>
          </w:rPr>
          <w:t>2012 SCC 26</w:t>
        </w:r>
      </w:hyperlink>
      <w:r>
        <w:rPr>
          <w:rFonts w:ascii="arial" w:eastAsia="arial" w:hAnsi="arial" w:cs="arial"/>
          <w:color w:val="000000"/>
          <w:sz w:val="20"/>
          <w:lang w:val="en-US" w:eastAsia="en-US" w:bidi="ar-SA"/>
        </w:rPr>
        <w:t>, at paras. 1 and 2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Dangerous driving causing death is a serious criminal offence punishable by up to 14 years in prison. Like all criminal offences, it consists of two components: prohibited conduct -- operating a motor vehicle in a dangerous manner resulting in death -- and a required degree of fault -- a marked departure from the standard of care that a reasonable person would observe in all the circumstances. The fault component is critical, as it ensures that criminal punishment is only imposed on those deserving the stigma of a criminal conviction. While a mere departure from the standard of care justifies imposing civil liability, only a marked departure justifies the fault requirement for this serious criminal offence.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Defining and applying this fault element is important, but also challenging, given the inherently dangerous nature of driving. Even simple carelessness may result in tragic consequences which may tempt judges and juries to unduly extend the reach of the criminal law to those responsible. Yet, as the Court put in </w:t>
      </w:r>
      <w:r>
        <w:rPr>
          <w:rFonts w:ascii="arial" w:eastAsia="arial" w:hAnsi="arial" w:cs="arial"/>
          <w:i/>
          <w:color w:val="000000"/>
          <w:sz w:val="20"/>
          <w:lang w:val="en-US" w:eastAsia="en-US" w:bidi="ar-SA"/>
        </w:rPr>
        <w:t>R. v. Beatty</w:t>
      </w:r>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2008 SCC 5</w:t>
        </w:r>
      </w:hyperlink>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[2008] 1 S.C.R. 49</w:t>
        </w:r>
      </w:hyperlink>
      <w:r>
        <w:rPr>
          <w:rFonts w:ascii="arial" w:eastAsia="arial" w:hAnsi="arial" w:cs="arial"/>
          <w:color w:val="000000"/>
          <w:sz w:val="20"/>
          <w:lang w:val="en-US" w:eastAsia="en-US" w:bidi="ar-SA"/>
        </w:rPr>
        <w:t>, at para. 34, "If every departure from the civil norm is to be criminalized, regardless of the degree, we risk casting the net too widely and branding as criminals persons who are in reality not morally blameworthy." Giving careful attention to the fault element of the offence is essential if we are to avoid making criminals out of the merely careless.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Crown, as always, bears the onus of proving all elements of the offence, including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beyond reasonable doubt. Here it is conceded by the defence that the accused's driving in the short period prior to the collision with the Suzuki constitutes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of the offence. It is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which the defence argues that the Crown has not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Events giving rise to the charge emerged from the evidence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scene of these events, Lougheed Highway at or near Harris Road, is a controlled intersection. Lougheed Highway is an arterial road flowing from Vancouver to the Fraser Valley.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Harris Road is a main artery through Pitt Meadows and is surrounded on four sides at the intersection by commercial outlets.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speed limit in place for Lougheed Highway at the time of the accident was 80 km/h. The evidence allows me to conclude that the highway approaching the intersection of Harris Road from both sides is flat and straight.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Police evidence confirmed that it is common for drivers to exceed the speed limit, and that speeds of 100 km/h usually fail to attract the attention of police officers performing traffic duty, as such vehicles are more or less keeping up with the flow of traffic. Lougheed Highway leading to Harris Road from the west has five lanes. There is a left-hand turn lane, a right-turn-only lane, and three lanes of through traffic proceeding eastbound. Harris Road has four lanes of traffic on the north side of the highway and five on the south side. The following facts were admitted as to conditions relating to eastbound traffic on the Lougheed Highway leading to the collision site where the accident occurred and as to the condition of the accused:</w:t>
      </w:r>
      <w:r>
        <w:rPr>
          <w:rFonts w:ascii="arial" w:eastAsia="arial" w:hAnsi="arial" w:cs="arial"/>
          <w:sz w:val="20"/>
          <w:lang w:val="en-US" w:eastAsia="en-US" w:bidi="ar-SA"/>
        </w:rPr>
        <w:cr/>
      </w:r>
    </w:p>
    <w:p>
      <w:pPr>
        <w:numPr>
          <w:numId w:val="2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right-turn arrow sign located approximately 58 metres west of the centre of the intersection of Lougheed Highway and Harris Road;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"Right-hand must turn right" sign located approximately 50 metres west of the centre of the intersection of Lougheed Highway and Harris Road;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one overhead traffic advisory sign located west of the intersection of Lougheed Highway and Harris Road at approximately 125 metres west of the centre of the intersection, it displays the caption "prepare to stop when flashing lights are activated";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"Maximum 80 km/h" speed sign located 579 metres west of the centre of the intersection of the Lougheed Highway and Harris Road;</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19, 2010, at approximately 11:44 p.m., a motor vehicle accident occurred between two vehicles (the "Accident"), approximately 100 metres to the east of the intersection of Lougheed Highway and Harris Road (the "Intersection") in Pitt Meadows, British Columbia;</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Accident, both Mr. De Oliveira and Ms. Dyer died immediately from multiple blunt force injuries;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the Paseo and Suzuki vehicles were in good mechanical and physical condition prior to the collision, neither displayed evidence of any sudden mechanical failure or malfunction which may have contributed to the Accident;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a variety of other signs displayed on Lougheed west of Harris to attract the attention of eastbound drivers, including a "Pitt Meadows Community Police Station" sign, golf club signs affixed to the light post some 286 metres before the centre of the Intersection, a truck route sign approximately 261 metres before the centre of the Intersection, and a Blue Heron Fruit Winery sign approximately 235 metres before the centre of the Intersection;</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admitted that the right-hand-turn-only lane allowing eastbound traffic to turn onto Harris Road has been there since 2005, is approximately 34 metres across the Intersection of Harris Road and Lougheed Highway;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the accused consumed alcohol or drugs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now turn to the evidence. The following facts are common to the evidence of those who observed the Accident and the accused. The accused, at some unknown point, entered into the right-hand turn only lane and was travelling at a speed higher than the speed limit proceeding eastbound towards Harris Road. Witness estimates as to the accused's speed as it neared or entered the Intersection varied from the accused's self estimate of 80 to 90 km/h, to well over 100 km/h from others who observed the events as they unfolded.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accused's vehicle travelled for a period in the right-hand-turn-only lane before entering into the Intersection at Lougheed Highway and Harris Road as against the red light controlling traffic for eastbound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entering into the Intersection, the accused's vehicle veered suddenly to the left, so as to avoid the concrete pedestrian island which juts into the right-hand-turn-only lane, and thereafter lost control and went into a counter-clockwise yaw, which is a rotational turn. The vehicle moved across through the three lanes eastbound of traffic, east of Harris Road, eventually hitting the centre median before going airborne and striking the Suzuki.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None of the witnesses observed the accused's vehicle for a sustained period of time. All agreed when they observed it, it was going fast. Those in position to see testified the light was red for eastbound traffic when the accused entered the Intersection and that she attempted evasive manoeuvres once in the Intersection in an effort to avoid colliding with the pedestrian island.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Duncan Buss was driving alone in an eastbound lane on Lougheed Highway and was approaching Harris Road at a speed he estimated was 80 to 85 km/h. As he approached the Intersection proceeding east, he observed the warning lights from the traffic advisory sign and began slowing. As he was slowing, he noticed the accused's vehicle coming up behind him in the right-hand-turn-only lane and it passed him at "a high rate of speed". He formed the opinion that the vehicle would neither be able to stop for the red light nor turn right at Harris Road, given its rate of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 then observed the Paseo continue on in the right-hand-turn-only lane and go through the red light. Thereafter it lost control as it swerved to avoid striking the pedestrian crossing island. He described it as swerving back and forth until it hit the median and shot into the air. He then heard the sounds of glass shattering.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estimated he was 100 metres from the Intersection when the accused passed him, but acknowledged that that was more of a guess than a firm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said that the light was red for eastbound traffic when the accused's vehicle entered the Intersection and had been so for two to three seconds. He estimated the vehicle's speed at 110 km/h as against his estimate of 85 km/h. The vehicle never slowed down prior to going into the Intersection, and he noticed no change in its speed until it swerved to miss the pedestrian island.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After the light turned green for eastbound traffic, he went forward and pulled his car over. He phoned 9-1-1, requesting both police and ambulance. Mr. Buss eventually attended at both vehicles, that of the two deceased and that containing the accused. He acknowledged that he originally, because both vehicles were red, thought it was the vehicle containing the decedents which had travelled past him through the red light, but corrected this when he spoke to police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Crown called two expert witnesses, Sergeant Jewers and Harvey West. The expertise of both in traffic accident reconstruction was acknowledged by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Sgt. Jewers arrived at the Accident scene at approximately 12:20 a.m. on October 20. He performed a series of measurements and placement markers depicting a variety of indicators, including where the accused's vehicle first went into yaw, where it struck the median, and debris from the Suzuki vehicle, indicating the general area in which the Accident between the accused's vehicle and the Suzuki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measured the slope of the median so as to obtain the variables for the trajectory of the vehicle as it went airborne, and performed drag tests so as to determine the coefficient of friction where the scuff marks on the road began.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Measurements were taken with a precise laser-measuring instrument so as to prepare scale diagrams.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 series of photographs of the Accident scene were taken. Sgt. Jewers, by self-acknowledgment, was unable to estimate the accused's maximum speed, but only its minimum speed as it came into contact with the median. Such was well under the speed limit but made no allowance for the velocity necessary for the accused's vehicle to launch over the median, strike the decedents' car and travel further on to the northeast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Harvey West, an engineer specializing in accident reconstruction, utilized the scene measurements and documentation taken by Sgt. Jewers and others to provide an opinion as to the speed of the accused's Paseo upon its entry into the Intersection. He offered an opinion of a range between 100 to 130 km/h with a "probable speed" of 100 km/h. That estimate was achieved by using what he described as the Monte Carlo technique, which involves computer modelling, taking known information, as well as "probable information", and providing ranges of values from computer analysis to come up with the probability distribution of the information inputted.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 then performed a second analysis based upon the curvature of the Paseo's yaw, noting the radius of curvature is less at higher speeds. He used calculations based on the demonstrated curvature of the yaw and the known coefficient of friction, and provided an opinion the range for the Paseo's speed was 107 km/h to 116 km/h. The 107 km/h estimate was made using the precise coefficient of friction determined by Sgt. Jewers. The higher speed was obtained when using a different coefficient of friction.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opining the Paseo's speed, Mr. West made no allowance for any loss of speed prior to the vehicle going into yaw as a result of fishtailing. Others who observed the accused's vehicle had less time to observe it, but all confirmed the Paseo's lane of travel and the accused's entry into the Intersection as against the red light, and speed uniformly described as above the posted limit of 80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Two employees from the accused's then employer described her shifts during the months she worked at Eagleridge Hospital, and described the chain of command in the emergency ward where the accused was working the night of the collision. Her shift the evening in question was from 3:30 p.m. until 11:30 p.m. The emergency ward was one of the hospital's busiest departments.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accused testified. At the time of the Accident she was 23 years old and a recent graduate of a one-year practical nursing course at Kwantlen College. She had recently obtained her N driver's designation and the Paseo vehicle she was driving on the evening of the Accident was purchased by her sometime in August of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the evening of the Accident, she was working at Eagleridge Hospital in the emergency ward. She described a busy and emotionally-charged shift which focused upon the admission of a young man who had apparently attempted suicide. While attending to him and taking his vital signs, the young man vomited on the accused, all over her pants. She later had to go to the staff room and obtain spare pants and clean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She carried on with her shift until it slowed around 11:00 p.m. Although the shift did not actually end until 11:30 p.m., the testified that she checked with another nurse whom she identified as Vonda, who authorized the accused to leave earlier than 11:30 p.m. The accused was uncertain as to the exact time she left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She then got into her vehicle, and having concluded she was exhausted but "okay", she considered herself composed and did not tell anyone of her feelings surrounding the events earlier in the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She was driving to her boyfriend's home who lived east of Harris Road, just off of Lougheed Highway on Meadow Gardens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Contrary to her usual practice, she said she went along the Lougheed Highway towards Harris, as opposed to taking the more circuitous route via Dewdney Trunk Road, which is a more leisurely route but less busy than that of Lougheed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She testified she had used Lougheed Highway "once or twice during the day before October 19" when driving, but on October 19, she took the shortest route. Earlier when she travelled on Lougheed Highway, she said she stayed in the far left or middle lanes. As she was approaching Harris Road, she began focusing on the young man and how sad he must have been and what he was going through and what his family was going through. She described herself as being on the verge of tears, but containing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she came to the area before Harris Road, she saw what she said was "an open lane" and went into it. She did not initially explain why she felt it was necessary to change lanes, given she testified she did not notice traffic in front of her slowing or stopped. She thought she was keeping up with traffic at maybe 90 kilometres an hour or so. She then noticed an odour. She did not know where it was initially but then observed her shirt and saw vomit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She then described herself as being overwhelmed by the events involving the young man earlier in the evening and burst into tears and continued to drive as she wiped away the tears. She testified she began crying after entering the right-hand-turn-only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events that followed happened quickly. She thought she was travelling in a through lane, although she acknowledged she did not know where it began. As she entered the Intersection, she realized that the light was red and that the pedestrian island was immediately in front of her. She neither accelerated before she entered the Intersection nor did she brake. She swerved to avoid a pole that is situated on the pedestrian island. She denied that she was hurrying or trying to beat the traffic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She panicked and turned the wheel hard to her left so as to avoid the pole, and then lost control of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Cross-examination of the accused focused on the fact that she was a frequent attendee at her boyfriend's residence who had lived a mile or so east of Harris Road for close to 20 months prior to the evening in question, and that she frequently slept over there whilst attending school, and then later while working at Eagleridge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While in the ambulance, the accused told Constable Condon that she was on her way home when the Accident happened. The accused testified she had a number of homes at the time of the incident, including her aunt's and her parents', as well as her boyfriend's on Meadow Gardens Way. Her driver's licence gave her address as that of her boyfriend on Meadow Gardens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her earlier trial, she testified that her shift commenced at 3:15 p.m. and ended at 11:15 p.m. In the Crown's case, evidence was called noting that the shift started at 3:30 p.m. and 11:30 p.m. was its end point on October 19, 2010. The accused explained this discrepancy by saying that she always arrived early and on that evening was able to leave early, despite the shift carrying on until 11:30 p.m., because it had quieted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She agreed ultimately there was no evidence at the first trial about the start and end of her shift, and that she answered questions in the earlier trial that she had spent the whole of her shift in the emergency intake ward. In her earlier testimony, the accused acknowledged she never mentioned getting off earlier or that things slowed down later in the shift. She said the conversation leading to her earlier departure was with a nurse named "Vonda", not Denise Dejuan, the charge nurse called by Crown who was on duty and supervising the emergency room staff the night of October 19,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accused was steadfast in her denial of any familiarity with the physical layout of the Intersection at Harris Road and Lougheed. She described the route she normally took driving as along Dewdney Trunk Road, down Harris, then across Lougheed Highway south into a subdivision, also as to avoid Lougheed Highway and the busy traffic thereon. When she took the bus or was driven by her boyfriend, she said she paid little attention to her surroundings.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route she described as her usual route when driving herself likely added some 10 minutes or so to her commute each way, according to police evidence. She was inconsistent about the number of times she had driven down Lougheed and whether she had driven it herself during nighttime hours before October 19, 2010. Despite passing by the pedestrian island when she took Harris Road from Dewdney Trunk Road as the way to her boyfriend's, she denied knowing of its presence or that the lane to the far right of eastbound traffic was a turn lane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She acknowledged she was familiar with the Intersection's location, but not its physical layout, specifically the right-hand-turn-only lane and the pedestrian island to the east of Lougheed. In cross-examination, she acknowledged that there was a vehicle ahead of her when she moved her vehicle into the right-hand-turn-only lane and that there were multiple vehicles ahead of her before she went into that open lane. She acknowledged ultimately that she must have noticed that they were slowing, because she drove by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defence called one other witness, Dr. Mistlberger. At the invitation of the Crown, Dr. Mistlberger was qualified as an expert in circadian rhythms, and after opining that the accused was not in sleep deficit at the time of the collision, offered an opinion that "at this biological time of night, after an intense shift in hospital emergency that required sustained attention to task, Ms. Hecimovic would, as a matter of normal human brain biology, have been at increased risk of distraction and emotional dysregulation". Such, he said, would not have been apparent to her when she made the decision to drive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arriving at his opinion, Dr. Mistlberger met with the accused at a Starbucks a month or so prior to trial, and in combination with an interview, had her fill out or assisted her in filling out several self-report tests about her sleep patterns. What emerged from his report was an opinion that the accused, despite providing very few details about the shift which preceded the Accident, suffered what he described as an "emotional convulsion" immediately before the accident leading to a distraction and thus the dangerous driving resulting in the fatal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Mistlberger's opinion, in my view, is of no assistance in determining the guilt or innocence of the accused. The history he took from the accused was insufficient to provide anything other than a boilerplate opinion which is, simply put, that shift workers, particularly those working in what is colloquially called the graveyard shift, suffer attention deficits from time to time and are more likely than colleagues working days or afternoons to be involved in motor vehicle accidents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accused never provided Dr. Mistlberger with the details she provided in her evidence about the young man in the hospital, but rather he obtained the information about the circumstances of a challenging shift preceding the Accident from a friend or newspaper reports. The only reference in her interview testing with Dr. Mistlberger to an upsetting event while she was driving was an excerpt from notes he took that she began thinking of the death of her brother's friend and became upset. Given the context in which that remark came up, it is hard not to fathom how the accused could have understood it as a reference to anything but the events leading up to the happening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Mistlberger ultimately agreed in cross-examination that the accused was not suffering from a sleep deficit at the time of the Accident. However, he continued to insist her circadian rhythm was still a factor in its happening, without providing any scientific basis upon which such could be concluded given the paucity of his investigation and the actual responses of the accused to the tests he administered.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Given the timing of the disclosure of Dr. Mistlberger's interview notes to the Crown, I allowed an application to have the accused recalled for the purposes of dealing with her statement to Dr. Mistlberger. While maintaining it was the incident from her shift earlier in the evening that precipitated her breakdown, the accused acknowledged making the remark attributed to her by Dr. Mistlberger regarding the death of her brother's 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Crown argues two separate theories which it says leads to conviction. Firstly, it says the accused on the evidence was attempting, by the manoeuvres she took, to jump the traffic light at the Intersection of Lougheed Highway and Harris Road because she was in a hurry to get home. Alternatively, it says that the actions of the accused when measured as against that of a reasonable person in the accused's circumstances constitute a marked departure from the norm and are not as a result of a momentary lapse.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defence argues the Crown has failed to prove the essential elements of the offence. While acknowledging the establishment of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and the driving described, the defence argues the Crown has not proven, by either standard, the necessary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to establish that the accused is guilty of the offences with which she is charged beyond a reasonable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As I earlier noted, the leading decision on the requisite elements to establish dangerous driving causing death are set out in </w:t>
      </w:r>
      <w:r>
        <w:rPr>
          <w:rFonts w:ascii="arial" w:eastAsia="arial" w:hAnsi="arial" w:cs="arial"/>
          <w:i/>
          <w:color w:val="000000"/>
          <w:sz w:val="20"/>
          <w:lang w:val="en-US" w:eastAsia="en-US" w:bidi="ar-SA"/>
        </w:rPr>
        <w:t>R. v. Roy</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Mr. Justice Cromwell summarized the two elements as follows,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of the offence is driving in a manner dangerous to the public, having regard to all the circumstances, including the nature, condition and use of the place at which the motor vehicle was being operated and the amount of traffic that at the time was or might reasonably have been expected to be at that place (s. 249(1)(</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is that the degree of care exercised by the accused's was a </w:t>
      </w:r>
      <w:r>
        <w:rPr>
          <w:rFonts w:ascii="arial" w:eastAsia="arial" w:hAnsi="arial" w:cs="arial"/>
          <w:i/>
          <w:color w:val="000000"/>
          <w:sz w:val="20"/>
          <w:lang w:val="en-US" w:eastAsia="en-US" w:bidi="ar-SA"/>
        </w:rPr>
        <w:t>marked</w:t>
      </w:r>
      <w:r>
        <w:rPr>
          <w:rFonts w:ascii="arial" w:eastAsia="arial" w:hAnsi="arial" w:cs="arial"/>
          <w:color w:val="000000"/>
          <w:sz w:val="20"/>
          <w:lang w:val="en-US" w:eastAsia="en-US" w:bidi="ar-SA"/>
        </w:rPr>
        <w:t xml:space="preserve"> departure from the standard of care that a reasonable person would observe in the accused's circumstances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xml:space="preserve">, at para. 43). The care exhibited by the accused is assessed against the standard of care expected of a reasonably prudent driver in the circumstances. The offence will only be made out if the care exhibited by the accused constitutes a </w:t>
      </w:r>
      <w:r>
        <w:rPr>
          <w:rFonts w:ascii="arial" w:eastAsia="arial" w:hAnsi="arial" w:cs="arial"/>
          <w:i/>
          <w:color w:val="000000"/>
          <w:sz w:val="20"/>
          <w:lang w:val="en-US" w:eastAsia="en-US" w:bidi="ar-SA"/>
        </w:rPr>
        <w:t>marked</w:t>
      </w:r>
      <w:r>
        <w:rPr>
          <w:rFonts w:ascii="arial" w:eastAsia="arial" w:hAnsi="arial" w:cs="arial"/>
          <w:color w:val="000000"/>
          <w:sz w:val="20"/>
          <w:lang w:val="en-US" w:eastAsia="en-US" w:bidi="ar-SA"/>
        </w:rPr>
        <w:t xml:space="preserve"> departure from that norm. While the distinction between a mere departure from the standard of care, which would justify civil liability, and a </w:t>
      </w:r>
      <w:r>
        <w:rPr>
          <w:rFonts w:ascii="arial" w:eastAsia="arial" w:hAnsi="arial" w:cs="arial"/>
          <w:i/>
          <w:color w:val="000000"/>
          <w:sz w:val="20"/>
          <w:lang w:val="en-US" w:eastAsia="en-US" w:bidi="ar-SA"/>
        </w:rPr>
        <w:t>marked</w:t>
      </w:r>
      <w:r>
        <w:rPr>
          <w:rFonts w:ascii="arial" w:eastAsia="arial" w:hAnsi="arial" w:cs="arial"/>
          <w:color w:val="000000"/>
          <w:sz w:val="20"/>
          <w:lang w:val="en-US" w:eastAsia="en-US" w:bidi="ar-SA"/>
        </w:rPr>
        <w:t xml:space="preserve"> departure justifying criminal punishment is a matter of degree, the lack of care must be serious enough to merit punishment (para.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has been established by the accused's driving; specifically, the combination of speed, her failure to obey the traffic controls, specifically the red light for eastbound traffic and the signage requiring drivers in the right-hand-turn-only lane of travel to turn right onto Harris Road. The issue before me is whether the Crown has proven the necessary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beyond a reasonable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Returning to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xml:space="preserve">, Cromwell J. made the following comments concerning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element under the modified objective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The focus of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analysis is on whether the dangerous manner of driving was the result of a marked departure from the standard of care which a reasonable person would have exercised in the same circumstances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xml:space="preserve">, at para. 48). It is helpful to approach the issue by asking two questions. The first is whether, in light of all of the relevant evidence, a reasonable person would have foreseen the risk and taken steps to avoid it if possible. If so, the second question is whether the accused's failure to foresee the risk and take steps to avoid it, if possible, was a </w:t>
      </w:r>
      <w:r>
        <w:rPr>
          <w:rFonts w:ascii="arial" w:eastAsia="arial" w:hAnsi="arial" w:cs="arial"/>
          <w:i/>
          <w:color w:val="000000"/>
          <w:sz w:val="20"/>
          <w:lang w:val="en-US" w:eastAsia="en-US" w:bidi="ar-SA"/>
        </w:rPr>
        <w:t>marked departure</w:t>
      </w:r>
      <w:r>
        <w:rPr>
          <w:rFonts w:ascii="arial" w:eastAsia="arial" w:hAnsi="arial" w:cs="arial"/>
          <w:color w:val="000000"/>
          <w:sz w:val="20"/>
          <w:lang w:val="en-US" w:eastAsia="en-US" w:bidi="ar-SA"/>
        </w:rPr>
        <w:t xml:space="preserve"> from the standard of care expected of a reasonable person in the accused's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Simple carelessness, to which even the most prudent drivers may occasionally succumb, is generally not criminal. As noted earlier, Charron J., for the majority in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put it this way: "If every departure from the civil norm is to be criminalized, regardless of the degree, we risk casting the net too widely and branding as criminals persons who are in reality not morally blameworthy" (para. 34). The Chief Justice expressed a similar view: "Even good drivers are occasionally subject to momentary lapses of attention. These may, depending on the circumstances, give rise to civil liability, or to a conviction for careless driving. But they generally will not rise to the level of a marked departure required for a conviction for dangerous driving" (para. 71).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The marked departure from the standard expected of a reasonable person in the same circumstances -- a modified objective standard -- is the minimum fault requirement. The modified objective standard means that, while the reasonable person is placed in the accused's circumstances, evidence of the accused's personal attributes (such as age, experience and education) is irrelevant unless it goes to the accused's incapacity to appreciate or to avoid the risk (para. 40). Of course, proof of subjective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 that is, deliberately dangerous driving -- would support a conviction for dangerous driving, but proof of that is not required (Charron J., at para. 47; see also McLachlin C.J., at paras. 74-75, and Fish J., at para. 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Firstly, the Crown says that the evidence demonstrates subjective intent beyond a reasonable doubt that the accused was hurrying and attempting to jump the light so as to reach home and her boyfriend's residence. In the alternative, the Crown submits the accused's driving in the moments leading up to the Accident must be considered in combination with one another, not in isolation, and that over a relatively protracted period of time, the accused was inattentive to a number of circumstances, including slowing traffic, signage warning of the requirement for right turn from her lane of travel, the flashing traffic advisory lights, the red light itself, and finally the placement of the pedestrian traffic island which jutted well into the accused's lane of travel and was visible, given the lighting of the Intersection, at a significant distance.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According to Crown, the totality of those actions are more than mere oversights or momentary lapses, and occurred over a considerable period of time and distance, thus leading to the only conclusion that such was a marked departure from the standard of care which a reasonable person would have exercised in the same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As I noted, it is not necessary to find the accused has the subjective intent to provide the required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for driving dangerously. As stated in </w:t>
      </w:r>
      <w:r>
        <w:rPr>
          <w:rFonts w:ascii="arial" w:eastAsia="arial" w:hAnsi="arial" w:cs="arial"/>
          <w:i/>
          <w:color w:val="000000"/>
          <w:sz w:val="20"/>
          <w:lang w:val="en-US" w:eastAsia="en-US" w:bidi="ar-SA"/>
        </w:rPr>
        <w:t>R. v. Beatty</w:t>
      </w:r>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2008 SCC 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However, subjective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of the kind I have just described need not be proven to make out the offence because the mischief Parliament sought to address in enacting s. 249 encompasses a wider range of behaviour. Therefore, while proof of subjective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will clearly suffice, it is not essential. In the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-based offences such as this one, doing the proscribed act with the absence of the appropriate mental state of care may instead suffice to constitute the requisite fault. The presence of objective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is determined by assessing the dangerous conduct as against the standard expected of a reasonably prudent driver. If the dangerous conduct constitutes a "marked departure" from that norm, the offence will be made out. As stated earlier, what constitutes a "marked departure" from the standard expected of a reasonably prudent driver is a matter of degree. The lack of care must be serious enough to merit punishment. There is no doubt that conduct occurring in a few seconds can constitute a marked departure from the standard of a reasonable person. Nonetheless, as Doherty J.A. aptly remarked in </w:t>
      </w:r>
      <w:r>
        <w:rPr>
          <w:rFonts w:ascii="arial" w:eastAsia="arial" w:hAnsi="arial" w:cs="arial"/>
          <w:i/>
          <w:color w:val="000000"/>
          <w:sz w:val="20"/>
          <w:lang w:val="en-US" w:eastAsia="en-US" w:bidi="ar-SA"/>
        </w:rPr>
        <w:t>Willock</w:t>
      </w:r>
      <w:r>
        <w:rPr>
          <w:rFonts w:ascii="arial" w:eastAsia="arial" w:hAnsi="arial" w:cs="arial"/>
          <w:color w:val="000000"/>
          <w:sz w:val="20"/>
          <w:lang w:val="en-US" w:eastAsia="en-US" w:bidi="ar-SA"/>
        </w:rPr>
        <w:t xml:space="preserve">, </w:t>
      </w:r>
      <w:hyperlink r:id="rId885" w:history="1">
        <w:r>
          <w:rPr>
            <w:rFonts w:ascii="arial" w:eastAsia="arial" w:hAnsi="arial" w:cs="arial"/>
            <w:i/>
            <w:color w:val="0077CC"/>
            <w:sz w:val="20"/>
            <w:u w:val="single"/>
            <w:shd w:val="clear" w:color="auto" w:fill="FFFFFF"/>
            <w:lang w:val="en-US" w:eastAsia="en-US" w:bidi="ar-SA"/>
          </w:rPr>
          <w:t>[2006] O.J. No. 2451</w:t>
        </w:r>
      </w:hyperlink>
      <w:r>
        <w:rPr>
          <w:rFonts w:ascii="arial" w:eastAsia="arial" w:hAnsi="arial" w:cs="arial"/>
          <w:color w:val="000000"/>
          <w:sz w:val="20"/>
          <w:lang w:val="en-US" w:eastAsia="en-US" w:bidi="ar-SA"/>
        </w:rPr>
        <w:t xml:space="preserve">, "conduct that occurs in such a brief time frame in the course of driving, which is otherwise proper in all respects, is more suggestive of the civil rather than the criminal end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continuum" (para. 31). Although </w:t>
      </w:r>
      <w:r>
        <w:rPr>
          <w:rFonts w:ascii="arial" w:eastAsia="arial" w:hAnsi="arial" w:cs="arial"/>
          <w:i/>
          <w:color w:val="000000"/>
          <w:sz w:val="20"/>
          <w:lang w:val="en-US" w:eastAsia="en-US" w:bidi="ar-SA"/>
        </w:rPr>
        <w:t>Willock</w:t>
      </w:r>
      <w:r>
        <w:rPr>
          <w:rFonts w:ascii="arial" w:eastAsia="arial" w:hAnsi="arial" w:cs="arial"/>
          <w:color w:val="000000"/>
          <w:sz w:val="20"/>
          <w:lang w:val="en-US" w:eastAsia="en-US" w:bidi="ar-SA"/>
        </w:rPr>
        <w:t xml:space="preserve"> concerned the offence of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 offence which is higher on the continuum of negligent driving, this observation is equally apt with respect to the offence of dangerous operation of a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the court unanimously held a momentary lapse of attention without anything more cannot establish criminal responsibility sustaining a conviction for dangerous driving if the accused's driving does not amount to a marked departure from the standard of care of a reasonable person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Having acknowledged not all instances of bad driving with tragic consequences will attract criminal liability, the court in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xml:space="preserve"> noted that it is not open to an accused to say they gave no thought to their manner of driving so as to avoid criminal liability, because the fault lies in the failure to bring their dangerous activity within the expected degree of thought and attention that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defence says although the accused's driving, while objectively dangerous, was as a result of a momentary lapse for which no criminal liability attaches.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the court said again at para. 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 In making the objective assessment, the trier of fact should be satisfied on the basis of all the evidence, including evidence about the accused's actual state of mind, if any, that the conduct amounted to a marked departure from the standard of care that a reasonable person would observe in the accused's circumstances.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Because the accused testified, I am obliged to consider her testimony in light of </w:t>
      </w:r>
      <w:r>
        <w:rPr>
          <w:rFonts w:ascii="arial" w:eastAsia="arial" w:hAnsi="arial" w:cs="arial"/>
          <w:i/>
          <w:color w:val="000000"/>
          <w:sz w:val="20"/>
          <w:lang w:val="en-US" w:eastAsia="en-US" w:bidi="ar-SA"/>
        </w:rPr>
        <w:t>R. v. W.(D.)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1 S.C.R. 742</w:t>
      </w:r>
      <w:r>
        <w:rPr>
          <w:rFonts w:ascii="arial" w:eastAsia="arial" w:hAnsi="arial" w:cs="arial"/>
          <w:color w:val="000000"/>
          <w:sz w:val="20"/>
          <w:lang w:val="en-US" w:eastAsia="en-US" w:bidi="ar-SA"/>
        </w:rPr>
        <w:t>. Such instructs me that if I believe the accused, I must acquit. Even if I do not believe her testimony, if it raises a reasonable doubt, I must acquit. Finally, even if I am left in no doubt by the evidence of the accused, the Crown must still establish the elements of the offence beyond a reasonable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my view, the same analysis must be formed with respect to each pathway to conviction:</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accused have the subjective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such as to sustain a conviction; or</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light of all of the relevant evidence, would a reasonable person have foreseen the risk and taken steps to avoid it if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If so, the second question in this pathway is whether the accused's failure to foresee the risk and take steps to avoid it, if possible, was a marked departure from the standard of care expected of a reasonable person in the accused's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Specifically, would a reasonable person in the accused's circumstances have appreciated the significance of slowing traffic before and the sudden appearance of a new lane of travel on the right, observed the warning lights 125 metres in advance of the Intersection, and recognized the significance of the road signs directing traffic in her lane of travel to turn right on Harris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 agree that only infrequently there will be evidence sufficient to establish the degree of subjective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That is, that the accused intended to drive in a manner that was dangerous. Such will usually emerge after observations of the accused's driving pattern over a considerable period of time involving a number of dangerous actions. Such, in my view, was not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There were no prolonged observations of the accused's driving over an extended period of time so as to conclude her driving in the timeframe before the Accident was a deliberate choice to try and beat the red light at the Intersection or time her entry into it so as to coincide with the light changing green. Most of the witnesses saw the accused fleetingly in a compressed timeframe. Mr. Buss saw her for the longest period from the time she passed him some 100 yards or so approximately before the Intersection and then her entry into it and the events which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accused was moments away from her destination, belying to some extent, at least, the need to race the red light which the Crown theorizes was the basis for subjective intent. The accused denied that she was trying to beat the red light. I will momentarily deal with the weight I afford her testimony, but in all of the circumstances, being the absence of a prolonged period of observation and the proximity of the accused to her intended destination, I maintain a reasonable doubt that the accused deliberately drove in the fashion described by the witnesses resulting in the tragic death of two young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That finding does not end the inquiry. I must still consider the accused's testimony and indeed the rest of the evidence as it relates to the modified objective test enunciated in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xml:space="preserve">, and then apply </w:t>
      </w:r>
      <w:r>
        <w:rPr>
          <w:rFonts w:ascii="arial" w:eastAsia="arial" w:hAnsi="arial" w:cs="arial"/>
          <w:i/>
          <w:color w:val="000000"/>
          <w:sz w:val="20"/>
          <w:lang w:val="en-US" w:eastAsia="en-US" w:bidi="ar-SA"/>
        </w:rPr>
        <w:t>R. v. W.(D.)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Crown argues that I should view the evidence of the accused with skepticism and ultimately reject it based on what the Crown argues are internal inconsistencies, conflicts between her evidence in this trial and the one which preceded it, and a general lack of cohesion and sensibilities to some of her assertions.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accused's explanation for the inattentiveness leading to the fatal collision is that she was distraught by events at work which culminated with her smelling or seeing vomit on her shirt, resulting in an emotional outburst which resulted in a "momentary lapse of attention" giving rise to the driving described by the witnesses, including the accused, and resulting in the collision causing the deaths of Mr. De Oliveira and Ms. Dyer.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As against this, the Crown notes that the accused changed at work in a lit environment without seeing or smelling vomit on her shirt. She neither noticed nor smelled vomit during the duration of her work shift as it became less busy towards the end of the shift. No other employee observed or mentioned anything to her. She was able to drive from Eagleridge Hospital to a point at or near the Intersection in the confined space of her automobile without smelling the odour of vomit. The interior of her vehicle was unlit save for the dashboard.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Crown argues that it is inconceivable that such became apparent to her only as she approached the Intersection with a red light. That same smell was not noticed by Constable Condon, who was in close quarters for the accused for an approximate 20-minute trip to the hospital in the back of the ambulance. He was alive to the possibility of impairment and/or alcohol use as a cause of the collision. He made no mention in his evidence of any smells.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accused testified that despite the dark interior of her vehicle, she was actually able to see something on her shirt that she had not noticed previously in the well-lit emergency 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Crown argues that the accused's evidence regarding her shift time and leaving early on the night of the Accident ought to be rejected because of her prior inconsistent statements as to the timing of her shift during her testimony at her first trial. None of her shifts, on the evidence before me, commenced at 3:15 p.m. or ended at 11:15 p.m. The evidence before me was that the shift started at 3:30 p.m. and ended at 11:30 p.m. She raised her early departure from the hospital only after the Crown tendered evidence of the shift times in the second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Crown posits that the accused offered the earlier time for the completion of her shift without any further detail at the earlier trial so as to expand the timeframe between the end of her shift and the Accident at 11:44 p.m. At her earlier trial, the accused testified she spent the whole of her shift at the hospital, the complete shift. The Crown notes the compressed timeframe in which I am asked to conclude the Accident occurred leads to an inevitable conclusion that the accused was indeed hurrying as she, prior to her departure, would have had to collect her belongings from her locker in the staff room, walk to her car parked in the roadway outside the hospital, text message her boyfriend that she was on her way, and then driving to the Accident scene some 12.6 kilometres from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Denise Dejuan, the charge nurse on shift the evening of October 19, 2010, in the emergency ward, was supervising the accused on the night in question. She testified that as a registered nurse, she was not usually out of the ward until 20 minutes after her shift, and that a charge nurse would be aware of what was going on in the department. She described the emergency department as one of the busiest, and when asked about nurses leaving earlier than the end of their shift, she answered she had never heard of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Crown suggests the accused tailored her evidence as to the department slowing down around 11:00 p.m., once aware that evidence for her shift times would be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her earlier trial, the accused testified that her shift on October 19, 2010, was chaotic and that everyone was busy and that the department was understaffed. Those remarks, according to the Crown, make it inconsistent with her leaving earlier than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Crown also challenges the veracity of the accused's testimony as to the normal route she took when driving. Such, argues the Crown, was to deflect attention from her familiarity with an Intersection which she regularly travelled through many times in the preceding months. Her unfamiliarity with the Intersection, given the number of times she had travelled through it from whatever direction, whether as a driver or a passenger, is another indication, argues the Crown, that she should not be believed as to the events leading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Finally, the Crown notes that in her testimony before me, the accused did not testify she was blinded by her tears or that her crying interfered with her ability to see or think. The Crown notes she kept her car travelling straight along the right-hand-turn-only lane, because she thought it was a through-lane. Further, the fact that she teared up in close proximity to the Intersection offers up no explanation for her failure to see the traffic advisory light warning of the impending red light which was visible to Mr. Buss, as the accused was behind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Although not articulated by Crown, I observe that the explanation offered at trial for the inattentiveness flies in the face of that recorded by Dr. Mistlberger, who noted in answer to Question 9 of what he described as the Pittsburgh Sleep Quality Index, "enthusiasm was fine", "being quiet and alone in the car lost composure", "was thinking about her brother's friend who had died", "the first time she ever felt loss of control, she didn't realize how powerful her emotions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Mistlberger testified that he recorded those comments, which he attributed to the accused, when he met with her in September of 2016. Those remarks never found their way into his report, but only came to light upon production of his file. The remarks in the context of the investigation by Dr. Mistlberger lend themselves to no other explanation but that they were provided in the context of the investigation he was making as to her emotional state at the time of or immediately prior to the Accident. The accused admitted that she made the statement, although she attempted to put them into a different context than a response to the circumstances leading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totality of the Crown's observations about the accused's testimony cause me to disbelieve the accused as it relates to the events leading up to her entry into the Intersection against the red light. As a result of that conclusion, there is nothing in the circumstances of the accused immediately prior to the Accident which resulted in her entry into the Intersection which lead me to believe, or leave me a reasonable doubt, that she was unable to identify the risks I have earlier referenced, specifically the fact that traffic was slowing in front of her, the lights warning of the impending traffic signal change at the Intersection, and the appearance to her right of a free lane which had just come into being some 300 metres before the Intersection. These, coupled with the signage advising that the accused's lane of travel was a restricted right-hand-turn-only lane, the pedestrian island blocking the right-hand-only lane of travel, and the red light prohibiting her entry into the Intersection were all risks which she ought to have identified and responded to. Regrettably, she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an assessment of the care exhibited by the accused and whether it constitutes a marked departure, I am obliged to measure those actions in their totality and not as isolated events. The accused acknowledged leaving lanes of travel with which she had familiarity so as to enter the eastbound right-hand-turn-only lane. She said she thought it was a through-lane, but that has to be seen in light of the evidence that the lane did not start until approximately 300 metres before the Intersection. She entered the right-hand-turn lane only because cars ahead of her were blocking the passage in the three through lanes. Such, I find, was a conscious decision made well in advance of any emotional outburst which she testified caused her to lose focus. Those vehicles ahead of her had either stopped or were in the process of stopping, and such was apparent from their brake lights and positioning relative to the accused's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Buss testified, and I accept, that he slowed because of the warning lights advising of the upcoming traffic control device. The accused passed by him at a high rate of speed after the lights had begun flashing. The only conclusion to be drawn from that is that he began to slow in advance of the advisory sign's location, 125 metres to the west of the Intersection. The accused was behind him as he commenced slowing.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Nothing in the accused's testimony, even if believed, explains why she failed to see the overhead flashing lights located 125 metres in advance of the traffic control, or react to the slowing vehicles in front of her. Accepting that 80 km/h, although the speed limit was not the usual rate of travel for vehicles on Lougheed Highway, I find the accused's speed, which was no less than 100 km/h as opined as the lowest speed by Mr. West, was excessive for the conditions prevailing, those being the slowing or stopped traffic ahead of her, the approaching controlled intersection, the clearly visible signage cautioning eastbound drivers of the restricted use of the right hand lane and her admitted unfamiliarity with the layout of the approaching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conclude that the light for eastbound traffic was yellow then red for the accused's vehicle as she approached the Intersection and the traffic island blocking the right-hand lane turn only was visible for a considerable distance from the Intersection. The actions of the accused were not a momentary lapse which took place over a span of five or six seconds or more, depending on the time she entered into the right-hand-turn-only lane. I conclude such from the evidence of Constable McGhee who testified that the time required to travel the whole of the 300 metres of the right-hand lane at a speed of 100 kilometres is 10.8 seconds. Given the evidence of Mr. Buss, I conclude the accused entered the right-hand-turn-only lane either before or as he began to slow in front of her, which was well beyond 125 metres west of the Intersection where the traffic advisory lights were positioned.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Prior to her early entry into the Intersection against the red light, the accused passed by some 50 metres or so before the Intersection two signs, one affixed to a pole to her right, the other overhead, advising her the lane of travel was for right-turning vehicles only. She failed to notice the pedestrian island jutting into the lane of travel at any point prior to her actual entry into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Most importantly, she failed to see the traffic control device which she knew, from her previous use of the highway, governed the flow of east and west traffic on Lougheed. Her evidence as to when she became overwhelmed by the events of the earlier shift at the emergency ward, again I say, even if believed, does not explain the change of lanes, does not explain her passing by cars that were slowing, or her lack of appreciation for the events that were taking place around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isolation, one of these actions might properly be considered a momentary lapse. In combination, they constitute the requisite marked departure from the standard of care that a reasonable person would have observed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As such, I am satisfied that the Crown has discharged its burden of proving the accused's guilt beyond a reasonable doubt in respect of both counts and accordingly convict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J.S. HARVEY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2" style="position:absolute;z-index:2518056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86"/>
          <w:headerReference w:type="default" r:id="rId887"/>
          <w:footerReference w:type="even" r:id="rId888"/>
          <w:footerReference w:type="default" r:id="rId889"/>
          <w:headerReference w:type="first" r:id="rId890"/>
          <w:footerReference w:type="first" r:id="rId89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92" w:history="1">
        <w:r>
          <w:rPr>
            <w:rFonts w:ascii="arial" w:eastAsia="arial" w:hAnsi="arial" w:cs="arial"/>
            <w:b/>
            <w:bCs/>
            <w:i/>
            <w:color w:val="0077CC"/>
            <w:kern w:val="32"/>
            <w:sz w:val="28"/>
            <w:szCs w:val="32"/>
            <w:u w:val="single"/>
            <w:shd w:val="clear" w:color="auto" w:fill="FFFFFF"/>
            <w:lang w:val="en-US" w:eastAsia="en-US" w:bidi="ar-SA"/>
          </w:rPr>
          <w:t>Ryan v. Drybrough, [2005] B.C.J. No. 3261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V.R. Curtis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22,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November 22,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S048067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3261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1946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Dan Nathian Ryan, Plaintiff, and Paul Drybrough, Mundie's Towing, Storage &amp; Service (1976) Ltd., J. &amp; M. Motors Ltd., J. &amp; M. Motors Ltd. c.o.b.a. J. &amp; M. Motors Ltd. MCLIC Service 1976 Ltd., and Insurance Corporation of British Columbia,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 paras.)</w:t>
      </w:r>
    </w:p>
    <w:p>
      <w:pPr>
        <w:jc w:val="both"/>
        <w:rPr>
          <w:rFonts w:ascii="arial" w:eastAsia="arial" w:hAnsi="arial" w:cs="arial"/>
          <w:sz w:val="20"/>
          <w:lang w:val="en-US" w:eastAsia="en-US" w:bidi="ar-SA"/>
        </w:rPr>
      </w:pPr>
      <w:bookmarkStart w:id="173" w:name="Counsel_44"/>
      <w:bookmarkEnd w:id="17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3"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 Pawliuk.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all Defendants and Third Party Except the Defendant, P. Drybrough: A.C. 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Paul Drybrough: Appeared on his own behalf.</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4" w:name="Judgment_44"/>
      <w:bookmarkEnd w:id="174"/>
      <w:r>
        <w:pict>
          <v:line id="_x0000_s1184" style="position:absolute;z-index:2517585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5" w:name="V.R. CURTIS J. (orally)"/>
            <w:bookmarkEnd w:id="175"/>
            <w:r>
              <w:rPr>
                <w:rFonts w:ascii="arial" w:eastAsia="arial" w:hAnsi="arial" w:cs="arial"/>
                <w:b/>
                <w:color w:val="000000"/>
                <w:sz w:val="30"/>
                <w:lang w:val="en-US" w:eastAsia="en-US" w:bidi="ar-SA"/>
              </w:rPr>
              <w:t>V.R. CURTIS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Dan Ryan, was riding as a passenger in a tow truck driven by the defendant, Paul Drybrough, when it drove into a rock cliff on the Squamish Highway near Loggers Creek in the early morning hours of September 6th of 1996. Mr. Ryan commenced this action claiming personal injuries, but died July 2nd, 2004, before liability was determined or quantum of the damages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Counsel has agreed that as a result of the plaintiff's death, the quantum of the claim is $147, which ICBC has paid without admission of liability. However, as the claim for costs is substantial, the case has proceeded to trial in order to resolve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issue at trial is whether or not the collision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and, if so, how it ought to be attributed. This is of some significance as although ICBC is defending both positions, it takes the position that Mr. Drybrough is in breach of his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Drybrough, who is currently serving a jail term for manslaughter, was present as a witness at the trial, but advised he had no interest in participating in the trial itself, and left immediately after giving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Drybrough has given evidence that the collision occurred about 2:30 in the morning, as he was driving from Vancouver to Whistler in a rainstorm. He said he was approaching a sharp curve to his left near Loggers Creek, probably going a little too fast, when an unidentified vehicle came around the corner in his lane. He said he cranked the wheel to his left to avoid a head-on collision, tapped the brakes, and went off the road to his left, colliding with a rock cliff. He testified the other vehicle, which looked like a grey late model BMW, passed his vehicle on the right side, and continued on without stopping. In Mr. Drybrough's opinion, perhaps the other vehicle did not even know there had been an accident as the vehicles were past each other before the collision occurred. It was not possible, according to Mr. Drybrough, to safely go to his right, because he said there was a steep drop-off on the right-hand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Ryan's evidence as to how the collision occurred, which is contained in his affidavit, is as follows [as read]:</w:t>
      </w:r>
      <w:r>
        <w:rPr>
          <w:rFonts w:ascii="arial" w:eastAsia="arial" w:hAnsi="arial" w:cs="arial"/>
          <w:sz w:val="20"/>
          <w:lang w:val="en-US" w:eastAsia="en-US" w:bidi="ar-SA"/>
        </w:rPr>
        <w:cr/>
      </w:r>
    </w:p>
    <w:p>
      <w:pPr>
        <w:numPr>
          <w:numId w:val="2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happened on the way back to Vancouver near Loggers Creek on the Squamish Highway in the Province of British Columbia.</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wet and dark outside.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sitting with my head down. I was wearing a baseball cap. I felt the truck shift, so I looked up and saw headlights. Then the truck went into the side of the mountain. It all happened very fast.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tow truck I was in hit the side of the mountain twice.</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My head hit the windshield, and then it went back and hit the back window. I also hit my right shoulder, right side, and face against the passenger door. I remember my right jaw region was swollen and I had a cut on the right side of my neck. Paul, who wasn't wearing his seatbelt, also struck me with his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tow truck sustained major damage, including a bent and cracked frame. Both Mr. Drybrough and Mr. Ryan sustained injuries. Mr. Drybrough testified he tried to call for help on his tow truck radio, without success, because the truck was smashed up against a rock cliff, which prevented reception. He also said that the truck was leaking propane fuel, and was a serious fire hazard, as a result of which, Mr. Drybrough and his passenger accepted a ride from another vehicle. They were dropped off at a phone booth, where they called the dispatcher for the tow truck company, who sent out a taxi, which took them to the Burnaby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Constable Suk (phonetic) inspected the scene of the accident at 3:20 in the morning, about an hour after it occurred. He telephoned Mr. Drybrough, who told him that he had turned left to avoid an oncoming vehicle in his lane, and collided with the rock wall. Constable Suk's investigation did not reveal any evidence which contradicted Mr. Drybrough's version, and no charges were laid against Mr. Drybrough by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accept Mr. Drybrough's evidence that the accident occurred as he described it. He was forced to to turn suddenly to his left to avoid an imminent collision with a car coming around the corner in his lane. It was 2:30 in the morning on a dark stormy night at a particularly dangerous corner of a dangerous highway. I find Mr. Drybrough took reasonable evasive action, which resulted in him driving into the rock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 am satisfied that the driver of the unknown vehicle was, on the balance of probabilities, negligent in driving around the corner in the wrong lane. Perhaps because of inadvertent speed or impairment, but the exact reason is not revealed by the evidence. There is no explanation for the vehicle being in the wrong lane which is inconsistent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arises from the evidence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loss of control of Mr. Drybrough's vehicle was not caused, in my opinion, by Mr. Drybrough's speed or the tendency of his truck to pull to the left. The cause was the need to immediately take evasive action to avoid a head-on collision. Therefore, I attribute liability 100 percent to the unknown driver of the unknown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next issue is that ICBC has pleaded s. 24(5)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That section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 action against the corporation as nominal defendant, a judgment against the corporation must not be given unless the court is satisfied that</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reasonable efforts have been made by the parties to ascertain the identity of the unknown owner and driver or unknown driver, as the case may be,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those persons or that person, as the case may be, is not ascertainable.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No effort was taken by Mr. Drybrough or Mr. Ryan to ascertain the identity of the car or driver, other than Mr. Drybrough reporting the circumstances of the accident to Constable Suk, who was investigating. In the circumstances of this case, I am satisfied that was the only reasonable thing to be done. The other vehicle had not stopped, and they had no licence plate for it, or any description of the driver. Advertising in the paper, where there was no other witnesses involved, would simply have been an exercise in futility. Therefore, I find the Insurance Corporation of British Columbia 100 percent liable as the nominal defendant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unknown and unascertainable driver and owner of the vehicle which caused this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Now, next.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WARD: Just one point by way of correction, My Lord, and early in your Reasons, I think inadvertently, you said that the accident happened about 2:30 in the morning while Mr. Drybrough was driving from Vancouver to Whistler.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COURT: I mean from Whistler to Vancouver.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WARD: Yes. So I point out that, just because that will make it consistent with what followed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COURT: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WARD: -- which in fact was the case. And then the second matter I wish to raise now is, in my submission, it would be appropriate, given the reasons on the liability issue, to also grant judgment to the plaintiff, which is now the estate, for the sum of $147, which is the amount set out in Mr. Drybrough's affidavit as his special damages incurred as a result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COURT: Right. That is the quantum that was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WARD: That was the quantum that was agreed,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COURT: Ms. Pawliuk, you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PAWLIUK: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COURT: All right. On the basis of a finding of liability, I grant judgment to the estate of the plaintiff for $147, which is the agreed quantum and is his special damages. All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V.R. CURTIS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5" style="position:absolute;z-index:251806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3"/>
          <w:headerReference w:type="default" r:id="rId894"/>
          <w:footerReference w:type="even" r:id="rId895"/>
          <w:footerReference w:type="default" r:id="rId896"/>
          <w:headerReference w:type="first" r:id="rId897"/>
          <w:footerReference w:type="first" r:id="rId89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99" w:history="1">
        <w:r>
          <w:rPr>
            <w:rFonts w:ascii="arial" w:eastAsia="arial" w:hAnsi="arial" w:cs="arial"/>
            <w:b/>
            <w:bCs/>
            <w:i/>
            <w:color w:val="0077CC"/>
            <w:kern w:val="32"/>
            <w:sz w:val="28"/>
            <w:szCs w:val="32"/>
            <w:u w:val="single"/>
            <w:shd w:val="clear" w:color="auto" w:fill="FFFFFF"/>
            <w:lang w:val="en-US" w:eastAsia="en-US" w:bidi="ar-SA"/>
          </w:rPr>
          <w:t>Saccone v. Fandrakis, [2002] I.L.R. para. M-1484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Insurance Law Reporter Cases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Catliff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January 15, 2002.</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2002</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[2002] I.L.R. para. M-1484</w:t>
      </w:r>
    </w:p>
    <w:p>
      <w:pPr>
        <w:spacing w:before="120" w:line="260" w:lineRule="atLeast"/>
        <w:rPr>
          <w:lang w:val="en-US" w:eastAsia="en-US" w:bidi="ar-SA"/>
        </w:rPr>
      </w:pPr>
      <w:r>
        <w:rPr>
          <w:rFonts w:ascii="arial" w:eastAsia="arial" w:hAnsi="arial" w:cs="arial"/>
          <w:color w:val="000000"/>
          <w:sz w:val="20"/>
          <w:lang w:val="en-US" w:eastAsia="en-US" w:bidi="ar-SA"/>
        </w:rPr>
        <w:t>Saccone v. Fandrakis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86" style="position:absolute;z-index:25170841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76" w:name="Keywords_8"/>
      <w:bookmarkEnd w:id="176"/>
      <w:r>
        <w:rPr>
          <w:rFonts w:ascii="arial" w:eastAsia="arial" w:hAnsi="arial" w:cs="arial"/>
          <w:b/>
          <w:color w:val="000000"/>
          <w:sz w:val="20"/>
          <w:lang w:val="en-US" w:eastAsia="en-US" w:bidi="ar-SA"/>
        </w:rPr>
        <w:t>Rescuer — Proximate cause — Plaintiff's parked car hit by another car — Plaintiff injured when running to stop hit and run driver — Tortfeasor not owing duty of care to plaintiff as rescuer.</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77" w:name="Case Summary_8"/>
            <w:bookmarkEnd w:id="177"/>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 claim for compensation as the result of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saw the defendant hit his parked vehicle. He thought the defendant was about to drive away from the accident scene, and ran across a parking lot to try to stop him. He jumped to the pavement without noticing the difference in height between the two surfaces, and injured his knee. He argued that the defendant was liable for this foreseeable consequence of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hitting the car. </w:t>
            </w:r>
            <w:r>
              <w:rPr>
                <w:lang w:val="en-US" w:eastAsia="en-US" w:bidi="ar-SA"/>
              </w:rPr>
              <w:cr/>
            </w:r>
          </w:p>
          <w:p>
            <w:pPr>
              <w:spacing w:before="120" w:line="260" w:lineRule="atLeast"/>
              <w:ind w:left="240"/>
              <w:jc w:val="both"/>
              <w:rPr>
                <w:lang w:val="en-US" w:eastAsia="en-US" w:bidi="ar-SA"/>
              </w:rPr>
            </w:pPr>
            <w:bookmarkStart w:id="178" w:name="Holdings of Court_7"/>
            <w:bookmarkEnd w:id="178"/>
            <w:r>
              <w:rPr>
                <w:rFonts w:ascii="arial" w:eastAsia="arial" w:hAnsi="arial" w:cs="arial"/>
                <w:color w:val="000000"/>
                <w:sz w:val="20"/>
                <w:lang w:val="en-US" w:eastAsia="en-US" w:bidi="ar-SA"/>
              </w:rPr>
              <w:t>HELD: The plaintiff's action was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plaintiff was rushing to the scene not to prevent danger to persons or property, but to protect his economic interest in being able to identify a hit and run driver. The Court found that in these circumstances, the tortfeasor did not owe a duty of care to the plaintiff. To acknowledge a duty of care in order to give a remedy to persons seeking to protect their economic interests when there is no risk of further harm to persons or property, goes beyond the rationale of rescue cases. Here there was no harm that required a physical response, and the granting of a remedy to the plaintiff would be an unwarranted extension of the law.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Court also considered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causally linked to the plaintiff's decision to run to his car. It was not the collision that caused the plaintiff's reaction, but the fear that the defendant would drive off and evade liability. </w:t>
            </w:r>
            <w:r>
              <w:rPr>
                <w:lang w:val="en-US" w:eastAsia="en-US" w:bidi="ar-SA"/>
              </w:rPr>
              <w:cr/>
            </w:r>
          </w:p>
          <w:p>
            <w:pPr>
              <w:rPr>
                <w:lang w:val="en-US" w:eastAsia="en-US" w:bidi="ar-SA"/>
              </w:rPr>
            </w:pPr>
          </w:p>
        </w:tc>
      </w:tr>
    </w:tbl>
    <w:p>
      <w:pPr>
        <w:rPr>
          <w:lang w:val="en-US" w:eastAsia="en-US" w:bidi="ar-SA"/>
        </w:rPr>
      </w:pPr>
    </w:p>
    <w:p>
      <w:pPr>
        <w:ind w:left="200"/>
        <w:rPr>
          <w:lang w:val="en-US" w:eastAsia="en-US" w:bidi="ar-SA"/>
        </w:rPr>
      </w:pPr>
      <w:r>
        <w:rPr>
          <w:lang w:val="en-US" w:eastAsia="en-US" w:bidi="ar-SA"/>
        </w:rPr>
        <w:br/>
      </w:r>
      <w:r>
        <w:pict>
          <v:line id="_x0000_s1187" style="position:absolute;z-index:2517596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 v. Turley, [2012] B.C.J. No. 540</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Scott v. Collins, [2007] B.C.J. No. 1182</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SeaQuest (1993) Adventurecraft Inc. v. Gray Line of Victoria Ltd., [2008] B.C.J. No. 1714</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Sorenson v. Ziegler, [2002] B.C.J. No. 1713</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Suomalainen v. Jernigan, [2004] B.C.J. No. 698</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Super-Save Enterprises Ltd. v. 249513 B.C. Ltd. (c.o.b. Mike's Auto Towing), [2003] B.C.J. No. 1399</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Watson v. Bank of America Corp., [2014] B.C.J. No. 534</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Watson v. Strong, [2018] B.C.J. No. 776</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696591 B.C. Ltd. v. Madden, [2012] B.C.J. No. 2679</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Aiken (Guardian ad Litem of) v. Van Dyk, [2002] I.L.R. para. M-1426</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Araya v. Nevsun Resources Inc., [2020] B.C.J. No. 333</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Arellano v. Wong, [2013] B.C.J. No. 2526</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Atkinson (Guardian ad litem of) v. Gypsea Rose (The), [2016] B.C.J. No. 20</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Bakaluk v. Western Star Trucks Inc., [2004] B.C.J. No. 658</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Beauchesne v. W.J. Stelmaschuk and Associates Ltd., [2015] B.C.J. No. 1134</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Blue Mountain Log Sales Ltd. v. Lloyd's Underwriters, [2018] I.L.R. para. I-6010</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Boake v. Blair (c.o.b. Braylin Contracting), [2019] B.C.J. No. 947</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 v. Insurance Corporation of British Columbia, [2000] I.L.R. para. M-1263</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Chau v. Pereira, [2019] B.C.J. No. 922</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CitiCapital Commercial Leasing Corp. v. Lillie Lake Ranch Ltd., [2004] B.C.J. No. 412</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Cook v. Kang, [2020] B.C.J. No. 552</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Cunningham v. Slubowski, [2003] B.C.J. No. 3051</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Dorsey v. Bhindi, [2016] B.C.J. No. 575</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Felty v. Ernst &amp; Young LLP, [2013] B.C.J. No. 2512</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Fong v. British Columbia (Minister of Justice), [2019] B.C.J. No. 1098</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Gregg v. Ralen, [2018] B.C.J. No. 187</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Grimshaw v. Progroup Realty Ltd. (c.o.b. Re/Max Progroup Realty), [2004] B.C.J. No. 3064</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Hendriks v. T. Dale Roberts Notary Corp., [2018] B.C.J. No. 3137</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Hobbs v. Robertson, [2004] B.C.J. No. 2402</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Hundley v. Garnier, [2011] B.C.J. No. 596</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Josephson v. Merritt (City), [2003] I.L.R. para. G-1696</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Kirkpatrick v. Parkinson Estate (Public Trustee of), [2004] B.C.J. No. 157</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L.P.E.Y. Holdings Ltd. v. Roshinsky, [2013] B.C.J. No. 2544</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Lucero v. ID Biomedical Corp., [2008] B.C.J. No. 2681</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Magdalena v. Vancouver Coastal Health Authority (c.o.b. Vancouver Hospital and Health Sciences Centre, U.B.C. Site), [2014] B.C.J. No. 3492</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Malhotra v. Waterfront Homes Ltd., [2015] B.C.J. No. 1899</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Miller v. Resurreccion, [2019] B.C.J. No. 1900</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Nazim v. Grewal, [2019] B.C.J. No. 2375</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Netlink Computer Inc. (Re), [2018] B.C.J. No. 6993</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Neumann v. Canada (Attorney General), [2009] B.C.J. No. 456</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Number 216 Holdings Ltd. v. ING Insurance Co. of Canada, [2011] B.C.J. No. 2788</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Omer v. Badshah, [2019] B.C.J. No. 2008</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 v. Lau, [2020] B.C.J. No. 319</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Perilli v. Marlow, [2018] B.C.J. No. 558</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R.L. v. Southam Inc. (c.o.b. The Vancouver Sun), [2002] B.C.J. No. 2010</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Robson v. Spencer, [2006] B.C.J. No. 1872</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 v. Hecimovic, [2013] B.C.J. No. 2243</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 v. Hecimovic, [2017] B.C.J. No. 2857</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Ryan v. Drybrough, [2005] B.C.J. No. 3261</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Saccone v. Fandrakis, [2002] I.L.R. para. M-1484</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f)"/>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d)"/>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b)"/>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c)"/>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d)"/>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lowerLetter"/>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b)"/>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c)"/>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lowerLetter"/>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b)"/>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c)"/>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d)"/>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e)"/>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f)"/>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g)"/>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h)"/>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4.1.5."/>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4.3.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4.3.4."/>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1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2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2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2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221(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2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2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2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2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2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28."/>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7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2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1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1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6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6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7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Text w:val="7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5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Text w:val="5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5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6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1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decimal"/>
      <w:lvlText w:val="6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decimal"/>
      <w:lvlText w:val="6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decimal"/>
      <w:lvlText w:val="6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decimal"/>
      <w:lvlText w:val="6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
      <w:numFmt w:val="decimal"/>
      <w:lvlText w:val="6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
      <w:numFmt w:val="decimal"/>
      <w:lvlText w:val="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decimal"/>
      <w:lvlText w:val="1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
      <w:numFmt w:val="decimal"/>
      <w:lvlText w:val="1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decimal"/>
      <w:lvlText w:val="1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
      <w:numFmt w:val="decimal"/>
      <w:lvlText w:val="5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
      <w:numFmt w:val="decimal"/>
      <w:lvlText w:val="7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1"/>
      <w:numFmt w:val="decimal"/>
      <w:lvlText w:val="8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
      <w:numFmt w:val="decimal"/>
      <w:lvlText w:val="39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decimal"/>
      <w:lvlText w:val="39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decimal"/>
      <w:lvlText w:val="39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1"/>
      <w:numFmt w:val="decimal"/>
      <w:lvlText w:val="40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1"/>
      <w:numFmt w:val="decimal"/>
      <w:lvlText w:val="41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0000081"/>
    <w:multiLevelType w:val="multilevel"/>
    <w:tmpl w:val="00000081"/>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0000082"/>
    <w:multiLevelType w:val="multilevel"/>
    <w:tmpl w:val="00000082"/>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0000083"/>
    <w:multiLevelType w:val="multilevel"/>
    <w:tmpl w:val="00000083"/>
    <w:lvl w:ilvl="0">
      <w:start w:val="1"/>
      <w:numFmt w:val="decimal"/>
      <w:lvlText w:val="1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00000084"/>
    <w:multiLevelType w:val="multilevel"/>
    <w:tmpl w:val="00000084"/>
    <w:lvl w:ilvl="0">
      <w:start w:val="1"/>
      <w:numFmt w:val="decimal"/>
      <w:lvlText w:val="1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00000085"/>
    <w:multiLevelType w:val="multilevel"/>
    <w:tmpl w:val="00000085"/>
    <w:lvl w:ilvl="0">
      <w:start w:val="1"/>
      <w:numFmt w:val="decimal"/>
      <w:lvlText w:val="1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00000086"/>
    <w:multiLevelType w:val="multilevel"/>
    <w:tmpl w:val="00000086"/>
    <w:lvl w:ilvl="0">
      <w:start w:val="1"/>
      <w:numFmt w:val="decimal"/>
      <w:lvlText w:val="1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00000087"/>
    <w:multiLevelType w:val="multilevel"/>
    <w:tmpl w:val="00000087"/>
    <w:lvl w:ilvl="0">
      <w:start w:val="1"/>
      <w:numFmt w:val="decimal"/>
      <w:lvlText w:val="1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00000088"/>
    <w:multiLevelType w:val="multilevel"/>
    <w:tmpl w:val="00000088"/>
    <w:lvl w:ilvl="0">
      <w:start w:val="1"/>
      <w:numFmt w:val="decimal"/>
      <w:lvlText w:val="1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00000089"/>
    <w:multiLevelType w:val="multilevel"/>
    <w:tmpl w:val="00000089"/>
    <w:lvl w:ilvl="0">
      <w:start w:val="1"/>
      <w:numFmt w:val="decimal"/>
      <w:lvlText w:val="18."/>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0000008A"/>
    <w:multiLevelType w:val="multilevel"/>
    <w:tmpl w:val="0000008A"/>
    <w:lvl w:ilvl="0">
      <w:start w:val="1"/>
      <w:numFmt w:val="decimal"/>
      <w:lvlText w:val="1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0000008B"/>
    <w:multiLevelType w:val="multilevel"/>
    <w:tmpl w:val="0000008B"/>
    <w:lvl w:ilvl="0">
      <w:start w:val="1"/>
      <w:numFmt w:val="decimal"/>
      <w:lvlText w:val="2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0000008C"/>
    <w:multiLevelType w:val="multilevel"/>
    <w:tmpl w:val="0000008C"/>
    <w:lvl w:ilvl="0">
      <w:start w:val="1"/>
      <w:numFmt w:val="decimal"/>
      <w:lvlText w:val="2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0000008D"/>
    <w:multiLevelType w:val="multilevel"/>
    <w:tmpl w:val="0000008D"/>
    <w:lvl w:ilvl="0">
      <w:start w:val="1"/>
      <w:numFmt w:val="decimal"/>
      <w:lvlText w:val="2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0000008E"/>
    <w:multiLevelType w:val="multilevel"/>
    <w:tmpl w:val="0000008E"/>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0000008F"/>
    <w:multiLevelType w:val="multilevel"/>
    <w:tmpl w:val="0000008F"/>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00000090"/>
    <w:multiLevelType w:val="multilevel"/>
    <w:tmpl w:val="00000090"/>
    <w:lvl w:ilvl="0">
      <w:start w:val="8"/>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00000091"/>
    <w:multiLevelType w:val="multilevel"/>
    <w:tmpl w:val="00000091"/>
    <w:lvl w:ilvl="0">
      <w:start w:val="1"/>
      <w:numFmt w:val="decimal"/>
      <w:lvlText w:val="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00000092"/>
    <w:multiLevelType w:val="multilevel"/>
    <w:tmpl w:val="00000092"/>
    <w:lvl w:ilvl="0">
      <w:start w:val="10"/>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00000093"/>
    <w:multiLevelType w:val="multilevel"/>
    <w:tmpl w:val="00000093"/>
    <w:lvl w:ilvl="0">
      <w:start w:val="1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00000094"/>
    <w:multiLevelType w:val="multilevel"/>
    <w:tmpl w:val="00000094"/>
    <w:lvl w:ilvl="0">
      <w:start w:val="1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00000095"/>
    <w:multiLevelType w:val="multilevel"/>
    <w:tmpl w:val="00000095"/>
    <w:lvl w:ilvl="0">
      <w:start w:val="5"/>
      <w:numFmt w:val="decimal"/>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00000096"/>
    <w:multiLevelType w:val="multilevel"/>
    <w:tmpl w:val="00000096"/>
    <w:lvl w:ilvl="0">
      <w:start w:val="1"/>
      <w:numFmt w:val="decimal"/>
      <w:lvlText w:val="(5.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00000097"/>
    <w:multiLevelType w:val="multilevel"/>
    <w:tmpl w:val="00000097"/>
    <w:lvl w:ilvl="0">
      <w:start w:val="1"/>
      <w:numFmt w:val="decimal"/>
      <w:lvlText w:val="(5.2)"/>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00000098"/>
    <w:multiLevelType w:val="multilevel"/>
    <w:tmpl w:val="00000098"/>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00000099"/>
    <w:multiLevelType w:val="multilevel"/>
    <w:tmpl w:val="00000099"/>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0000009A"/>
    <w:multiLevelType w:val="multilevel"/>
    <w:tmpl w:val="0000009A"/>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0000009B"/>
    <w:multiLevelType w:val="multilevel"/>
    <w:tmpl w:val="0000009B"/>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0000009C"/>
    <w:multiLevelType w:val="multilevel"/>
    <w:tmpl w:val="0000009C"/>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0000009D"/>
    <w:multiLevelType w:val="multilevel"/>
    <w:tmpl w:val="0000009D"/>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0000009E"/>
    <w:multiLevelType w:val="multilevel"/>
    <w:tmpl w:val="0000009E"/>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0000009F"/>
    <w:multiLevelType w:val="multilevel"/>
    <w:tmpl w:val="0000009F"/>
    <w:lvl w:ilvl="0">
      <w:start w:val="8"/>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000000A0"/>
    <w:multiLevelType w:val="multilevel"/>
    <w:tmpl w:val="000000A0"/>
    <w:lvl w:ilvl="0">
      <w:start w:val="1"/>
      <w:numFmt w:val="decimal"/>
      <w:lvlText w:val="(5.3)"/>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000000A1"/>
    <w:multiLevelType w:val="multilevel"/>
    <w:tmpl w:val="000000A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000000A2"/>
    <w:multiLevelType w:val="multilevel"/>
    <w:tmpl w:val="000000A2"/>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000000A3"/>
    <w:multiLevelType w:val="multilevel"/>
    <w:tmpl w:val="000000A3"/>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000000A4"/>
    <w:multiLevelType w:val="multilevel"/>
    <w:tmpl w:val="000000A4"/>
    <w:lvl w:ilvl="0">
      <w:start w:val="1"/>
      <w:numFmt w:val="decimal"/>
      <w:lvlText w:val="(5.4)"/>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000000A5"/>
    <w:multiLevelType w:val="multilevel"/>
    <w:tmpl w:val="000000A5"/>
    <w:lvl w:ilvl="0">
      <w:start w:val="1"/>
      <w:numFmt w:val="decimal"/>
      <w:lvlText w:val="(5.5)"/>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000000A6"/>
    <w:multiLevelType w:val="multilevel"/>
    <w:tmpl w:val="000000A6"/>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000000A7"/>
    <w:multiLevelType w:val="multilevel"/>
    <w:tmpl w:val="000000A7"/>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000000A8"/>
    <w:multiLevelType w:val="multilevel"/>
    <w:tmpl w:val="000000A8"/>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000000A9"/>
    <w:multiLevelType w:val="multilevel"/>
    <w:tmpl w:val="000000A9"/>
    <w:lvl w:ilvl="0">
      <w:start w:val="1"/>
      <w:numFmt w:val="decimal"/>
      <w:lvlText w:val="(5.6)"/>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000000AA"/>
    <w:multiLevelType w:val="multilevel"/>
    <w:tmpl w:val="000000AA"/>
    <w:lvl w:ilvl="0">
      <w:start w:val="6"/>
      <w:numFmt w:val="decimal"/>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000000AB"/>
    <w:multiLevelType w:val="multilevel"/>
    <w:tmpl w:val="000000AB"/>
    <w:lvl w:ilvl="0">
      <w:start w:val="7"/>
      <w:numFmt w:val="decimal"/>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08D9B3FC"/>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0ED1871A"/>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nsid w:val="10A61807"/>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4">
    <w:nsid w:val="12074375"/>
    <w:multiLevelType w:val="multilevel"/>
    <w:tmpl w:val="00000001"/>
    <w:lvl w:ilvl="0">
      <w:start w:val="1"/>
      <w:numFmt w:val="decimal"/>
      <w:lvlText w:val="(13)"/>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5">
    <w:nsid w:val="129CC596"/>
    <w:multiLevelType w:val="multilevel"/>
    <w:tmpl w:val="00000001"/>
    <w:lvl w:ilvl="0">
      <w:start w:val="1"/>
      <w:numFmt w:val="decimal"/>
      <w:lvlText w:val="25.(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nsid w:val="162D1407"/>
    <w:multiLevelType w:val="multilevel"/>
    <w:tmpl w:val="00000001"/>
    <w:lvl w:ilvl="0">
      <w:start w:val="1"/>
      <w:numFmt w:val="decimal"/>
      <w:lvlText w:val="1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7">
    <w:nsid w:val="181AECA0"/>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8">
    <w:nsid w:val="1828C54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9">
    <w:nsid w:val="199896BF"/>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0">
    <w:nsid w:val="1A6244A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nsid w:val="1BD90C48"/>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2">
    <w:nsid w:val="1E58CED8"/>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3">
    <w:nsid w:val="1EE5B943"/>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4">
    <w:nsid w:val="23EDC176"/>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5">
    <w:nsid w:val="2746FEDF"/>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338B75B8"/>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7">
    <w:nsid w:val="376F5382"/>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8">
    <w:nsid w:val="3D49529F"/>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9">
    <w:nsid w:val="460E82CD"/>
    <w:multiLevelType w:val="multilevel"/>
    <w:tmpl w:val="00000001"/>
    <w:lvl w:ilvl="0">
      <w:start w:val="1"/>
      <w:numFmt w:val="decimal"/>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0">
    <w:nsid w:val="47E03423"/>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nsid w:val="4E365601"/>
    <w:multiLevelType w:val="multilevel"/>
    <w:tmpl w:val="0000000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2">
    <w:nsid w:val="4E536B32"/>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nsid w:val="553B4F99"/>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4">
    <w:nsid w:val="563E6D23"/>
    <w:multiLevelType w:val="multilevel"/>
    <w:tmpl w:val="00000001"/>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5">
    <w:nsid w:val="57C1E4C2"/>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6">
    <w:nsid w:val="644E0809"/>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7">
    <w:nsid w:val="69C91D61"/>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8">
    <w:nsid w:val="6C25171A"/>
    <w:multiLevelType w:val="multilevel"/>
    <w:tmpl w:val="00000001"/>
    <w:lvl w:ilvl="0">
      <w:start w:val="1"/>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9">
    <w:nsid w:val="6EC1A00D"/>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0">
    <w:nsid w:val="720370B0"/>
    <w:multiLevelType w:val="multilevel"/>
    <w:tmpl w:val="00000001"/>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1">
    <w:nsid w:val="74FFC7C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2">
    <w:nsid w:val="768D3FE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3">
    <w:nsid w:val="76F6F43D"/>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4">
    <w:nsid w:val="7852BD27"/>
    <w:multiLevelType w:val="multilevel"/>
    <w:tmpl w:val="00000001"/>
    <w:lvl w:ilvl="0">
      <w:start w:val="8"/>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5">
    <w:nsid w:val="790684A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6">
    <w:nsid w:val="795489B6"/>
    <w:multiLevelType w:val="multilevel"/>
    <w:tmpl w:val="00000001"/>
    <w:lvl w:ilvl="0">
      <w:start w:val="1"/>
      <w:numFmt w:val="decimal"/>
      <w:lvlText w:val="2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7">
    <w:nsid w:val="7E2F765C"/>
    <w:multiLevelType w:val="multilevel"/>
    <w:tmpl w:val="00000001"/>
    <w:lvl w:ilvl="0">
      <w:start w:val="1"/>
      <w:numFmt w:val="decimal"/>
      <w:lvlText w:val="1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195"/>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75"/>
  </w:num>
  <w:num w:numId="18">
    <w:abstractNumId w:val="180"/>
  </w:num>
  <w:num w:numId="19">
    <w:abstractNumId w:val="15"/>
  </w:num>
  <w:num w:numId="20">
    <w:abstractNumId w:val="16"/>
  </w:num>
  <w:num w:numId="21">
    <w:abstractNumId w:val="17"/>
  </w:num>
  <w:num w:numId="22">
    <w:abstractNumId w:val="18"/>
  </w:num>
  <w:num w:numId="23">
    <w:abstractNumId w:val="19"/>
  </w:num>
  <w:num w:numId="24">
    <w:abstractNumId w:val="20"/>
  </w:num>
  <w:num w:numId="25">
    <w:abstractNumId w:val="21"/>
  </w:num>
  <w:num w:numId="26">
    <w:abstractNumId w:val="22"/>
  </w:num>
  <w:num w:numId="27">
    <w:abstractNumId w:val="23"/>
  </w:num>
  <w:num w:numId="28">
    <w:abstractNumId w:val="24"/>
  </w:num>
  <w:num w:numId="29">
    <w:abstractNumId w:val="25"/>
  </w:num>
  <w:num w:numId="30">
    <w:abstractNumId w:val="26"/>
  </w:num>
  <w:num w:numId="31">
    <w:abstractNumId w:val="27"/>
  </w:num>
  <w:num w:numId="32">
    <w:abstractNumId w:val="28"/>
  </w:num>
  <w:num w:numId="33">
    <w:abstractNumId w:val="29"/>
  </w:num>
  <w:num w:numId="34">
    <w:abstractNumId w:val="30"/>
  </w:num>
  <w:num w:numId="35">
    <w:abstractNumId w:val="31"/>
  </w:num>
  <w:num w:numId="36">
    <w:abstractNumId w:val="32"/>
  </w:num>
  <w:num w:numId="37">
    <w:abstractNumId w:val="33"/>
  </w:num>
  <w:num w:numId="38">
    <w:abstractNumId w:val="34"/>
  </w:num>
  <w:num w:numId="39">
    <w:abstractNumId w:val="35"/>
  </w:num>
  <w:num w:numId="40">
    <w:abstractNumId w:val="36"/>
  </w:num>
  <w:num w:numId="41">
    <w:abstractNumId w:val="37"/>
  </w:num>
  <w:num w:numId="42">
    <w:abstractNumId w:val="38"/>
  </w:num>
  <w:num w:numId="43">
    <w:abstractNumId w:val="39"/>
  </w:num>
  <w:num w:numId="44">
    <w:abstractNumId w:val="40"/>
  </w:num>
  <w:num w:numId="45">
    <w:abstractNumId w:val="41"/>
  </w:num>
  <w:num w:numId="46">
    <w:abstractNumId w:val="42"/>
  </w:num>
  <w:num w:numId="47">
    <w:abstractNumId w:val="43"/>
  </w:num>
  <w:num w:numId="48">
    <w:abstractNumId w:val="44"/>
  </w:num>
  <w:num w:numId="49">
    <w:abstractNumId w:val="45"/>
  </w:num>
  <w:num w:numId="50">
    <w:abstractNumId w:val="46"/>
  </w:num>
  <w:num w:numId="51">
    <w:abstractNumId w:val="47"/>
  </w:num>
  <w:num w:numId="52">
    <w:abstractNumId w:val="48"/>
  </w:num>
  <w:num w:numId="53">
    <w:abstractNumId w:val="49"/>
  </w:num>
  <w:num w:numId="54">
    <w:abstractNumId w:val="50"/>
  </w:num>
  <w:num w:numId="55">
    <w:abstractNumId w:val="51"/>
  </w:num>
  <w:num w:numId="56">
    <w:abstractNumId w:val="52"/>
  </w:num>
  <w:num w:numId="57">
    <w:abstractNumId w:val="53"/>
  </w:num>
  <w:num w:numId="58">
    <w:abstractNumId w:val="54"/>
  </w:num>
  <w:num w:numId="59">
    <w:abstractNumId w:val="55"/>
  </w:num>
  <w:num w:numId="60">
    <w:abstractNumId w:val="56"/>
  </w:num>
  <w:num w:numId="61">
    <w:abstractNumId w:val="57"/>
  </w:num>
  <w:num w:numId="62">
    <w:abstractNumId w:val="58"/>
  </w:num>
  <w:num w:numId="63">
    <w:abstractNumId w:val="59"/>
  </w:num>
  <w:num w:numId="64">
    <w:abstractNumId w:val="60"/>
  </w:num>
  <w:num w:numId="65">
    <w:abstractNumId w:val="61"/>
  </w:num>
  <w:num w:numId="66">
    <w:abstractNumId w:val="62"/>
  </w:num>
  <w:num w:numId="67">
    <w:abstractNumId w:val="63"/>
  </w:num>
  <w:num w:numId="68">
    <w:abstractNumId w:val="64"/>
  </w:num>
  <w:num w:numId="69">
    <w:abstractNumId w:val="65"/>
  </w:num>
  <w:num w:numId="70">
    <w:abstractNumId w:val="66"/>
  </w:num>
  <w:num w:numId="71">
    <w:abstractNumId w:val="67"/>
  </w:num>
  <w:num w:numId="72">
    <w:abstractNumId w:val="68"/>
  </w:num>
  <w:num w:numId="73">
    <w:abstractNumId w:val="69"/>
  </w:num>
  <w:num w:numId="74">
    <w:abstractNumId w:val="70"/>
  </w:num>
  <w:num w:numId="75">
    <w:abstractNumId w:val="71"/>
  </w:num>
  <w:num w:numId="76">
    <w:abstractNumId w:val="191"/>
  </w:num>
  <w:num w:numId="77">
    <w:abstractNumId w:val="72"/>
  </w:num>
  <w:num w:numId="78">
    <w:abstractNumId w:val="73"/>
  </w:num>
  <w:num w:numId="79">
    <w:abstractNumId w:val="74"/>
  </w:num>
  <w:num w:numId="80">
    <w:abstractNumId w:val="75"/>
  </w:num>
  <w:num w:numId="81">
    <w:abstractNumId w:val="76"/>
  </w:num>
  <w:num w:numId="82">
    <w:abstractNumId w:val="77"/>
  </w:num>
  <w:num w:numId="83">
    <w:abstractNumId w:val="78"/>
  </w:num>
  <w:num w:numId="84">
    <w:abstractNumId w:val="79"/>
  </w:num>
  <w:num w:numId="85">
    <w:abstractNumId w:val="80"/>
  </w:num>
  <w:num w:numId="86">
    <w:abstractNumId w:val="81"/>
  </w:num>
  <w:num w:numId="87">
    <w:abstractNumId w:val="82"/>
  </w:num>
  <w:num w:numId="88">
    <w:abstractNumId w:val="83"/>
  </w:num>
  <w:num w:numId="89">
    <w:abstractNumId w:val="84"/>
  </w:num>
  <w:num w:numId="90">
    <w:abstractNumId w:val="85"/>
  </w:num>
  <w:num w:numId="91">
    <w:abstractNumId w:val="86"/>
  </w:num>
  <w:num w:numId="92">
    <w:abstractNumId w:val="87"/>
  </w:num>
  <w:num w:numId="93">
    <w:abstractNumId w:val="88"/>
  </w:num>
  <w:num w:numId="94">
    <w:abstractNumId w:val="89"/>
  </w:num>
  <w:num w:numId="95">
    <w:abstractNumId w:val="90"/>
  </w:num>
  <w:num w:numId="96">
    <w:abstractNumId w:val="91"/>
  </w:num>
  <w:num w:numId="97">
    <w:abstractNumId w:val="92"/>
  </w:num>
  <w:num w:numId="98">
    <w:abstractNumId w:val="93"/>
  </w:num>
  <w:num w:numId="99">
    <w:abstractNumId w:val="94"/>
  </w:num>
  <w:num w:numId="100">
    <w:abstractNumId w:val="95"/>
  </w:num>
  <w:num w:numId="101">
    <w:abstractNumId w:val="96"/>
  </w:num>
  <w:num w:numId="102">
    <w:abstractNumId w:val="97"/>
  </w:num>
  <w:num w:numId="103">
    <w:abstractNumId w:val="98"/>
  </w:num>
  <w:num w:numId="104">
    <w:abstractNumId w:val="99"/>
  </w:num>
  <w:num w:numId="105">
    <w:abstractNumId w:val="100"/>
  </w:num>
  <w:num w:numId="106">
    <w:abstractNumId w:val="101"/>
  </w:num>
  <w:num w:numId="107">
    <w:abstractNumId w:val="102"/>
  </w:num>
  <w:num w:numId="108">
    <w:abstractNumId w:val="103"/>
  </w:num>
  <w:num w:numId="109">
    <w:abstractNumId w:val="104"/>
  </w:num>
  <w:num w:numId="110">
    <w:abstractNumId w:val="105"/>
  </w:num>
  <w:num w:numId="111">
    <w:abstractNumId w:val="106"/>
  </w:num>
  <w:num w:numId="112">
    <w:abstractNumId w:val="107"/>
  </w:num>
  <w:num w:numId="113">
    <w:abstractNumId w:val="108"/>
  </w:num>
  <w:num w:numId="114">
    <w:abstractNumId w:val="109"/>
  </w:num>
  <w:num w:numId="115">
    <w:abstractNumId w:val="110"/>
  </w:num>
  <w:num w:numId="116">
    <w:abstractNumId w:val="111"/>
  </w:num>
  <w:num w:numId="117">
    <w:abstractNumId w:val="112"/>
  </w:num>
  <w:num w:numId="118">
    <w:abstractNumId w:val="113"/>
  </w:num>
  <w:num w:numId="119">
    <w:abstractNumId w:val="114"/>
  </w:num>
  <w:num w:numId="120">
    <w:abstractNumId w:val="115"/>
  </w:num>
  <w:num w:numId="121">
    <w:abstractNumId w:val="116"/>
  </w:num>
  <w:num w:numId="122">
    <w:abstractNumId w:val="117"/>
  </w:num>
  <w:num w:numId="123">
    <w:abstractNumId w:val="118"/>
  </w:num>
  <w:num w:numId="124">
    <w:abstractNumId w:val="119"/>
  </w:num>
  <w:num w:numId="125">
    <w:abstractNumId w:val="120"/>
  </w:num>
  <w:num w:numId="126">
    <w:abstractNumId w:val="121"/>
  </w:num>
  <w:num w:numId="127">
    <w:abstractNumId w:val="122"/>
  </w:num>
  <w:num w:numId="128">
    <w:abstractNumId w:val="123"/>
  </w:num>
  <w:num w:numId="129">
    <w:abstractNumId w:val="124"/>
  </w:num>
  <w:num w:numId="130">
    <w:abstractNumId w:val="125"/>
  </w:num>
  <w:num w:numId="131">
    <w:abstractNumId w:val="126"/>
  </w:num>
  <w:num w:numId="132">
    <w:abstractNumId w:val="127"/>
  </w:num>
  <w:num w:numId="133">
    <w:abstractNumId w:val="128"/>
  </w:num>
  <w:num w:numId="134">
    <w:abstractNumId w:val="129"/>
  </w:num>
  <w:num w:numId="135">
    <w:abstractNumId w:val="130"/>
  </w:num>
  <w:num w:numId="136">
    <w:abstractNumId w:val="131"/>
  </w:num>
  <w:num w:numId="137">
    <w:abstractNumId w:val="132"/>
  </w:num>
  <w:num w:numId="138">
    <w:abstractNumId w:val="133"/>
  </w:num>
  <w:num w:numId="139">
    <w:abstractNumId w:val="134"/>
  </w:num>
  <w:num w:numId="140">
    <w:abstractNumId w:val="135"/>
  </w:num>
  <w:num w:numId="141">
    <w:abstractNumId w:val="136"/>
  </w:num>
  <w:num w:numId="142">
    <w:abstractNumId w:val="137"/>
  </w:num>
  <w:num w:numId="143">
    <w:abstractNumId w:val="138"/>
  </w:num>
  <w:num w:numId="144">
    <w:abstractNumId w:val="139"/>
  </w:num>
  <w:num w:numId="145">
    <w:abstractNumId w:val="140"/>
  </w:num>
  <w:num w:numId="146">
    <w:abstractNumId w:val="185"/>
  </w:num>
  <w:num w:numId="147">
    <w:abstractNumId w:val="204"/>
  </w:num>
  <w:num w:numId="148">
    <w:abstractNumId w:val="205"/>
  </w:num>
  <w:num w:numId="149">
    <w:abstractNumId w:val="174"/>
  </w:num>
  <w:num w:numId="150">
    <w:abstractNumId w:val="176"/>
  </w:num>
  <w:num w:numId="151">
    <w:abstractNumId w:val="206"/>
  </w:num>
  <w:num w:numId="152">
    <w:abstractNumId w:val="183"/>
  </w:num>
  <w:num w:numId="153">
    <w:abstractNumId w:val="199"/>
  </w:num>
  <w:num w:numId="154">
    <w:abstractNumId w:val="203"/>
  </w:num>
  <w:num w:numId="155">
    <w:abstractNumId w:val="186"/>
  </w:num>
  <w:num w:numId="156">
    <w:abstractNumId w:val="189"/>
  </w:num>
  <w:num w:numId="157">
    <w:abstractNumId w:val="141"/>
  </w:num>
  <w:num w:numId="158">
    <w:abstractNumId w:val="142"/>
  </w:num>
  <w:num w:numId="159">
    <w:abstractNumId w:val="143"/>
  </w:num>
  <w:num w:numId="160">
    <w:abstractNumId w:val="144"/>
  </w:num>
  <w:num w:numId="161">
    <w:abstractNumId w:val="145"/>
  </w:num>
  <w:num w:numId="162">
    <w:abstractNumId w:val="146"/>
  </w:num>
  <w:num w:numId="163">
    <w:abstractNumId w:val="147"/>
  </w:num>
  <w:num w:numId="164">
    <w:abstractNumId w:val="148"/>
  </w:num>
  <w:num w:numId="165">
    <w:abstractNumId w:val="149"/>
  </w:num>
  <w:num w:numId="166">
    <w:abstractNumId w:val="150"/>
  </w:num>
  <w:num w:numId="167">
    <w:abstractNumId w:val="151"/>
  </w:num>
  <w:num w:numId="168">
    <w:abstractNumId w:val="152"/>
  </w:num>
  <w:num w:numId="169">
    <w:abstractNumId w:val="153"/>
  </w:num>
  <w:num w:numId="170">
    <w:abstractNumId w:val="154"/>
  </w:num>
  <w:num w:numId="171">
    <w:abstractNumId w:val="155"/>
  </w:num>
  <w:num w:numId="172">
    <w:abstractNumId w:val="156"/>
  </w:num>
  <w:num w:numId="173">
    <w:abstractNumId w:val="157"/>
  </w:num>
  <w:num w:numId="174">
    <w:abstractNumId w:val="158"/>
  </w:num>
  <w:num w:numId="175">
    <w:abstractNumId w:val="159"/>
  </w:num>
  <w:num w:numId="176">
    <w:abstractNumId w:val="160"/>
  </w:num>
  <w:num w:numId="177">
    <w:abstractNumId w:val="161"/>
  </w:num>
  <w:num w:numId="178">
    <w:abstractNumId w:val="162"/>
  </w:num>
  <w:num w:numId="179">
    <w:abstractNumId w:val="163"/>
  </w:num>
  <w:num w:numId="180">
    <w:abstractNumId w:val="164"/>
  </w:num>
  <w:num w:numId="181">
    <w:abstractNumId w:val="165"/>
  </w:num>
  <w:num w:numId="182">
    <w:abstractNumId w:val="166"/>
  </w:num>
  <w:num w:numId="183">
    <w:abstractNumId w:val="167"/>
  </w:num>
  <w:num w:numId="184">
    <w:abstractNumId w:val="168"/>
  </w:num>
  <w:num w:numId="185">
    <w:abstractNumId w:val="169"/>
  </w:num>
  <w:num w:numId="186">
    <w:abstractNumId w:val="170"/>
  </w:num>
  <w:num w:numId="187">
    <w:abstractNumId w:val="187"/>
  </w:num>
  <w:num w:numId="188">
    <w:abstractNumId w:val="179"/>
  </w:num>
  <w:num w:numId="189">
    <w:abstractNumId w:val="188"/>
  </w:num>
  <w:num w:numId="190">
    <w:abstractNumId w:val="194"/>
  </w:num>
  <w:num w:numId="191">
    <w:abstractNumId w:val="202"/>
  </w:num>
  <w:num w:numId="192">
    <w:abstractNumId w:val="201"/>
  </w:num>
  <w:num w:numId="193">
    <w:abstractNumId w:val="198"/>
  </w:num>
  <w:num w:numId="194">
    <w:abstractNumId w:val="197"/>
  </w:num>
  <w:num w:numId="195">
    <w:abstractNumId w:val="173"/>
  </w:num>
  <w:num w:numId="196">
    <w:abstractNumId w:val="177"/>
  </w:num>
  <w:num w:numId="197">
    <w:abstractNumId w:val="182"/>
  </w:num>
  <w:num w:numId="198">
    <w:abstractNumId w:val="200"/>
  </w:num>
  <w:num w:numId="199">
    <w:abstractNumId w:val="181"/>
  </w:num>
  <w:num w:numId="200">
    <w:abstractNumId w:val="178"/>
  </w:num>
  <w:num w:numId="201">
    <w:abstractNumId w:val="172"/>
  </w:num>
  <w:num w:numId="202">
    <w:abstractNumId w:val="196"/>
  </w:num>
  <w:num w:numId="203">
    <w:abstractNumId w:val="190"/>
  </w:num>
  <w:num w:numId="204">
    <w:abstractNumId w:val="192"/>
  </w:num>
  <w:num w:numId="205">
    <w:abstractNumId w:val="184"/>
  </w:num>
  <w:num w:numId="206">
    <w:abstractNumId w:val="171"/>
  </w:num>
  <w:num w:numId="207">
    <w:abstractNumId w:val="193"/>
  </w:num>
  <w:num w:numId="208">
    <w:abstractNumId w:val="20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M1-F4W2-62BS-00000-00&amp;context=" TargetMode="External" /><Relationship Id="rId100" Type="http://schemas.openxmlformats.org/officeDocument/2006/relationships/hyperlink" Target="https://advance.lexis.com/api/document?collection=cases-ca&amp;id=urn:contentItem:5F7T-S7C1-FGRY-B0NK-00000-00&amp;context=" TargetMode="External" /><Relationship Id="rId101" Type="http://schemas.openxmlformats.org/officeDocument/2006/relationships/hyperlink" Target="https://advance.lexis.com/api/document?collection=cases-ca&amp;id=urn:contentItem:5F7T-S7J1-JGBH-B2B7-00000-00&amp;context=" TargetMode="External" /><Relationship Id="rId102" Type="http://schemas.openxmlformats.org/officeDocument/2006/relationships/hyperlink" Target="https://advance.lexis.com/api/document?collection=cases-ca&amp;id=urn:contentItem:5F8P-SFM1-JGHR-M126-00000-00&amp;context=" TargetMode="External" /><Relationship Id="rId103" Type="http://schemas.openxmlformats.org/officeDocument/2006/relationships/hyperlink" Target="https://advance.lexis.com/api/document?collection=cases-ca&amp;id=urn:contentItem:5F7T-S7G1-JNY7-X3MJ-00000-00&amp;context=" TargetMode="External" /><Relationship Id="rId104" Type="http://schemas.openxmlformats.org/officeDocument/2006/relationships/hyperlink" Target="https://advance.lexis.com/api/document?collection=cases-ca&amp;id=urn:contentItem:5F8P-SDV1-JG02-S13T-00000-00&amp;context=" TargetMode="External" /><Relationship Id="rId105" Type="http://schemas.openxmlformats.org/officeDocument/2006/relationships/hyperlink" Target="https://advance.lexis.com/api/document?collection=cases-ca&amp;id=urn:contentItem:5F8P-SDW1-JX8W-M505-00000-00&amp;context=" TargetMode="External" /><Relationship Id="rId106" Type="http://schemas.openxmlformats.org/officeDocument/2006/relationships/hyperlink" Target="https://advance.lexis.com/api/document?collection=cases-ca&amp;id=urn:contentItem:5F7T-S7K1-DY33-B1VY-00000-00&amp;context=" TargetMode="External" /><Relationship Id="rId107" Type="http://schemas.openxmlformats.org/officeDocument/2006/relationships/hyperlink" Target="https://advance.lexis.com/api/document?collection=cases-ca&amp;id=urn:contentItem:5F8T-N3V1-FH4C-X249-00000-00&amp;context=" TargetMode="External" /><Relationship Id="rId108" Type="http://schemas.openxmlformats.org/officeDocument/2006/relationships/hyperlink" Target="https://advance.lexis.com/api/document?collection=cases-ca&amp;id=urn:contentItem:5F8P-SFM1-F4GK-M3M6-00000-00&amp;context=" TargetMode="External" /><Relationship Id="rId109" Type="http://schemas.openxmlformats.org/officeDocument/2006/relationships/hyperlink" Target="https://advance.lexis.com/api/document?collection=cases-ca&amp;id=urn:contentItem:5F81-VJY1-FBN1-22NW-00000-00&amp;context=" TargetMode="External" /><Relationship Id="rId11" Type="http://schemas.openxmlformats.org/officeDocument/2006/relationships/hyperlink" Target="https://advance.lexis.com/api/document?collection=cases-ca&amp;id=urn:contentItem:5F8P-SDS1-FJDY-X2M3-00000-00&amp;context=" TargetMode="External" /><Relationship Id="rId110" Type="http://schemas.openxmlformats.org/officeDocument/2006/relationships/hyperlink" Target="https://advance.lexis.com/api/document?collection=cases-ca&amp;id=urn:contentItem:5F81-VJY1-FBN1-230Y-00000-00&amp;context=" TargetMode="External" /><Relationship Id="rId111" Type="http://schemas.openxmlformats.org/officeDocument/2006/relationships/hyperlink" Target="https://advance.lexis.com/api/document?collection=cases-ca&amp;id=urn:contentItem:5F8W-M4D1-JWJ0-G37T-00000-00&amp;context=" TargetMode="External" /><Relationship Id="rId112" Type="http://schemas.openxmlformats.org/officeDocument/2006/relationships/hyperlink" Target="https://advance.lexis.com/api/document?collection=cases-ca&amp;id=urn:contentItem:5F8W-M4F1-JF75-M4HM-00000-00&amp;context=" TargetMode="External" /><Relationship Id="rId113" Type="http://schemas.openxmlformats.org/officeDocument/2006/relationships/hyperlink" Target="https://advance.lexis.com/api/document?collection=cases-ca&amp;id=urn:contentItem:5F7T-S751-JG02-S245-00000-00&amp;context=" TargetMode="External" /><Relationship Id="rId114" Type="http://schemas.openxmlformats.org/officeDocument/2006/relationships/hyperlink" Target="https://advance.lexis.com/api/document?collection=cases-ca&amp;id=urn:contentItem:5F7T-S771-F81W-22PC-00000-00&amp;context=" TargetMode="External" /><Relationship Id="rId115" Type="http://schemas.openxmlformats.org/officeDocument/2006/relationships/hyperlink" Target="https://advance.lexis.com/api/document?collection=cases-ca&amp;id=urn:contentItem:5F7T-S7K1-DY33-B1VX-00000-00&amp;context=" TargetMode="External" /><Relationship Id="rId116" Type="http://schemas.openxmlformats.org/officeDocument/2006/relationships/hyperlink" Target="https://advance.lexis.com/api/document?collection=cases-ca&amp;id=urn:contentItem:5F7T-S781-F7G6-639Y-00000-00&amp;context=" TargetMode="External" /><Relationship Id="rId117" Type="http://schemas.openxmlformats.org/officeDocument/2006/relationships/hyperlink" Target="https://advance.lexis.com/api/document?collection=cases-ca&amp;id=urn:contentItem:5F8W-M4D1-JC0G-61V5-00000-00&amp;context=" TargetMode="External" /><Relationship Id="rId118" Type="http://schemas.openxmlformats.org/officeDocument/2006/relationships/hyperlink" Target="https://advance.lexis.com/api/document?collection=cases-ca&amp;id=urn:contentItem:5F8W-M4C1-JT99-20WS-00000-00&amp;context=" TargetMode="External" /><Relationship Id="rId119" Type="http://schemas.openxmlformats.org/officeDocument/2006/relationships/hyperlink" Target="https://advance.lexis.com/api/document?collection=cases-ca&amp;id=urn:contentItem:5F8W-M4B1-JJD0-G45F-00000-00&amp;context=" TargetMode="External" /><Relationship Id="rId12" Type="http://schemas.openxmlformats.org/officeDocument/2006/relationships/hyperlink" Target="https://advance.lexis.com/api/document?collection=cases-ca&amp;id=urn:contentItem:5F8P-SBT1-JS5Y-B1XS-00000-00&amp;context=" TargetMode="External" /><Relationship Id="rId120" Type="http://schemas.openxmlformats.org/officeDocument/2006/relationships/hyperlink" Target="https://advance.lexis.com/api/document?collection=cases-ca&amp;id=urn:contentItem:5F8P-SDN1-F65M-63WJ-00000-00&amp;context=" TargetMode="External" /><Relationship Id="rId121" Type="http://schemas.openxmlformats.org/officeDocument/2006/relationships/hyperlink" Target="https://advance.lexis.com/api/document?collection=cases-ca&amp;id=urn:contentItem:5F7F-5RH1-FD4T-B03Y-00000-00&amp;context=" TargetMode="External" /><Relationship Id="rId122" Type="http://schemas.openxmlformats.org/officeDocument/2006/relationships/hyperlink" Target="https://advance.lexis.com/api/document?collection=cases-ca&amp;id=urn:contentItem:5F7T-S731-JC0G-637P-00000-00&amp;context=" TargetMode="External" /><Relationship Id="rId123" Type="http://schemas.openxmlformats.org/officeDocument/2006/relationships/hyperlink" Target="https://advance.lexis.com/api/document?collection=cases-ca&amp;id=urn:contentItem:5F7T-S7K1-JSJC-X16N-00000-00&amp;context=" TargetMode="External" /><Relationship Id="rId124" Type="http://schemas.openxmlformats.org/officeDocument/2006/relationships/hyperlink" Target="https://advance.lexis.com/api/document?collection=cases-ca&amp;id=urn:contentItem:5F7T-S7F1-FJTD-G34B-00000-00&amp;context=" TargetMode="External" /><Relationship Id="rId125" Type="http://schemas.openxmlformats.org/officeDocument/2006/relationships/hyperlink" Target="https://advance.lexis.com/api/document?collection=cases-ca&amp;id=urn:contentItem:5F7H-KWB1-F7VM-S1JH-00000-00&amp;context=" TargetMode="External" /><Relationship Id="rId126" Type="http://schemas.openxmlformats.org/officeDocument/2006/relationships/hyperlink" Target="https://advance.lexis.com/api/document?collection=cases-ca&amp;id=urn:contentItem:5F82-1SJ1-FGY5-M4NV-00000-00&amp;context=" TargetMode="External" /><Relationship Id="rId127" Type="http://schemas.openxmlformats.org/officeDocument/2006/relationships/hyperlink" Target="https://advance.lexis.com/api/document?collection=cases-ca&amp;id=urn:contentItem:5F8P-SD61-JWR6-S32P-00000-00&amp;context=" TargetMode="External" /><Relationship Id="rId128" Type="http://schemas.openxmlformats.org/officeDocument/2006/relationships/hyperlink" Target="https://advance.lexis.com/api/document?collection=cases-ca&amp;id=urn:contentItem:5F7T-S701-JBT7-X1YT-00000-00&amp;context=" TargetMode="External" /><Relationship Id="rId129" Type="http://schemas.openxmlformats.org/officeDocument/2006/relationships/hyperlink" Target="https://advance.lexis.com/api/document?collection=cases-ca&amp;id=urn:contentItem:5F8P-SDS1-JCBX-S2T6-00000-00&amp;context=" TargetMode="External" /><Relationship Id="rId13" Type="http://schemas.openxmlformats.org/officeDocument/2006/relationships/hyperlink" Target="https://advance.lexis.com/api/document?collection=cases-ca&amp;id=urn:contentItem:5F8P-SDP1-JF75-M0WK-00000-00&amp;context=" TargetMode="External" /><Relationship Id="rId130" Type="http://schemas.openxmlformats.org/officeDocument/2006/relationships/hyperlink" Target="https://advance.lexis.com/api/document?collection=cases-ca&amp;id=urn:contentItem:5F8P-SDW1-F57G-S0SS-00000-00&amp;context=" TargetMode="External" /><Relationship Id="rId131" Type="http://schemas.openxmlformats.org/officeDocument/2006/relationships/hyperlink" Target="https://advance.lexis.com/api/document?collection=cases-ca&amp;id=urn:contentItem:5F81-VJX1-JKPJ-G1PN-00000-00&amp;context=" TargetMode="External" /><Relationship Id="rId132" Type="http://schemas.openxmlformats.org/officeDocument/2006/relationships/hyperlink" Target="https://advance.lexis.com/api/document?collection=cases-ca&amp;id=urn:contentItem:5F8P-SFB1-JJYN-B3JH-00000-00&amp;context=" TargetMode="External" /><Relationship Id="rId133" Type="http://schemas.openxmlformats.org/officeDocument/2006/relationships/hyperlink" Target="https://advance.lexis.com/api/document?collection=cases-ca&amp;id=urn:contentItem:5F8P-SFR1-JS5Y-B2T7-00000-00&amp;context=" TargetMode="External" /><Relationship Id="rId134" Type="http://schemas.openxmlformats.org/officeDocument/2006/relationships/hyperlink" Target="https://advance.lexis.com/api/document?collection=cases-ca&amp;id=urn:contentItem:5F8P-SF21-JJK6-S0JS-00000-00&amp;context=" TargetMode="External" /><Relationship Id="rId135" Type="http://schemas.openxmlformats.org/officeDocument/2006/relationships/hyperlink" Target="https://advance.lexis.com/api/document?collection=cases-ca&amp;id=urn:contentItem:5F8P-SD81-F1H1-2558-00000-00&amp;context=" TargetMode="External" /><Relationship Id="rId136" Type="http://schemas.openxmlformats.org/officeDocument/2006/relationships/hyperlink" Target="https://advance.lexis.com/api/document?collection=cases-ca&amp;id=urn:contentItem:5F7T-S7N1-F06F-24SF-00000-00&amp;context=" TargetMode="External" /><Relationship Id="rId137" Type="http://schemas.openxmlformats.org/officeDocument/2006/relationships/hyperlink" Target="https://advance.lexis.com/api/document?collection=cases-ca&amp;id=urn:contentItem:5F7T-S7M1-DYMS-623G-00000-00&amp;context=" TargetMode="External" /><Relationship Id="rId138" Type="http://schemas.openxmlformats.org/officeDocument/2006/relationships/hyperlink" Target="https://advance.lexis.com/api/document?collection=cases-ca&amp;id=urn:contentItem:5F8P-SFC1-JX8W-M0SK-00000-00&amp;context=" TargetMode="External" /><Relationship Id="rId139" Type="http://schemas.openxmlformats.org/officeDocument/2006/relationships/hyperlink" Target="https://advance.lexis.com/api/document?collection=cases-ca&amp;id=urn:contentItem:5F7T-S7M1-JFSV-G3FS-00000-00&amp;context=" TargetMode="External" /><Relationship Id="rId14" Type="http://schemas.openxmlformats.org/officeDocument/2006/relationships/hyperlink" Target="https://advance.lexis.com/api/document?collection=cases-ca&amp;id=urn:contentItem:5F8P-SFG1-JF75-M2H0-00000-00&amp;context=" TargetMode="External" /><Relationship Id="rId140" Type="http://schemas.openxmlformats.org/officeDocument/2006/relationships/hyperlink" Target="https://advance.lexis.com/api/document?collection=cases-ca&amp;id=urn:contentItem:5F8P-SFN1-K0HK-237S-00000-00&amp;context=" TargetMode="External" /><Relationship Id="rId141" Type="http://schemas.openxmlformats.org/officeDocument/2006/relationships/hyperlink" Target="https://advance.lexis.com/api/document?collection=cases-ca&amp;id=urn:contentItem:5F8T-N3V1-JFKM-6096-00000-00&amp;context=" TargetMode="External" /><Relationship Id="rId142" Type="http://schemas.openxmlformats.org/officeDocument/2006/relationships/hyperlink" Target="https://advance.lexis.com/api/document?collection=cases-ca&amp;id=urn:contentItem:5F8T-N3V1-FH4C-X1WY-00000-00&amp;context=" TargetMode="External" /><Relationship Id="rId143" Type="http://schemas.openxmlformats.org/officeDocument/2006/relationships/hyperlink" Target="https://advance.lexis.com/api/document?collection=cases-ca&amp;id=urn:contentItem:5F8T-N3V1-FH4C-X1WF-00000-00&amp;context=" TargetMode="External" /><Relationship Id="rId144" Type="http://schemas.openxmlformats.org/officeDocument/2006/relationships/hyperlink" Target="https://advance.lexis.com/api/document?collection=cases-ca&amp;id=urn:contentItem:5F8T-N3T1-JJSF-23NN-00000-00&amp;context=" TargetMode="External" /><Relationship Id="rId145" Type="http://schemas.openxmlformats.org/officeDocument/2006/relationships/hyperlink" Target="https://advance.lexis.com/api/document?collection=cases-ca&amp;id=urn:contentItem:5F7T-S7J1-DXWW-24T3-00000-00&amp;context=" TargetMode="External" /><Relationship Id="rId146" Type="http://schemas.openxmlformats.org/officeDocument/2006/relationships/hyperlink" Target="https://advance.lexis.com/api/document?collection=cases-ca&amp;id=urn:contentItem:5F7V-3DG1-JBM1-M3DT-00000-00&amp;context=" TargetMode="External" /><Relationship Id="rId147" Type="http://schemas.openxmlformats.org/officeDocument/2006/relationships/hyperlink" Target="https://advance.lexis.com/api/document?collection=cases-ca&amp;id=urn:contentItem:5F82-1SB1-JP4G-648B-00000-00&amp;context=" TargetMode="External" /><Relationship Id="rId148" Type="http://schemas.openxmlformats.org/officeDocument/2006/relationships/hyperlink" Target="https://advance.lexis.com/api/document?collection=cases-ca&amp;id=urn:contentItem:5F8T-N3T1-JGHR-M278-00000-00&amp;context=" TargetMode="External" /><Relationship Id="rId149" Type="http://schemas.openxmlformats.org/officeDocument/2006/relationships/hyperlink" Target="https://advance.lexis.com/api/document?collection=cases-ca&amp;id=urn:contentItem:5F8T-N3R1-FJDY-X2W4-00000-00&amp;context=" TargetMode="External" /><Relationship Id="rId15" Type="http://schemas.openxmlformats.org/officeDocument/2006/relationships/hyperlink" Target="https://advance.lexis.com/api/document?collection=cases-ca&amp;id=urn:contentItem:5F8T-N3V1-JF75-M393-00000-00&amp;context=" TargetMode="External" /><Relationship Id="rId150" Type="http://schemas.openxmlformats.org/officeDocument/2006/relationships/hyperlink" Target="https://advance.lexis.com/api/document?collection=cases-ca&amp;id=urn:contentItem:5F7T-S7G1-JPP5-21R3-00000-00&amp;context=" TargetMode="External" /><Relationship Id="rId151" Type="http://schemas.openxmlformats.org/officeDocument/2006/relationships/hyperlink" Target="https://advance.lexis.com/api/document?collection=cases-ca&amp;id=urn:contentItem:5F16-93C1-JNCK-233N-00000-00&amp;context=" TargetMode="External" /><Relationship Id="rId152" Type="http://schemas.openxmlformats.org/officeDocument/2006/relationships/hyperlink" Target="https://advance.lexis.com/api/document?collection=cases-ca&amp;id=urn:contentItem:5F8P-JGW1-FK0M-S1F0-00000-00&amp;context=" TargetMode="External" /><Relationship Id="rId153" Type="http://schemas.openxmlformats.org/officeDocument/2006/relationships/hyperlink" Target="https://advance.lexis.com/api/document?collection=cases-ca&amp;id=urn:contentItem:5F7T-XPW1-JNY7-X24T-00000-00&amp;context=" TargetMode="External" /><Relationship Id="rId154" Type="http://schemas.openxmlformats.org/officeDocument/2006/relationships/hyperlink" Target="https://advance.lexis.com/api/document?collection=cases-ca&amp;id=urn:contentItem:5F8P-SDC1-FK0M-S3N1-00000-00&amp;context=" TargetMode="External" /><Relationship Id="rId155" Type="http://schemas.openxmlformats.org/officeDocument/2006/relationships/hyperlink" Target="https://advance.lexis.com/api/document?collection=cases-ca&amp;id=urn:contentItem:5F7T-S7K1-DY33-B1BJ-00000-00&amp;context=" TargetMode="External" /><Relationship Id="rId156" Type="http://schemas.openxmlformats.org/officeDocument/2006/relationships/hyperlink" Target="https://advance.lexis.com/api/document?collection=cases-ca&amp;id=urn:contentItem:5F8P-SFM1-JJYN-B494-00000-00&amp;context=" TargetMode="External" /><Relationship Id="rId157" Type="http://schemas.openxmlformats.org/officeDocument/2006/relationships/hyperlink" Target="https://advance.lexis.com/api/document?collection=cases-ca&amp;id=urn:contentItem:5F8P-SFN1-F2TK-23X9-00000-00&amp;context=" TargetMode="External" /><Relationship Id="rId158" Type="http://schemas.openxmlformats.org/officeDocument/2006/relationships/hyperlink" Target="https://advance.lexis.com/api/document?collection=cases-ca&amp;id=urn:contentItem:5F81-VJY1-FBN1-22X0-00000-00&amp;context=" TargetMode="External" /><Relationship Id="rId159" Type="http://schemas.openxmlformats.org/officeDocument/2006/relationships/hyperlink" Target="https://advance.lexis.com/api/document?collection=cases-ca&amp;id=urn:contentItem:5F8P-SDN1-F65M-63R6-00000-00&amp;context=" TargetMode="External" /><Relationship Id="rId16" Type="http://schemas.openxmlformats.org/officeDocument/2006/relationships/header" Target="header4.xml" /><Relationship Id="rId160" Type="http://schemas.openxmlformats.org/officeDocument/2006/relationships/hyperlink" Target="https://advance.lexis.com/api/document?collection=cases-ca&amp;id=urn:contentItem:5F7T-S7D1-DY89-M41B-00000-00&amp;context=" TargetMode="External" /><Relationship Id="rId161" Type="http://schemas.openxmlformats.org/officeDocument/2006/relationships/hyperlink" Target="https://advance.lexis.com/api/document?collection=cases-ca&amp;id=urn:contentItem:5F7T-S7F1-F7VM-S482-00000-00&amp;context=" TargetMode="External" /><Relationship Id="rId162" Type="http://schemas.openxmlformats.org/officeDocument/2006/relationships/hyperlink" Target="https://advance.lexis.com/api/document?collection=cases-ca&amp;id=urn:contentItem:5F81-VJX1-FGY5-M3BF-00000-00&amp;context=" TargetMode="External" /><Relationship Id="rId163" Type="http://schemas.openxmlformats.org/officeDocument/2006/relationships/hyperlink" Target="https://advance.lexis.com/api/document?collection=cases-ca&amp;id=urn:contentItem:5F81-VJX1-FD4T-B2KY-00000-00&amp;context=" TargetMode="External" /><Relationship Id="rId164" Type="http://schemas.openxmlformats.org/officeDocument/2006/relationships/hyperlink" Target="https://advance.lexis.com/api/document?collection=cases-ca&amp;id=urn:contentItem:5F81-VJX1-FGY5-M3C6-00000-00&amp;context=" TargetMode="External" /><Relationship Id="rId165" Type="http://schemas.openxmlformats.org/officeDocument/2006/relationships/hyperlink" Target="https://advance.lexis.com/api/document?collection=cases-ca&amp;id=urn:contentItem:5F7T-S7K1-JSJC-X129-00000-00&amp;context=" TargetMode="External" /><Relationship Id="rId166" Type="http://schemas.openxmlformats.org/officeDocument/2006/relationships/hyperlink" Target="https://advance.lexis.com/api/document?collection=cases-ca&amp;id=urn:contentItem:5F8T-N3V1-FC1F-M486-00000-00&amp;context=" TargetMode="External" /><Relationship Id="rId167" Type="http://schemas.openxmlformats.org/officeDocument/2006/relationships/hyperlink" Target="https://advance.lexis.com/api/document?collection=cases-ca&amp;id=urn:contentItem:5F81-VJX1-FCK4-G1XM-00000-00&amp;context=" TargetMode="External" /><Relationship Id="rId168" Type="http://schemas.openxmlformats.org/officeDocument/2006/relationships/hyperlink" Target="https://advance.lexis.com/api/document?collection=cases-ca&amp;id=urn:contentItem:5F8T-N3T1-JGHR-M1Y0-00000-00&amp;context=" TargetMode="External" /><Relationship Id="rId169" Type="http://schemas.openxmlformats.org/officeDocument/2006/relationships/hyperlink" Target="https://advance.lexis.com/api/document?collection=cases-ca&amp;id=urn:contentItem:5F8T-N3V1-JF75-M3VS-00000-00&amp;context=" TargetMode="External" /><Relationship Id="rId17" Type="http://schemas.openxmlformats.org/officeDocument/2006/relationships/header" Target="header5.xml" /><Relationship Id="rId170" Type="http://schemas.openxmlformats.org/officeDocument/2006/relationships/hyperlink" Target="https://advance.lexis.com/api/document?collection=cases-ca&amp;id=urn:contentItem:5F8T-N3T1-JJSF-23BF-00000-00&amp;context=" TargetMode="External" /><Relationship Id="rId171" Type="http://schemas.openxmlformats.org/officeDocument/2006/relationships/hyperlink" Target="https://advance.lexis.com/api/document?collection=cases-ca&amp;id=urn:contentItem:5F81-YGK1-F8D9-M190-00000-00&amp;context=" TargetMode="External" /><Relationship Id="rId172" Type="http://schemas.openxmlformats.org/officeDocument/2006/relationships/hyperlink" Target="https://advance.lexis.com/api/document?collection=cases-ca&amp;id=urn:contentItem:5F81-VJX1-JP9P-G4WH-00000-00&amp;context=" TargetMode="External" /><Relationship Id="rId173" Type="http://schemas.openxmlformats.org/officeDocument/2006/relationships/hyperlink" Target="https://advance.lexis.com/api/document?collection=cases-ca&amp;id=urn:contentItem:5F8P-SCM1-F81W-2011-00000-00&amp;context=" TargetMode="External" /><Relationship Id="rId174" Type="http://schemas.openxmlformats.org/officeDocument/2006/relationships/hyperlink" Target="https://advance.lexis.com/api/document?collection=cases-ca&amp;id=urn:contentItem:5F8T-N3V1-JTGH-B187-00000-00&amp;context=" TargetMode="External" /><Relationship Id="rId175" Type="http://schemas.openxmlformats.org/officeDocument/2006/relationships/hyperlink" Target="https://advance.lexis.com/api/document?collection=cases-ca&amp;id=urn:contentItem:5F8T-N3V1-JTGH-B11G-00000-00&amp;context=" TargetMode="External" /><Relationship Id="rId176" Type="http://schemas.openxmlformats.org/officeDocument/2006/relationships/hyperlink" Target="https://advance.lexis.com/api/document?collection=cases-ca&amp;id=urn:contentItem:5F81-VJX1-FCK4-G1WJ-00000-00&amp;context=" TargetMode="External" /><Relationship Id="rId177" Type="http://schemas.openxmlformats.org/officeDocument/2006/relationships/hyperlink" Target="https://advance.lexis.com/api/document?collection=cases-ca&amp;id=urn:contentItem:5F7T-S7C1-F7VM-S37T-00000-00&amp;context=" TargetMode="External" /><Relationship Id="rId178" Type="http://schemas.openxmlformats.org/officeDocument/2006/relationships/hyperlink" Target="https://advance.lexis.com/api/document?collection=cases-ca&amp;id=urn:contentItem:5F16-9381-JJSF-220K-00000-00&amp;context=" TargetMode="External" /><Relationship Id="rId179" Type="http://schemas.openxmlformats.org/officeDocument/2006/relationships/hyperlink" Target="https://advance.lexis.com/api/document?collection=cases-ca&amp;id=urn:contentItem:5F8P-SDR1-JJSF-226V-00000-00&amp;context=" TargetMode="External" /><Relationship Id="rId18" Type="http://schemas.openxmlformats.org/officeDocument/2006/relationships/footer" Target="footer4.xml" /><Relationship Id="rId180" Type="http://schemas.openxmlformats.org/officeDocument/2006/relationships/hyperlink" Target="https://advance.lexis.com/api/document?collection=cases-ca&amp;id=urn:contentItem:5F8P-SFT1-F7ND-G05S-00000-00&amp;context=" TargetMode="External" /><Relationship Id="rId181" Type="http://schemas.openxmlformats.org/officeDocument/2006/relationships/hyperlink" Target="https://advance.lexis.com/api/document?collection=cases-ca&amp;id=urn:contentItem:5F7T-S781-DYMS-619P-00000-00&amp;context=" TargetMode="External" /><Relationship Id="rId182" Type="http://schemas.openxmlformats.org/officeDocument/2006/relationships/header" Target="header22.xml" /><Relationship Id="rId183" Type="http://schemas.openxmlformats.org/officeDocument/2006/relationships/header" Target="header23.xml" /><Relationship Id="rId184" Type="http://schemas.openxmlformats.org/officeDocument/2006/relationships/footer" Target="footer22.xml" /><Relationship Id="rId185" Type="http://schemas.openxmlformats.org/officeDocument/2006/relationships/footer" Target="footer23.xml" /><Relationship Id="rId186" Type="http://schemas.openxmlformats.org/officeDocument/2006/relationships/header" Target="header24.xml" /><Relationship Id="rId187" Type="http://schemas.openxmlformats.org/officeDocument/2006/relationships/footer" Target="footer24.xml" /><Relationship Id="rId188" Type="http://schemas.openxmlformats.org/officeDocument/2006/relationships/hyperlink" Target="https://advance.lexis.com/api/document?collection=cases-ca&amp;id=urn:contentItem:5S8H-74W1-F06F-24WH-00000-00&amp;context=" TargetMode="External" /><Relationship Id="rId189" Type="http://schemas.openxmlformats.org/officeDocument/2006/relationships/hyperlink" Target="https://advance.lexis.com/api/document?collection=legislation-ca&amp;id=urn:contentItem:5F3B-B7M1-F1WF-M155-00000-00&amp;context=" TargetMode="External" /><Relationship Id="rId19" Type="http://schemas.openxmlformats.org/officeDocument/2006/relationships/footer" Target="footer5.xml" /><Relationship Id="rId190" Type="http://schemas.openxmlformats.org/officeDocument/2006/relationships/hyperlink" Target="https://advance.lexis.com/api/document?collection=legislation-ca&amp;id=urn:contentItem:5F41-1FG1-FBN1-20VT-00000-00&amp;context=" TargetMode="External" /><Relationship Id="rId191" Type="http://schemas.openxmlformats.org/officeDocument/2006/relationships/hyperlink" Target="https://advance.lexis.com/api/document?collection=legislation-ca&amp;id=urn:contentItem:5F41-1FK1-JGBH-B10R-00000-00&amp;context=" TargetMode="External" /><Relationship Id="rId192" Type="http://schemas.openxmlformats.org/officeDocument/2006/relationships/hyperlink" Target="https://advance.lexis.com/api/document?collection=cases-ca&amp;id=urn:contentItem:5F7T-S7P1-JNJT-B2DY-00000-00&amp;context=" TargetMode="External" /><Relationship Id="rId193" Type="http://schemas.openxmlformats.org/officeDocument/2006/relationships/hyperlink" Target="https://advance.lexis.com/api/document?collection=cases-ca&amp;id=urn:contentItem:5K03-MBH1-FFFC-B035-00000-00&amp;context=" TargetMode="External" /><Relationship Id="rId194" Type="http://schemas.openxmlformats.org/officeDocument/2006/relationships/hyperlink" Target="https://advance.lexis.com/api/document?collection=cases-ca&amp;id=urn:contentItem:5M13-K1S1-JKHB-645B-00000-00&amp;context=" TargetMode="External" /><Relationship Id="rId195" Type="http://schemas.openxmlformats.org/officeDocument/2006/relationships/hyperlink" Target="https://advance.lexis.com/api/document?collection=cases-ca&amp;id=urn:contentItem:5PMN-R051-JJD0-G166-00000-00&amp;context=" TargetMode="External" /><Relationship Id="rId196" Type="http://schemas.openxmlformats.org/officeDocument/2006/relationships/hyperlink" Target="https://advance.lexis.com/api/document?collection=cases-ca&amp;id=urn:contentItem:5F7T-S7F1-F7VM-S4FC-00000-00&amp;context=" TargetMode="External" /><Relationship Id="rId197" Type="http://schemas.openxmlformats.org/officeDocument/2006/relationships/hyperlink" Target="https://advance.lexis.com/api/document?collection=cases-ca&amp;id=urn:contentItem:5P57-9BJ1-FCSB-S43J-00000-00&amp;context=" TargetMode="External" /><Relationship Id="rId198" Type="http://schemas.openxmlformats.org/officeDocument/2006/relationships/hyperlink" Target="https://advance.lexis.com/api/document?collection=cases-ca&amp;id=urn:contentItem:5F7T-S7D1-JG02-S2P3-00000-00&amp;context=" TargetMode="External" /><Relationship Id="rId199" Type="http://schemas.openxmlformats.org/officeDocument/2006/relationships/hyperlink" Target="https://advance.lexis.com/api/document?collection=cases-ca&amp;id=urn:contentItem:5GCC-XVC1-JSRM-60WV-00000-00&amp;context=" TargetMode="External" /><Relationship Id="rId2" Type="http://schemas.openxmlformats.org/officeDocument/2006/relationships/webSettings" Target="webSettings.xml" /><Relationship Id="rId20" Type="http://schemas.openxmlformats.org/officeDocument/2006/relationships/header" Target="header6.xml" /><Relationship Id="rId200" Type="http://schemas.openxmlformats.org/officeDocument/2006/relationships/hyperlink" Target="https://advance.lexis.com/api/document?collection=cases-ca&amp;id=urn:contentItem:5F7T-S7P1-JSJC-X1C3-00000-00&amp;context=" TargetMode="External" /><Relationship Id="rId201" Type="http://schemas.openxmlformats.org/officeDocument/2006/relationships/hyperlink" Target="https://advance.lexis.com/api/document?collection=cases-ca&amp;id=urn:contentItem:5F8P-SDS1-JWR6-S3MK-00000-00&amp;context=" TargetMode="External" /><Relationship Id="rId202" Type="http://schemas.openxmlformats.org/officeDocument/2006/relationships/hyperlink" Target="https://advance.lexis.com/api/document?collection=cases-ca&amp;id=urn:contentItem:5F82-1SG1-JWBS-64X2-00000-00&amp;context=" TargetMode="External" /><Relationship Id="rId203" Type="http://schemas.openxmlformats.org/officeDocument/2006/relationships/hyperlink" Target="https://advance.lexis.com/api/document?collection=cases-ca&amp;id=urn:contentItem:5KMV-YFM1-FJDY-X3S0-00000-00&amp;context=" TargetMode="External" /><Relationship Id="rId204" Type="http://schemas.openxmlformats.org/officeDocument/2006/relationships/hyperlink" Target="https://advance.lexis.com/api/document?collection=cases-ca&amp;id=urn:contentItem:5F7T-S7P1-JSJC-X1KV-00000-00&amp;context=" TargetMode="External" /><Relationship Id="rId205" Type="http://schemas.openxmlformats.org/officeDocument/2006/relationships/hyperlink" Target="https://advance.lexis.com/api/document?collection=cases-ca&amp;id=urn:contentItem:5F7T-S7P1-JCRC-B242-00000-00&amp;context=" TargetMode="External" /><Relationship Id="rId206" Type="http://schemas.openxmlformats.org/officeDocument/2006/relationships/hyperlink" Target="https://advance.lexis.com/api/document?collection=cases-ca&amp;id=urn:contentItem:5F7T-S7N1-JC5P-G21B-00000-00&amp;context=" TargetMode="External" /><Relationship Id="rId207" Type="http://schemas.openxmlformats.org/officeDocument/2006/relationships/hyperlink" Target="https://advance.lexis.com/api/document?collection=cases-ca&amp;id=urn:contentItem:5F7T-S7J1-JNS1-M202-00000-00&amp;context=" TargetMode="External" /><Relationship Id="rId208" Type="http://schemas.openxmlformats.org/officeDocument/2006/relationships/hyperlink" Target="https://advance.lexis.com/api/document?collection=cases-ca&amp;id=urn:contentItem:5F7T-S7M1-JNCK-22RD-00000-00&amp;context=" TargetMode="External" /><Relationship Id="rId209" Type="http://schemas.openxmlformats.org/officeDocument/2006/relationships/header" Target="header25.xml" /><Relationship Id="rId21" Type="http://schemas.openxmlformats.org/officeDocument/2006/relationships/footer" Target="footer6.xml" /><Relationship Id="rId210" Type="http://schemas.openxmlformats.org/officeDocument/2006/relationships/header" Target="header26.xml" /><Relationship Id="rId211" Type="http://schemas.openxmlformats.org/officeDocument/2006/relationships/footer" Target="footer25.xml" /><Relationship Id="rId212" Type="http://schemas.openxmlformats.org/officeDocument/2006/relationships/footer" Target="footer26.xml" /><Relationship Id="rId213" Type="http://schemas.openxmlformats.org/officeDocument/2006/relationships/header" Target="header27.xml" /><Relationship Id="rId214" Type="http://schemas.openxmlformats.org/officeDocument/2006/relationships/footer" Target="footer27.xml" /><Relationship Id="rId215" Type="http://schemas.openxmlformats.org/officeDocument/2006/relationships/hyperlink" Target="https://advance.lexis.com/api/document?collection=cases-ca&amp;id=urn:contentItem:5F7T-S7N1-JJ1H-X335-00000-00&amp;context=" TargetMode="External" /><Relationship Id="rId216" Type="http://schemas.openxmlformats.org/officeDocument/2006/relationships/hyperlink" Target="https://advance.lexis.com/api/document?collection=cases-ca&amp;id=urn:contentItem:5F7T-S7C1-F4NT-X38R-00000-00&amp;context=" TargetMode="External" /><Relationship Id="rId217" Type="http://schemas.openxmlformats.org/officeDocument/2006/relationships/hyperlink" Target="https://advance.lexis.com/api/document?collection=cases-ca&amp;id=urn:contentItem:5F7T-S711-F4W2-61JR-00000-00&amp;context=" TargetMode="External" /><Relationship Id="rId218" Type="http://schemas.openxmlformats.org/officeDocument/2006/relationships/hyperlink" Target="https://advance.lexis.com/api/document?collection=cases-ca&amp;id=urn:contentItem:5F7T-S771-JJD0-G19X-00000-00&amp;context=" TargetMode="External" /><Relationship Id="rId219" Type="http://schemas.openxmlformats.org/officeDocument/2006/relationships/header" Target="header28.xml" /><Relationship Id="rId22" Type="http://schemas.openxmlformats.org/officeDocument/2006/relationships/hyperlink" Target="https://advance.lexis.com/api/document?collection=cases-ca&amp;id=urn:contentItem:5F7T-S7F1-FBN1-21F5-00000-00&amp;context=" TargetMode="External" /><Relationship Id="rId220" Type="http://schemas.openxmlformats.org/officeDocument/2006/relationships/header" Target="header29.xml" /><Relationship Id="rId221" Type="http://schemas.openxmlformats.org/officeDocument/2006/relationships/footer" Target="footer28.xml" /><Relationship Id="rId222" Type="http://schemas.openxmlformats.org/officeDocument/2006/relationships/footer" Target="footer29.xml" /><Relationship Id="rId223" Type="http://schemas.openxmlformats.org/officeDocument/2006/relationships/header" Target="header30.xml" /><Relationship Id="rId224" Type="http://schemas.openxmlformats.org/officeDocument/2006/relationships/footer" Target="footer30.xml" /><Relationship Id="rId225" Type="http://schemas.openxmlformats.org/officeDocument/2006/relationships/hyperlink" Target="https://advance.lexis.com/api/document?collection=cases-ca&amp;id=urn:contentItem:5K6Y-81T1-F361-M3G2-00000-00&amp;context=" TargetMode="External" /><Relationship Id="rId226" Type="http://schemas.openxmlformats.org/officeDocument/2006/relationships/header" Target="header31.xml" /><Relationship Id="rId227" Type="http://schemas.openxmlformats.org/officeDocument/2006/relationships/header" Target="header32.xml" /><Relationship Id="rId228" Type="http://schemas.openxmlformats.org/officeDocument/2006/relationships/footer" Target="footer31.xml" /><Relationship Id="rId229" Type="http://schemas.openxmlformats.org/officeDocument/2006/relationships/footer" Target="footer32.xml" /><Relationship Id="rId23" Type="http://schemas.openxmlformats.org/officeDocument/2006/relationships/hyperlink" Target="https://advance.lexis.com/api/document?collection=legislation-ca&amp;id=urn:contentItem:5F41-1FG1-FBN1-217S-00000-00&amp;context=" TargetMode="External" /><Relationship Id="rId230" Type="http://schemas.openxmlformats.org/officeDocument/2006/relationships/header" Target="header33.xml" /><Relationship Id="rId231" Type="http://schemas.openxmlformats.org/officeDocument/2006/relationships/footer" Target="footer33.xml" /><Relationship Id="rId232" Type="http://schemas.openxmlformats.org/officeDocument/2006/relationships/hyperlink" Target="https://advance.lexis.com/api/document?collection=cases-ca&amp;id=urn:contentItem:5YCT-N0M1-F1H1-2186-00000-00&amp;context=" TargetMode="External" /><Relationship Id="rId233" Type="http://schemas.openxmlformats.org/officeDocument/2006/relationships/image" Target="media/image2.png" /><Relationship Id="rId234" Type="http://schemas.openxmlformats.org/officeDocument/2006/relationships/image" Target="media/image3.png" /><Relationship Id="rId235" Type="http://schemas.openxmlformats.org/officeDocument/2006/relationships/hyperlink" Target="https://advance.lexis.com/api/document?collection=cases-ca&amp;id=urn:contentItem:5KYT-SNP1-F8SS-63VW-00000-00&amp;context=" TargetMode="External" /><Relationship Id="rId236" Type="http://schemas.openxmlformats.org/officeDocument/2006/relationships/hyperlink" Target="https://advance.lexis.com/api/document?collection=cases-ca&amp;id=urn:contentItem:5F7T-S7P1-JG02-S3W9-00000-00&amp;context=" TargetMode="External" /><Relationship Id="rId237" Type="http://schemas.openxmlformats.org/officeDocument/2006/relationships/hyperlink" Target="https://advance.lexis.com/api/document?collection=cases-ca&amp;id=urn:contentItem:5MTX-HYD1-JNCK-2003-00000-00&amp;context=" TargetMode="External" /><Relationship Id="rId238" Type="http://schemas.openxmlformats.org/officeDocument/2006/relationships/hyperlink" Target="https://advance.lexis.com/api/document?collection=cases-ca&amp;id=urn:contentItem:5F7T-S771-JN14-G279-00000-00&amp;context=" TargetMode="External" /><Relationship Id="rId239" Type="http://schemas.openxmlformats.org/officeDocument/2006/relationships/hyperlink" Target="https://advance.lexis.com/api/document?collection=cases-ca&amp;id=urn:contentItem:5F7T-S7F1-FBN1-21M0-00000-00&amp;context=" TargetMode="External" /><Relationship Id="rId24" Type="http://schemas.openxmlformats.org/officeDocument/2006/relationships/header" Target="header7.xml" /><Relationship Id="rId240" Type="http://schemas.openxmlformats.org/officeDocument/2006/relationships/hyperlink" Target="https://advance.lexis.com/api/document?collection=cases-ca&amp;id=urn:contentItem:5F7T-S781-JSC5-M44J-00000-00&amp;context=" TargetMode="External" /><Relationship Id="rId241" Type="http://schemas.openxmlformats.org/officeDocument/2006/relationships/hyperlink" Target="https://advance.lexis.com/api/document?collection=cases-ca&amp;id=urn:contentItem:5F7T-S6S1-JNY7-X26R-00000-00&amp;context=" TargetMode="External" /><Relationship Id="rId242" Type="http://schemas.openxmlformats.org/officeDocument/2006/relationships/hyperlink" Target="https://advance.lexis.com/api/document?collection=cases-ca&amp;id=urn:contentItem:5F7T-S6V1-JFKM-60YP-00000-00&amp;context=" TargetMode="External" /><Relationship Id="rId243" Type="http://schemas.openxmlformats.org/officeDocument/2006/relationships/hyperlink" Target="https://advance.lexis.com/api/document?collection=cases-ca&amp;id=urn:contentItem:5R26-BBK1-FFMK-M34Y-00000-00&amp;context=" TargetMode="External" /><Relationship Id="rId244" Type="http://schemas.openxmlformats.org/officeDocument/2006/relationships/hyperlink" Target="https://advance.lexis.com/api/document?collection=cases-ca&amp;id=urn:contentItem:5F7T-S751-JCJ5-24PY-00000-00&amp;context=" TargetMode="External" /><Relationship Id="rId245" Type="http://schemas.openxmlformats.org/officeDocument/2006/relationships/hyperlink" Target="https://advance.lexis.com/api/document?collection=cases-ca&amp;id=urn:contentItem:5F7T-S7F1-FBN1-21H6-00000-00&amp;context=" TargetMode="External" /><Relationship Id="rId246" Type="http://schemas.openxmlformats.org/officeDocument/2006/relationships/hyperlink" Target="https://advance.lexis.com/api/document?collection=cases-ca&amp;id=urn:contentItem:5F7T-S7B1-FH4C-X392-00000-00&amp;context=" TargetMode="External" /><Relationship Id="rId247" Type="http://schemas.openxmlformats.org/officeDocument/2006/relationships/hyperlink" Target="https://advance.lexis.com/api/document?collection=cases-ca&amp;id=urn:contentItem:5F16-9351-F2MB-S0PF-00000-00&amp;context=" TargetMode="External" /><Relationship Id="rId248" Type="http://schemas.openxmlformats.org/officeDocument/2006/relationships/hyperlink" Target="https://advance.lexis.com/api/document?collection=cases-ca&amp;id=urn:contentItem:5F8N-K701-JYYX-63MD-00000-00&amp;context=" TargetMode="External" /><Relationship Id="rId249" Type="http://schemas.openxmlformats.org/officeDocument/2006/relationships/hyperlink" Target="https://advance.lexis.com/api/document?collection=cases-ca&amp;id=urn:contentItem:5F7T-S7K1-F1H1-223T-00000-00&amp;context=" TargetMode="External" /><Relationship Id="rId25" Type="http://schemas.openxmlformats.org/officeDocument/2006/relationships/header" Target="header8.xml" /><Relationship Id="rId250" Type="http://schemas.openxmlformats.org/officeDocument/2006/relationships/hyperlink" Target="https://advance.lexis.com/api/document?collection=cases-ca&amp;id=urn:contentItem:5F8T-N3V1-FC1F-M48G-00000-00&amp;context=" TargetMode="External" /><Relationship Id="rId251" Type="http://schemas.openxmlformats.org/officeDocument/2006/relationships/hyperlink" Target="https://advance.lexis.com/api/document?collection=cases-ca&amp;id=urn:contentItem:5F8T-N3V1-JTGH-B1DG-00000-00&amp;context=" TargetMode="External" /><Relationship Id="rId252" Type="http://schemas.openxmlformats.org/officeDocument/2006/relationships/hyperlink" Target="https://advance.lexis.com/api/document?collection=cases-ca&amp;id=urn:contentItem:5F7T-S781-F06F-23N8-00000-00&amp;context=" TargetMode="External" /><Relationship Id="rId253" Type="http://schemas.openxmlformats.org/officeDocument/2006/relationships/hyperlink" Target="https://advance.lexis.com/api/document?collection=cases-ca&amp;id=urn:contentItem:5F7T-S791-FJTD-G308-00000-00&amp;context=" TargetMode="External" /><Relationship Id="rId254" Type="http://schemas.openxmlformats.org/officeDocument/2006/relationships/hyperlink" Target="https://advance.lexis.com/api/document?collection=cases-ca&amp;id=urn:contentItem:5F82-1SF1-F4W2-63SN-00000-00&amp;context=" TargetMode="External" /><Relationship Id="rId255" Type="http://schemas.openxmlformats.org/officeDocument/2006/relationships/hyperlink" Target="https://advance.lexis.com/api/document?collection=cases-ca&amp;id=urn:contentItem:5F7T-S751-FJDY-X440-00000-00&amp;context=" TargetMode="External" /><Relationship Id="rId256" Type="http://schemas.openxmlformats.org/officeDocument/2006/relationships/hyperlink" Target="https://advance.lexis.com/api/document?collection=cases-ca&amp;id=urn:contentItem:5GGK-3MG1-JFSV-G01J-00000-00&amp;context=" TargetMode="External" /><Relationship Id="rId257" Type="http://schemas.openxmlformats.org/officeDocument/2006/relationships/hyperlink" Target="https://advance.lexis.com/api/document?collection=cases-ca&amp;id=urn:contentItem:5M07-NKX1-F7ND-G0MS-00000-00&amp;context=" TargetMode="External" /><Relationship Id="rId258" Type="http://schemas.openxmlformats.org/officeDocument/2006/relationships/hyperlink" Target="https://advance.lexis.com/api/document?collection=cases-ca&amp;id=urn:contentItem:5MN7-71N1-JCJ5-2490-00000-00&amp;context=" TargetMode="External" /><Relationship Id="rId259" Type="http://schemas.openxmlformats.org/officeDocument/2006/relationships/hyperlink" Target="https://advance.lexis.com/api/document?collection=cases-ca&amp;id=urn:contentItem:5T1W-59F1-FGCG-S3HR-00000-00&amp;context=" TargetMode="External" /><Relationship Id="rId26" Type="http://schemas.openxmlformats.org/officeDocument/2006/relationships/footer" Target="footer7.xml" /><Relationship Id="rId260" Type="http://schemas.openxmlformats.org/officeDocument/2006/relationships/hyperlink" Target="https://advance.lexis.com/api/document?collection=cases-ca&amp;id=urn:contentItem:5F16-9371-JT99-21P1-00000-00&amp;context=" TargetMode="External" /><Relationship Id="rId261" Type="http://schemas.openxmlformats.org/officeDocument/2006/relationships/hyperlink" Target="https://advance.lexis.com/api/document?collection=cases-ca&amp;id=urn:contentItem:5F16-9371-JGPY-X0FC-00000-00&amp;context=" TargetMode="External" /><Relationship Id="rId262" Type="http://schemas.openxmlformats.org/officeDocument/2006/relationships/hyperlink" Target="https://advance.lexis.com/api/document?collection=cases-ca&amp;id=urn:contentItem:5F7T-S791-JCJ5-2509-00000-00&amp;context=" TargetMode="External" /><Relationship Id="rId263" Type="http://schemas.openxmlformats.org/officeDocument/2006/relationships/hyperlink" Target="https://advance.lexis.com/api/document?collection=cases-ca&amp;id=urn:contentItem:5F7T-S7C1-F4NT-X3RV-00000-00&amp;context=" TargetMode="External" /><Relationship Id="rId264" Type="http://schemas.openxmlformats.org/officeDocument/2006/relationships/hyperlink" Target="https://advance.lexis.com/api/document?collection=cases-ca&amp;id=urn:contentItem:5F7T-S7D1-JS5Y-B21X-00000-00&amp;context=" TargetMode="External" /><Relationship Id="rId265" Type="http://schemas.openxmlformats.org/officeDocument/2006/relationships/hyperlink" Target="https://advance.lexis.com/api/document?collection=cases-ca&amp;id=urn:contentItem:5F7T-S7P1-JBDT-B11K-00000-00&amp;context=" TargetMode="External" /><Relationship Id="rId266" Type="http://schemas.openxmlformats.org/officeDocument/2006/relationships/hyperlink" Target="https://advance.lexis.com/api/document?collection=cases-ca&amp;id=urn:contentItem:5F7T-S7K1-F528-G2XX-00000-00&amp;context=" TargetMode="External" /><Relationship Id="rId267" Type="http://schemas.openxmlformats.org/officeDocument/2006/relationships/hyperlink" Target="https://advance.lexis.com/api/document?collection=cases-ca&amp;id=urn:contentItem:5F8T-N3V1-JTGH-B1BF-00000-00&amp;context=" TargetMode="External" /><Relationship Id="rId268" Type="http://schemas.openxmlformats.org/officeDocument/2006/relationships/hyperlink" Target="https://advance.lexis.com/api/document?collection=cases-ca&amp;id=urn:contentItem:5GCC-XVC1-JSRM-60MK-00000-00&amp;context=" TargetMode="External" /><Relationship Id="rId269" Type="http://schemas.openxmlformats.org/officeDocument/2006/relationships/hyperlink" Target="https://advance.lexis.com/api/document?collection=cases-ca&amp;id=urn:contentItem:5F7T-S7K1-JNY7-X4KC-00000-00&amp;context=" TargetMode="External" /><Relationship Id="rId27" Type="http://schemas.openxmlformats.org/officeDocument/2006/relationships/footer" Target="footer8.xml" /><Relationship Id="rId270" Type="http://schemas.openxmlformats.org/officeDocument/2006/relationships/hyperlink" Target="https://advance.lexis.com/api/document?collection=cases-ca&amp;id=urn:contentItem:5F8P-SF81-F22N-X1RR-00000-00&amp;context=" TargetMode="External" /><Relationship Id="rId271" Type="http://schemas.openxmlformats.org/officeDocument/2006/relationships/hyperlink" Target="https://advance.lexis.com/api/document?collection=cases-ca&amp;id=urn:contentItem:5F8T-N3V1-FC1F-M4BS-00000-00&amp;context=" TargetMode="External" /><Relationship Id="rId272" Type="http://schemas.openxmlformats.org/officeDocument/2006/relationships/hyperlink" Target="https://advance.lexis.com/api/document?collection=cases-ca&amp;id=urn:contentItem:5F7T-S781-JC5P-G1HX-00000-00&amp;context=" TargetMode="External" /><Relationship Id="rId273" Type="http://schemas.openxmlformats.org/officeDocument/2006/relationships/hyperlink" Target="https://advance.lexis.com/api/document?collection=cases-ca&amp;id=urn:contentItem:5F7T-S7B1-JCJ5-2072-00000-00&amp;context=" TargetMode="External" /><Relationship Id="rId274" Type="http://schemas.openxmlformats.org/officeDocument/2006/relationships/header" Target="header34.xml" /><Relationship Id="rId275" Type="http://schemas.openxmlformats.org/officeDocument/2006/relationships/header" Target="header35.xml" /><Relationship Id="rId276" Type="http://schemas.openxmlformats.org/officeDocument/2006/relationships/footer" Target="footer34.xml" /><Relationship Id="rId277" Type="http://schemas.openxmlformats.org/officeDocument/2006/relationships/footer" Target="footer35.xml" /><Relationship Id="rId278" Type="http://schemas.openxmlformats.org/officeDocument/2006/relationships/header" Target="header36.xml" /><Relationship Id="rId279" Type="http://schemas.openxmlformats.org/officeDocument/2006/relationships/footer" Target="footer36.xml" /><Relationship Id="rId28" Type="http://schemas.openxmlformats.org/officeDocument/2006/relationships/header" Target="header9.xml" /><Relationship Id="rId280" Type="http://schemas.openxmlformats.org/officeDocument/2006/relationships/hyperlink" Target="https://advance.lexis.com/api/document?collection=cases-ca&amp;id=urn:contentItem:5F7T-S7P1-JG02-S42Y-00000-00&amp;context=" TargetMode="External" /><Relationship Id="rId281" Type="http://schemas.openxmlformats.org/officeDocument/2006/relationships/hyperlink" Target="https://advance.lexis.com/api/document?collection=cases-ca&amp;id=urn:contentItem:5F7T-S761-JS5Y-B1XS-00000-00&amp;context=" TargetMode="External" /><Relationship Id="rId282" Type="http://schemas.openxmlformats.org/officeDocument/2006/relationships/hyperlink" Target="https://advance.lexis.com/api/document?collection=cases-ca&amp;id=urn:contentItem:5F7T-S751-JGHR-M1V2-00000-00&amp;context=" TargetMode="External" /><Relationship Id="rId283" Type="http://schemas.openxmlformats.org/officeDocument/2006/relationships/hyperlink" Target="https://advance.lexis.com/api/document?collection=cases-ca&amp;id=urn:contentItem:5F7T-S6V1-JFKM-61CW-00000-00&amp;context=" TargetMode="External" /><Relationship Id="rId284" Type="http://schemas.openxmlformats.org/officeDocument/2006/relationships/hyperlink" Target="https://advance.lexis.com/api/document?collection=cases-ca&amp;id=urn:contentItem:5F7T-S7J1-DXWW-24WM-00000-00&amp;context=" TargetMode="External" /><Relationship Id="rId285" Type="http://schemas.openxmlformats.org/officeDocument/2006/relationships/hyperlink" Target="https://advance.lexis.com/api/document?collection=cases-ca&amp;id=urn:contentItem:5F7T-S701-F8KH-X1MC-00000-00&amp;context=" TargetMode="External" /><Relationship Id="rId286" Type="http://schemas.openxmlformats.org/officeDocument/2006/relationships/hyperlink" Target="https://advance.lexis.com/api/document?collection=cases-ca&amp;id=urn:contentItem:5F7T-S7J1-FGCG-S06D-00000-00&amp;context=" TargetMode="External" /><Relationship Id="rId287" Type="http://schemas.openxmlformats.org/officeDocument/2006/relationships/hyperlink" Target="https://advance.lexis.com/api/document?collection=cases-ca&amp;id=urn:contentItem:5F7T-S751-JBM1-M21W-00000-00&amp;context=" TargetMode="External" /><Relationship Id="rId288" Type="http://schemas.openxmlformats.org/officeDocument/2006/relationships/hyperlink" Target="https://advance.lexis.com/api/document?collection=cases-ca&amp;id=urn:contentItem:5F7T-S761-JX8W-M330-00000-00&amp;context=" TargetMode="External" /><Relationship Id="rId289" Type="http://schemas.openxmlformats.org/officeDocument/2006/relationships/hyperlink" Target="https://advance.lexis.com/api/document?collection=cases-ca&amp;id=urn:contentItem:5F7T-S771-JJD0-G128-00000-00&amp;context=" TargetMode="External" /><Relationship Id="rId29" Type="http://schemas.openxmlformats.org/officeDocument/2006/relationships/footer" Target="footer9.xml" /><Relationship Id="rId290" Type="http://schemas.openxmlformats.org/officeDocument/2006/relationships/hyperlink" Target="https://advance.lexis.com/api/document?collection=cases-ca&amp;id=urn:contentItem:5F7T-S7C1-F30T-B22W-00000-00&amp;context=" TargetMode="External" /><Relationship Id="rId291" Type="http://schemas.openxmlformats.org/officeDocument/2006/relationships/hyperlink" Target="https://advance.lexis.com/api/document?collection=cases-ca&amp;id=urn:contentItem:5F7T-S7D1-F7ND-G08M-00000-00&amp;context=" TargetMode="External" /><Relationship Id="rId292" Type="http://schemas.openxmlformats.org/officeDocument/2006/relationships/hyperlink" Target="https://advance.lexis.com/api/document?collection=cases-ca&amp;id=urn:contentItem:5F7T-XPS1-F016-S53P-00000-00&amp;context=" TargetMode="External" /><Relationship Id="rId293" Type="http://schemas.openxmlformats.org/officeDocument/2006/relationships/hyperlink" Target="https://advance.lexis.com/api/document?collection=cases-ca&amp;id=urn:contentItem:5F7T-S7D1-JXG3-X0PB-00000-00&amp;context=" TargetMode="External" /><Relationship Id="rId294" Type="http://schemas.openxmlformats.org/officeDocument/2006/relationships/hyperlink" Target="https://advance.lexis.com/api/document?collection=cases-ca&amp;id=urn:contentItem:5F7T-S6Y1-F7G6-634G-00000-00&amp;context=" TargetMode="External" /><Relationship Id="rId295" Type="http://schemas.openxmlformats.org/officeDocument/2006/relationships/hyperlink" Target="https://advance.lexis.com/api/document?collection=cases-ca&amp;id=urn:contentItem:5F7T-S6T1-JJ1H-X221-00000-00&amp;context=" TargetMode="External" /><Relationship Id="rId296" Type="http://schemas.openxmlformats.org/officeDocument/2006/relationships/hyperlink" Target="https://advance.lexis.com/api/document?collection=cases-ca&amp;id=urn:contentItem:5F7T-S711-JNY7-X31W-00000-00&amp;context=" TargetMode="External" /><Relationship Id="rId297" Type="http://schemas.openxmlformats.org/officeDocument/2006/relationships/hyperlink" Target="https://advance.lexis.com/api/document?collection=cases-ca&amp;id=urn:contentItem:5F7T-S781-JC5P-G1JG-00000-00&amp;context=" TargetMode="External" /><Relationship Id="rId298" Type="http://schemas.openxmlformats.org/officeDocument/2006/relationships/hyperlink" Target="https://advance.lexis.com/api/document?collection=cases-ca&amp;id=urn:contentItem:5F7T-S7C1-F7VM-S386-00000-00&amp;context=" TargetMode="External" /><Relationship Id="rId299" Type="http://schemas.openxmlformats.org/officeDocument/2006/relationships/hyperlink" Target="https://advance.lexis.com/api/document?collection=cases-ca&amp;id=urn:contentItem:5F7T-S7J1-JGBH-B2H4-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H1-F4GK-M3DF-00000-00&amp;context=" TargetMode="External" /><Relationship Id="rId300" Type="http://schemas.openxmlformats.org/officeDocument/2006/relationships/header" Target="header37.xml" /><Relationship Id="rId301" Type="http://schemas.openxmlformats.org/officeDocument/2006/relationships/header" Target="header38.xml" /><Relationship Id="rId302" Type="http://schemas.openxmlformats.org/officeDocument/2006/relationships/footer" Target="footer37.xml" /><Relationship Id="rId303" Type="http://schemas.openxmlformats.org/officeDocument/2006/relationships/footer" Target="footer38.xml" /><Relationship Id="rId304" Type="http://schemas.openxmlformats.org/officeDocument/2006/relationships/header" Target="header39.xml" /><Relationship Id="rId305" Type="http://schemas.openxmlformats.org/officeDocument/2006/relationships/footer" Target="footer39.xml" /><Relationship Id="rId306" Type="http://schemas.openxmlformats.org/officeDocument/2006/relationships/hyperlink" Target="https://advance.lexis.com/api/document?collection=cases-ca&amp;id=urn:contentItem:5HWC-YXF1-F60C-X4P0-00000-00&amp;context=" TargetMode="External" /><Relationship Id="rId307" Type="http://schemas.openxmlformats.org/officeDocument/2006/relationships/hyperlink" Target="https://advance.lexis.com/api/document?collection=cases-ca&amp;id=urn:contentItem:5F7T-S7P1-JNJT-B2WB-00000-00&amp;context=" TargetMode="External" /><Relationship Id="rId308" Type="http://schemas.openxmlformats.org/officeDocument/2006/relationships/hyperlink" Target="https://advance.lexis.com/api/document?collection=legislation-ca&amp;id=urn:contentItem:5F41-1FG1-FC1F-M0TW-00000-00&amp;context=" TargetMode="External" /><Relationship Id="rId309" Type="http://schemas.openxmlformats.org/officeDocument/2006/relationships/hyperlink" Target="https://advance.lexis.com/api/document?collection=cases-ca&amp;id=urn:contentItem:5F7T-S7J1-DXWW-24S3-00000-00&amp;context=" TargetMode="External" /><Relationship Id="rId31" Type="http://schemas.openxmlformats.org/officeDocument/2006/relationships/hyperlink" Target="https://advance.lexis.com/api/document?collection=cases-ca&amp;id=urn:contentItem:5F7T-S7H1-JFSV-G36N-00000-00&amp;context=" TargetMode="External" /><Relationship Id="rId310" Type="http://schemas.openxmlformats.org/officeDocument/2006/relationships/hyperlink" Target="https://advance.lexis.com/api/document?collection=cases-ca&amp;id=urn:contentItem:5F7T-S7D1-FC6N-X0N3-00000-00&amp;context=" TargetMode="External" /><Relationship Id="rId311" Type="http://schemas.openxmlformats.org/officeDocument/2006/relationships/header" Target="header40.xml" /><Relationship Id="rId312" Type="http://schemas.openxmlformats.org/officeDocument/2006/relationships/header" Target="header41.xml" /><Relationship Id="rId313" Type="http://schemas.openxmlformats.org/officeDocument/2006/relationships/footer" Target="footer40.xml" /><Relationship Id="rId314" Type="http://schemas.openxmlformats.org/officeDocument/2006/relationships/footer" Target="footer41.xml" /><Relationship Id="rId315" Type="http://schemas.openxmlformats.org/officeDocument/2006/relationships/header" Target="header42.xml" /><Relationship Id="rId316" Type="http://schemas.openxmlformats.org/officeDocument/2006/relationships/footer" Target="footer42.xml" /><Relationship Id="rId317" Type="http://schemas.openxmlformats.org/officeDocument/2006/relationships/hyperlink" Target="https://advance.lexis.com/api/document?collection=cases-ca&amp;id=urn:contentItem:5F7T-S7C1-F30T-B26D-00000-00&amp;context=" TargetMode="External" /><Relationship Id="rId318" Type="http://schemas.openxmlformats.org/officeDocument/2006/relationships/hyperlink" Target="https://advance.lexis.com/api/document?collection=cases-ca&amp;id=urn:contentItem:5F7T-S6S1-FFTT-X0M2-00000-00&amp;context=" TargetMode="External" /><Relationship Id="rId319" Type="http://schemas.openxmlformats.org/officeDocument/2006/relationships/hyperlink" Target="https://advance.lexis.com/api/document?collection=cases-ca&amp;id=urn:contentItem:5F7T-S6X1-JXNB-62MG-00000-00&amp;context=" TargetMode="External" /><Relationship Id="rId32" Type="http://schemas.openxmlformats.org/officeDocument/2006/relationships/hyperlink" Target="https://advance.lexis.com/api/document?collection=cases-ca&amp;id=urn:contentItem:5F8T-N3V1-JF75-M39V-00000-00&amp;context=" TargetMode="External" /><Relationship Id="rId320" Type="http://schemas.openxmlformats.org/officeDocument/2006/relationships/hyperlink" Target="https://advance.lexis.com/api/document?collection=cases-ca&amp;id=urn:contentItem:5F82-1S91-JGBH-B49N-00000-00&amp;context=" TargetMode="External" /><Relationship Id="rId321" Type="http://schemas.openxmlformats.org/officeDocument/2006/relationships/hyperlink" Target="https://advance.lexis.com/api/document?collection=cases-ca&amp;id=urn:contentItem:5F8T-N3T1-JJSF-2334-00000-00&amp;context=" TargetMode="External" /><Relationship Id="rId322" Type="http://schemas.openxmlformats.org/officeDocument/2006/relationships/hyperlink" Target="https://advance.lexis.com/api/document?collection=cases-ca&amp;id=urn:contentItem:5F7T-S741-F528-G208-00000-00&amp;context=" TargetMode="External" /><Relationship Id="rId323" Type="http://schemas.openxmlformats.org/officeDocument/2006/relationships/hyperlink" Target="https://advance.lexis.com/api/document?collection=cases-ca&amp;id=urn:contentItem:5F7T-S7B1-F7ND-G4YN-00000-00&amp;context=" TargetMode="External" /><Relationship Id="rId324" Type="http://schemas.openxmlformats.org/officeDocument/2006/relationships/hyperlink" Target="https://advance.lexis.com/api/document?collection=cases-ca&amp;id=urn:contentItem:5F7T-S781-JC5P-G1HV-00000-00&amp;context=" TargetMode="External" /><Relationship Id="rId325" Type="http://schemas.openxmlformats.org/officeDocument/2006/relationships/hyperlink" Target="https://advance.lexis.com/api/document?collection=cases-ca&amp;id=urn:contentItem:5F82-1SF1-F4W2-63H6-00000-00&amp;context=" TargetMode="External" /><Relationship Id="rId326" Type="http://schemas.openxmlformats.org/officeDocument/2006/relationships/hyperlink" Target="https://advance.lexis.com/api/document?collection=cases-ca&amp;id=urn:contentItem:5F8T-N3V1-JF75-M3JV-00000-00&amp;context=" TargetMode="External" /><Relationship Id="rId327" Type="http://schemas.openxmlformats.org/officeDocument/2006/relationships/hyperlink" Target="https://advance.lexis.com/api/document?collection=cases-ca&amp;id=urn:contentItem:5F8T-N3V1-FC1F-M44H-00000-00&amp;context=" TargetMode="External" /><Relationship Id="rId328" Type="http://schemas.openxmlformats.org/officeDocument/2006/relationships/hyperlink" Target="https://advance.lexis.com/api/document?collection=cases-ca&amp;id=urn:contentItem:5F8T-N3T1-JJSF-23B2-00000-00&amp;context=" TargetMode="External" /><Relationship Id="rId329" Type="http://schemas.openxmlformats.org/officeDocument/2006/relationships/hyperlink" Target="https://advance.lexis.com/api/document?collection=cases-ca&amp;id=urn:contentItem:5F7H-KW51-JX8W-M1W1-00000-00&amp;context=" TargetMode="External" /><Relationship Id="rId33" Type="http://schemas.openxmlformats.org/officeDocument/2006/relationships/hyperlink" Target="https://advance.lexis.com/api/document?collection=cases-ca&amp;id=urn:contentItem:5F7T-S721-F5T5-M236-00000-00&amp;context=" TargetMode="External" /><Relationship Id="rId330" Type="http://schemas.openxmlformats.org/officeDocument/2006/relationships/header" Target="header43.xml" /><Relationship Id="rId331" Type="http://schemas.openxmlformats.org/officeDocument/2006/relationships/header" Target="header44.xml" /><Relationship Id="rId332" Type="http://schemas.openxmlformats.org/officeDocument/2006/relationships/footer" Target="footer43.xml" /><Relationship Id="rId333" Type="http://schemas.openxmlformats.org/officeDocument/2006/relationships/footer" Target="footer44.xml" /><Relationship Id="rId334" Type="http://schemas.openxmlformats.org/officeDocument/2006/relationships/header" Target="header45.xml" /><Relationship Id="rId335" Type="http://schemas.openxmlformats.org/officeDocument/2006/relationships/footer" Target="footer45.xml" /><Relationship Id="rId336" Type="http://schemas.openxmlformats.org/officeDocument/2006/relationships/hyperlink" Target="https://advance.lexis.com/api/document?collection=cases-ca&amp;id=urn:contentItem:5G74-D9V1-F2TK-22FS-00000-00&amp;context=" TargetMode="External" /><Relationship Id="rId337" Type="http://schemas.openxmlformats.org/officeDocument/2006/relationships/hyperlink" Target="https://advance.lexis.com/api/document?collection=cases-ca&amp;id=urn:contentItem:5F8T-N3V1-FH4C-X1XK-00000-00&amp;context=" TargetMode="External" /><Relationship Id="rId338" Type="http://schemas.openxmlformats.org/officeDocument/2006/relationships/hyperlink" Target="https://advance.lexis.com/api/document?collection=cases-ca&amp;id=urn:contentItem:5F8T-N3T1-JJSF-236M-00000-00&amp;context=" TargetMode="External" /><Relationship Id="rId339" Type="http://schemas.openxmlformats.org/officeDocument/2006/relationships/hyperlink" Target="https://advance.lexis.com/api/document?collection=cases-ca&amp;id=urn:contentItem:5F8T-N3V1-JTGH-B0Y8-00000-00&amp;context=" TargetMode="External" /><Relationship Id="rId34" Type="http://schemas.openxmlformats.org/officeDocument/2006/relationships/hyperlink" Target="https://advance.lexis.com/api/document?collection=cases-ca&amp;id=urn:contentItem:5F7T-S6Y1-DY33-B06C-00000-00&amp;context=" TargetMode="External" /><Relationship Id="rId340" Type="http://schemas.openxmlformats.org/officeDocument/2006/relationships/hyperlink" Target="https://advance.lexis.com/api/document?collection=cases-ca&amp;id=urn:contentItem:5F8T-N3V1-FC1F-M42M-00000-00&amp;context=" TargetMode="External" /><Relationship Id="rId341" Type="http://schemas.openxmlformats.org/officeDocument/2006/relationships/hyperlink" Target="https://advance.lexis.com/api/document?collection=cases-ca&amp;id=urn:contentItem:5F8T-N3V1-FC1F-M42N-00000-00&amp;context=" TargetMode="External" /><Relationship Id="rId342" Type="http://schemas.openxmlformats.org/officeDocument/2006/relationships/header" Target="header46.xml" /><Relationship Id="rId343" Type="http://schemas.openxmlformats.org/officeDocument/2006/relationships/header" Target="header47.xml" /><Relationship Id="rId344" Type="http://schemas.openxmlformats.org/officeDocument/2006/relationships/footer" Target="footer46.xml" /><Relationship Id="rId345" Type="http://schemas.openxmlformats.org/officeDocument/2006/relationships/footer" Target="footer47.xml" /><Relationship Id="rId346" Type="http://schemas.openxmlformats.org/officeDocument/2006/relationships/header" Target="header48.xml" /><Relationship Id="rId347" Type="http://schemas.openxmlformats.org/officeDocument/2006/relationships/footer" Target="footer48.xml" /><Relationship Id="rId348" Type="http://schemas.openxmlformats.org/officeDocument/2006/relationships/hyperlink" Target="https://advance.lexis.com/api/document?collection=cases-ca&amp;id=urn:contentItem:5RT9-Y8R1-DXWW-2175-00000-00&amp;context=" TargetMode="External" /><Relationship Id="rId349" Type="http://schemas.openxmlformats.org/officeDocument/2006/relationships/hyperlink" Target="https://advance.lexis.com/api/document?collection=cases-ca&amp;id=urn:contentItem:5PTJ-X351-FD4T-B2SX-00000-00&amp;context=" TargetMode="External" /><Relationship Id="rId35" Type="http://schemas.openxmlformats.org/officeDocument/2006/relationships/hyperlink" Target="https://advance.lexis.com/api/document?collection=cases-ca&amp;id=urn:contentItem:5F7T-S721-F956-S1DP-00000-00&amp;context=" TargetMode="External" /><Relationship Id="rId350" Type="http://schemas.openxmlformats.org/officeDocument/2006/relationships/hyperlink" Target="https://advance.lexis.com/api/document?collection=cases-ca&amp;id=urn:contentItem:5K6Y-81M1-JJ1H-X2J7-00000-00&amp;context=" TargetMode="External" /><Relationship Id="rId351" Type="http://schemas.openxmlformats.org/officeDocument/2006/relationships/hyperlink" Target="https://advance.lexis.com/api/document?collection=cases-ca&amp;id=urn:contentItem:5F8T-N3V1-JFKM-609S-00000-00&amp;context=" TargetMode="External" /><Relationship Id="rId352" Type="http://schemas.openxmlformats.org/officeDocument/2006/relationships/hyperlink" Target="https://advance.lexis.com/api/document?collection=cases-ca&amp;id=urn:contentItem:5F8T-N3V1-JTGH-B1J4-00000-00&amp;context=" TargetMode="External" /><Relationship Id="rId353" Type="http://schemas.openxmlformats.org/officeDocument/2006/relationships/hyperlink" Target="https://advance.lexis.com/api/document?collection=cases-ca&amp;id=urn:contentItem:5F8T-N3V1-FC1F-M48M-00000-00&amp;context=" TargetMode="External" /><Relationship Id="rId354" Type="http://schemas.openxmlformats.org/officeDocument/2006/relationships/hyperlink" Target="https://advance.lexis.com/api/document?collection=cases-ca&amp;id=urn:contentItem:5F8T-N3V1-FC1F-M44Y-00000-00&amp;context=" TargetMode="External" /><Relationship Id="rId355" Type="http://schemas.openxmlformats.org/officeDocument/2006/relationships/hyperlink" Target="https://advance.lexis.com/api/document?collection=cases-ca&amp;id=urn:contentItem:5F8T-N3T1-JFKM-6545-00000-00&amp;context=" TargetMode="External" /><Relationship Id="rId356" Type="http://schemas.openxmlformats.org/officeDocument/2006/relationships/hyperlink" Target="https://advance.lexis.com/api/document?collection=cases-ca&amp;id=urn:contentItem:5F7T-S6W1-F7ND-G2MW-00000-00&amp;context=" TargetMode="External" /><Relationship Id="rId357" Type="http://schemas.openxmlformats.org/officeDocument/2006/relationships/hyperlink" Target="https://advance.lexis.com/api/document?collection=cases-ca&amp;id=urn:contentItem:5F7T-S7M1-DYMS-62G4-00000-00&amp;context=" TargetMode="External" /><Relationship Id="rId358" Type="http://schemas.openxmlformats.org/officeDocument/2006/relationships/hyperlink" Target="https://advance.lexis.com/api/document?collection=cases-ca&amp;id=urn:contentItem:5F7T-S751-F361-M0XX-00000-00&amp;context=" TargetMode="External" /><Relationship Id="rId359" Type="http://schemas.openxmlformats.org/officeDocument/2006/relationships/hyperlink" Target="https://advance.lexis.com/api/document?collection=cases-ca&amp;id=urn:contentItem:5F8W-M441-FFTT-X3H6-00000-00&amp;context=" TargetMode="External" /><Relationship Id="rId36" Type="http://schemas.openxmlformats.org/officeDocument/2006/relationships/hyperlink" Target="https://advance.lexis.com/api/document?collection=cases-ca&amp;id=urn:contentItem:5F7T-S751-JNS1-M1T9-00000-00&amp;context=" TargetMode="External" /><Relationship Id="rId360" Type="http://schemas.openxmlformats.org/officeDocument/2006/relationships/hyperlink" Target="https://advance.lexis.com/api/document?collection=cases-ca&amp;id=urn:contentItem:5F8T-N3V1-JF75-M3KC-00000-00&amp;context=" TargetMode="External" /><Relationship Id="rId361" Type="http://schemas.openxmlformats.org/officeDocument/2006/relationships/hyperlink" Target="https://advance.lexis.com/api/document?collection=cases-ca&amp;id=urn:contentItem:5F81-VJX1-FGY5-M3M8-00000-00&amp;context=" TargetMode="External" /><Relationship Id="rId362" Type="http://schemas.openxmlformats.org/officeDocument/2006/relationships/hyperlink" Target="https://advance.lexis.com/api/document?collection=cases-ca&amp;id=urn:contentItem:5F81-VJX1-FD4T-B2RP-00000-00&amp;context=" TargetMode="External" /><Relationship Id="rId363" Type="http://schemas.openxmlformats.org/officeDocument/2006/relationships/hyperlink" Target="https://advance.lexis.com/api/document?collection=cases-ca&amp;id=urn:contentItem:5F81-VJX1-FD4T-B2TH-00000-00&amp;context=" TargetMode="External" /><Relationship Id="rId364" Type="http://schemas.openxmlformats.org/officeDocument/2006/relationships/hyperlink" Target="https://advance.lexis.com/api/document?collection=cases-ca&amp;id=urn:contentItem:5F82-1SF1-F1P7-B3WJ-00000-00&amp;context=" TargetMode="External" /><Relationship Id="rId365" Type="http://schemas.openxmlformats.org/officeDocument/2006/relationships/hyperlink" Target="https://advance.lexis.com/api/document?collection=cases-ca&amp;id=urn:contentItem:5F81-VJY1-JPGX-S4TV-00000-00&amp;context=" TargetMode="External" /><Relationship Id="rId366" Type="http://schemas.openxmlformats.org/officeDocument/2006/relationships/hyperlink" Target="https://advance.lexis.com/api/document?collection=cases-ca&amp;id=urn:contentItem:5MS1-JVC1-F7VM-S3SM-00000-00&amp;context=" TargetMode="External" /><Relationship Id="rId367" Type="http://schemas.openxmlformats.org/officeDocument/2006/relationships/hyperlink" Target="https://advance.lexis.com/api/document?collection=cases-ca&amp;id=urn:contentItem:5KXB-0V01-JGPY-X00X-00000-00&amp;context=" TargetMode="External" /><Relationship Id="rId368" Type="http://schemas.openxmlformats.org/officeDocument/2006/relationships/hyperlink" Target="https://advance.lexis.com/api/document?collection=cases-ca&amp;id=urn:contentItem:5PMN-R051-JJD0-G16D-00000-00&amp;context=" TargetMode="External" /><Relationship Id="rId369" Type="http://schemas.openxmlformats.org/officeDocument/2006/relationships/hyperlink" Target="https://advance.lexis.com/api/document?collection=cases-ca&amp;id=urn:contentItem:5F8P-SFM1-JJYN-B4FV-00000-00&amp;context=" TargetMode="External" /><Relationship Id="rId37" Type="http://schemas.openxmlformats.org/officeDocument/2006/relationships/header" Target="header10.xml" /><Relationship Id="rId370" Type="http://schemas.openxmlformats.org/officeDocument/2006/relationships/hyperlink" Target="https://advance.lexis.com/api/document?collection=cases-ca&amp;id=urn:contentItem:5F8P-SFN1-F2TK-2402-00000-00&amp;context=" TargetMode="External" /><Relationship Id="rId371" Type="http://schemas.openxmlformats.org/officeDocument/2006/relationships/hyperlink" Target="https://advance.lexis.com/api/document?collection=cases-ca&amp;id=urn:contentItem:5F82-1SJ1-FGY5-M4PS-00000-00&amp;context=" TargetMode="External" /><Relationship Id="rId372" Type="http://schemas.openxmlformats.org/officeDocument/2006/relationships/hyperlink" Target="https://advance.lexis.com/api/document?collection=cases-ca&amp;id=urn:contentItem:5P0R-T711-FH4C-X4NS-00000-00&amp;context=" TargetMode="External" /><Relationship Id="rId373" Type="http://schemas.openxmlformats.org/officeDocument/2006/relationships/hyperlink" Target="https://advance.lexis.com/api/document?collection=cases-ca&amp;id=urn:contentItem:5F7T-S7G1-JX3N-B2JF-00000-00&amp;context=" TargetMode="External" /><Relationship Id="rId374" Type="http://schemas.openxmlformats.org/officeDocument/2006/relationships/header" Target="header49.xml" /><Relationship Id="rId375" Type="http://schemas.openxmlformats.org/officeDocument/2006/relationships/header" Target="header50.xml" /><Relationship Id="rId376" Type="http://schemas.openxmlformats.org/officeDocument/2006/relationships/footer" Target="footer49.xml" /><Relationship Id="rId377" Type="http://schemas.openxmlformats.org/officeDocument/2006/relationships/footer" Target="footer50.xml" /><Relationship Id="rId378" Type="http://schemas.openxmlformats.org/officeDocument/2006/relationships/header" Target="header51.xml" /><Relationship Id="rId379" Type="http://schemas.openxmlformats.org/officeDocument/2006/relationships/footer" Target="footer51.xml" /><Relationship Id="rId38" Type="http://schemas.openxmlformats.org/officeDocument/2006/relationships/header" Target="header11.xml" /><Relationship Id="rId380" Type="http://schemas.openxmlformats.org/officeDocument/2006/relationships/hyperlink" Target="https://advance.lexis.com/api/document?collection=cases-ca&amp;id=urn:contentItem:5W83-RC81-DY89-M013-00000-00&amp;context=" TargetMode="External" /><Relationship Id="rId381" Type="http://schemas.openxmlformats.org/officeDocument/2006/relationships/hyperlink" Target="https://advance.lexis.com/api/document?collection=legislation-ca&amp;id=urn:contentItem:5F41-1FG1-JJYN-B084-00000-00&amp;context=" TargetMode="External" /><Relationship Id="rId382" Type="http://schemas.openxmlformats.org/officeDocument/2006/relationships/hyperlink" Target="https://advance.lexis.com/api/document?collection=cases-ca&amp;id=urn:contentItem:5F7T-S7H1-JFKM-627B-00000-00&amp;context=" TargetMode="External" /><Relationship Id="rId383" Type="http://schemas.openxmlformats.org/officeDocument/2006/relationships/hyperlink" Target="https://advance.lexis.com/api/document?collection=cases-ca&amp;id=urn:contentItem:5F7T-S7P1-JP4G-61KJ-00000-00&amp;context=" TargetMode="External" /><Relationship Id="rId384" Type="http://schemas.openxmlformats.org/officeDocument/2006/relationships/hyperlink" Target="https://advance.lexis.com/api/document?collection=cases-ca&amp;id=urn:contentItem:5F7T-S7D1-JG02-S2K6-00000-00&amp;context=" TargetMode="External" /><Relationship Id="rId385" Type="http://schemas.openxmlformats.org/officeDocument/2006/relationships/hyperlink" Target="https://advance.lexis.com/api/document?collection=cases-ca&amp;id=urn:contentItem:5F7T-S7K1-JWXF-2184-00000-00&amp;context=" TargetMode="External" /><Relationship Id="rId386" Type="http://schemas.openxmlformats.org/officeDocument/2006/relationships/hyperlink" Target="https://advance.lexis.com/api/document?collection=cases-ca&amp;id=urn:contentItem:5TWR-3431-JKB3-X2D7-00000-00&amp;context=" TargetMode="External" /><Relationship Id="rId387" Type="http://schemas.openxmlformats.org/officeDocument/2006/relationships/hyperlink" Target="https://advance.lexis.com/api/document?collection=cases-ca&amp;id=urn:contentItem:5F7T-S781-F06F-23M6-00000-00&amp;context=" TargetMode="External" /><Relationship Id="rId388" Type="http://schemas.openxmlformats.org/officeDocument/2006/relationships/hyperlink" Target="https://advance.lexis.com/api/document?collection=cases-ca&amp;id=urn:contentItem:5F7T-S7F1-JBT7-X35F-00000-00&amp;context=" TargetMode="External" /><Relationship Id="rId389" Type="http://schemas.openxmlformats.org/officeDocument/2006/relationships/hyperlink" Target="https://advance.lexis.com/api/document?collection=cases-ca&amp;id=urn:contentItem:5F7T-S6W1-JYYX-61TY-00000-00&amp;context=" TargetMode="External" /><Relationship Id="rId39" Type="http://schemas.openxmlformats.org/officeDocument/2006/relationships/footer" Target="footer10.xml" /><Relationship Id="rId390" Type="http://schemas.openxmlformats.org/officeDocument/2006/relationships/hyperlink" Target="https://advance.lexis.com/api/document?collection=cases-ca&amp;id=urn:contentItem:5GCC-XVC1-JSRM-60HK-00000-00&amp;context=" TargetMode="External" /><Relationship Id="rId391" Type="http://schemas.openxmlformats.org/officeDocument/2006/relationships/hyperlink" Target="https://advance.lexis.com/api/document?collection=cases-ca&amp;id=urn:contentItem:5F7T-S7K1-F1H1-22DB-00000-00&amp;context=" TargetMode="External" /><Relationship Id="rId392" Type="http://schemas.openxmlformats.org/officeDocument/2006/relationships/hyperlink" Target="https://advance.lexis.com/api/document?collection=cases-ca&amp;id=urn:contentItem:5NPW-1VK1-JB7K-20WD-00000-00&amp;context=" TargetMode="External" /><Relationship Id="rId393" Type="http://schemas.openxmlformats.org/officeDocument/2006/relationships/hyperlink" Target="https://advance.lexis.com/api/document?collection=cases-ca&amp;id=urn:contentItem:5F7T-S6X1-F7ND-G3V4-00000-00&amp;context=" TargetMode="External" /><Relationship Id="rId394" Type="http://schemas.openxmlformats.org/officeDocument/2006/relationships/hyperlink" Target="https://advance.lexis.com/api/document?collection=cases-ca&amp;id=urn:contentItem:5F7T-S771-JN14-G2DF-00000-00&amp;context=" TargetMode="External" /><Relationship Id="rId395" Type="http://schemas.openxmlformats.org/officeDocument/2006/relationships/hyperlink" Target="https://advance.lexis.com/api/document?collection=cases-ca&amp;id=urn:contentItem:5F7T-S7C1-JCJ5-20DN-00000-00&amp;context=" TargetMode="External" /><Relationship Id="rId396" Type="http://schemas.openxmlformats.org/officeDocument/2006/relationships/hyperlink" Target="https://advance.lexis.com/api/document?collection=cases-ca&amp;id=urn:contentItem:5F7T-S751-JBM1-M227-00000-00&amp;context=" TargetMode="External" /><Relationship Id="rId397" Type="http://schemas.openxmlformats.org/officeDocument/2006/relationships/hyperlink" Target="https://advance.lexis.com/api/document?collection=cases-ca&amp;id=urn:contentItem:5F7T-S7G1-JPP5-2239-00000-00&amp;context=" TargetMode="External" /><Relationship Id="rId398" Type="http://schemas.openxmlformats.org/officeDocument/2006/relationships/hyperlink" Target="https://advance.lexis.com/api/document?collection=cases-ca&amp;id=urn:contentItem:5F7T-S761-FGJR-22F0-00000-00&amp;context=" TargetMode="External" /><Relationship Id="rId399" Type="http://schemas.openxmlformats.org/officeDocument/2006/relationships/hyperlink" Target="https://advance.lexis.com/api/document?collection=cases-ca&amp;id=urn:contentItem:5F7T-S7H1-F4GK-M325-00000-00&amp;context=" TargetMode="External" /><Relationship Id="rId4" Type="http://schemas.openxmlformats.org/officeDocument/2006/relationships/header" Target="header1.xml" /><Relationship Id="rId40" Type="http://schemas.openxmlformats.org/officeDocument/2006/relationships/footer" Target="footer11.xml" /><Relationship Id="rId400" Type="http://schemas.openxmlformats.org/officeDocument/2006/relationships/hyperlink" Target="https://advance.lexis.com/api/document?collection=cases-ca&amp;id=urn:contentItem:5F7T-S701-JJ6S-61P3-00000-00&amp;context=" TargetMode="External" /><Relationship Id="rId401" Type="http://schemas.openxmlformats.org/officeDocument/2006/relationships/hyperlink" Target="https://advance.lexis.com/api/document?collection=cases-ca&amp;id=urn:contentItem:5F81-VJX1-F5KY-B4G9-00000-00&amp;context=" TargetMode="External" /><Relationship Id="rId402" Type="http://schemas.openxmlformats.org/officeDocument/2006/relationships/hyperlink" Target="https://advance.lexis.com/api/document?collection=cases-ca&amp;id=urn:contentItem:5F7T-S7M1-JPP5-22J6-00000-00&amp;context=" TargetMode="External" /><Relationship Id="rId403" Type="http://schemas.openxmlformats.org/officeDocument/2006/relationships/hyperlink" Target="https://advance.lexis.com/api/document?collection=cases-ca&amp;id=urn:contentItem:5F7T-S7M1-JFSV-G3V3-00000-00&amp;context=" TargetMode="External" /><Relationship Id="rId404" Type="http://schemas.openxmlformats.org/officeDocument/2006/relationships/hyperlink" Target="https://advance.lexis.com/api/document?collection=cases-ca&amp;id=urn:contentItem:5J58-W6W1-FG12-61N9-00000-00&amp;context=" TargetMode="External" /><Relationship Id="rId405" Type="http://schemas.openxmlformats.org/officeDocument/2006/relationships/hyperlink" Target="https://advance.lexis.com/api/document?collection=cases-ca&amp;id=urn:contentItem:5F7T-S741-F528-G21K-00000-00&amp;context=" TargetMode="External" /><Relationship Id="rId406" Type="http://schemas.openxmlformats.org/officeDocument/2006/relationships/hyperlink" Target="https://advance.lexis.com/api/document?collection=cases-ca&amp;id=urn:contentItem:5P45-GNC1-FG68-G3P7-00000-00&amp;context=" TargetMode="External" /><Relationship Id="rId407" Type="http://schemas.openxmlformats.org/officeDocument/2006/relationships/hyperlink" Target="https://advance.lexis.com/api/document?collection=cases-ca&amp;id=urn:contentItem:5F7T-S7D1-F7ND-G0FM-00000-00&amp;context=" TargetMode="External" /><Relationship Id="rId408" Type="http://schemas.openxmlformats.org/officeDocument/2006/relationships/hyperlink" Target="https://advance.lexis.com/api/document?collection=cases-ca&amp;id=urn:contentItem:5F7T-S6T1-JTNR-M2MX-00000-00&amp;context=" TargetMode="External" /><Relationship Id="rId409" Type="http://schemas.openxmlformats.org/officeDocument/2006/relationships/header" Target="header52.xml" /><Relationship Id="rId41" Type="http://schemas.openxmlformats.org/officeDocument/2006/relationships/header" Target="header12.xml" /><Relationship Id="rId410" Type="http://schemas.openxmlformats.org/officeDocument/2006/relationships/header" Target="header53.xml" /><Relationship Id="rId411" Type="http://schemas.openxmlformats.org/officeDocument/2006/relationships/footer" Target="footer52.xml" /><Relationship Id="rId412" Type="http://schemas.openxmlformats.org/officeDocument/2006/relationships/footer" Target="footer53.xml" /><Relationship Id="rId413" Type="http://schemas.openxmlformats.org/officeDocument/2006/relationships/header" Target="header54.xml" /><Relationship Id="rId414" Type="http://schemas.openxmlformats.org/officeDocument/2006/relationships/footer" Target="footer54.xml" /><Relationship Id="rId415" Type="http://schemas.openxmlformats.org/officeDocument/2006/relationships/hyperlink" Target="https://advance.lexis.com/api/document?collection=cases-ca&amp;id=urn:contentItem:5K6Y-81T1-F7VM-S3SG-00000-00&amp;context=" TargetMode="External" /><Relationship Id="rId416" Type="http://schemas.openxmlformats.org/officeDocument/2006/relationships/header" Target="header55.xml" /><Relationship Id="rId417" Type="http://schemas.openxmlformats.org/officeDocument/2006/relationships/header" Target="header56.xml" /><Relationship Id="rId418" Type="http://schemas.openxmlformats.org/officeDocument/2006/relationships/footer" Target="footer55.xml" /><Relationship Id="rId419" Type="http://schemas.openxmlformats.org/officeDocument/2006/relationships/footer" Target="footer56.xml" /><Relationship Id="rId42" Type="http://schemas.openxmlformats.org/officeDocument/2006/relationships/footer" Target="footer12.xml" /><Relationship Id="rId420" Type="http://schemas.openxmlformats.org/officeDocument/2006/relationships/header" Target="header57.xml" /><Relationship Id="rId421" Type="http://schemas.openxmlformats.org/officeDocument/2006/relationships/footer" Target="footer57.xml" /><Relationship Id="rId422" Type="http://schemas.openxmlformats.org/officeDocument/2006/relationships/hyperlink" Target="https://advance.lexis.com/api/document?collection=cases-ca&amp;id=urn:contentItem:5W6N-2JC1-JS0R-245W-00000-00&amp;context=" TargetMode="External" /><Relationship Id="rId423" Type="http://schemas.openxmlformats.org/officeDocument/2006/relationships/hyperlink" Target="https://advance.lexis.com/api/document?collection=legislation-ca&amp;id=urn:contentItem:5F41-1FH1-F361-M0FB-00000-00&amp;context=" TargetMode="External" /><Relationship Id="rId424" Type="http://schemas.openxmlformats.org/officeDocument/2006/relationships/hyperlink" Target="https://advance.lexis.com/api/document?collection=cases-ca&amp;id=urn:contentItem:5F7T-S7N1-JGHR-M3DB-00000-00&amp;context=" TargetMode="External" /><Relationship Id="rId425" Type="http://schemas.openxmlformats.org/officeDocument/2006/relationships/hyperlink" Target="https://advance.lexis.com/api/document?collection=cases-ca&amp;id=urn:contentItem:5F8T-N3V1-JF75-M3KJ-00000-00&amp;context=" TargetMode="External" /><Relationship Id="rId426" Type="http://schemas.openxmlformats.org/officeDocument/2006/relationships/hyperlink" Target="https://advance.lexis.com/api/document?collection=cases-ca&amp;id=urn:contentItem:5F7T-S7D1-FBFS-S1M7-00000-00&amp;context=" TargetMode="External" /><Relationship Id="rId427" Type="http://schemas.openxmlformats.org/officeDocument/2006/relationships/hyperlink" Target="https://advance.lexis.com/api/document?collection=cases-ca&amp;id=urn:contentItem:5F82-1SF1-F361-M45M-00000-00&amp;context=" TargetMode="External" /><Relationship Id="rId428" Type="http://schemas.openxmlformats.org/officeDocument/2006/relationships/hyperlink" Target="https://advance.lexis.com/api/document?collection=cases-ca&amp;id=urn:contentItem:5V8K-JSK1-FFTT-X0T4-00000-00&amp;context=" TargetMode="External" /><Relationship Id="rId429" Type="http://schemas.openxmlformats.org/officeDocument/2006/relationships/hyperlink" Target="https://advance.lexis.com/api/document?collection=cases-ca&amp;id=urn:contentItem:5PPC-9T11-JWJ0-G269-00000-00&amp;context=" TargetMode="External" /><Relationship Id="rId43" Type="http://schemas.openxmlformats.org/officeDocument/2006/relationships/hyperlink" Target="https://advance.lexis.com/api/document?collection=cases-ca&amp;id=urn:contentItem:5F7T-S791-JCJ5-2515-00000-00&amp;context=" TargetMode="External" /><Relationship Id="rId430" Type="http://schemas.openxmlformats.org/officeDocument/2006/relationships/hyperlink" Target="https://advance.lexis.com/api/document?collection=cases-ca&amp;id=urn:contentItem:5F7T-S7J1-JYYX-6253-00000-00&amp;context=" TargetMode="External" /><Relationship Id="rId431" Type="http://schemas.openxmlformats.org/officeDocument/2006/relationships/hyperlink" Target="https://advance.lexis.com/api/document?collection=cases-ca&amp;id=urn:contentItem:5F7T-S7N1-F06F-24CV-00000-00&amp;context=" TargetMode="External" /><Relationship Id="rId432" Type="http://schemas.openxmlformats.org/officeDocument/2006/relationships/hyperlink" Target="https://advance.lexis.com/api/document?collection=cases-ca&amp;id=urn:contentItem:5F7T-S7N1-DXWW-2087-00000-00&amp;context=" TargetMode="External" /><Relationship Id="rId433" Type="http://schemas.openxmlformats.org/officeDocument/2006/relationships/hyperlink" Target="https://advance.lexis.com/api/document?collection=cases-ca&amp;id=urn:contentItem:5P5N-TT41-JKPJ-G259-00000-00&amp;context=" TargetMode="External" /><Relationship Id="rId434" Type="http://schemas.openxmlformats.org/officeDocument/2006/relationships/hyperlink" Target="https://advance.lexis.com/api/document?collection=cases-ca&amp;id=urn:contentItem:5F7T-S7K1-JKHB-62PC-00000-00&amp;context=" TargetMode="External" /><Relationship Id="rId435" Type="http://schemas.openxmlformats.org/officeDocument/2006/relationships/hyperlink" Target="https://advance.lexis.com/api/document?collection=cases-ca&amp;id=urn:contentItem:5F7T-S7K1-DY33-B1KT-00000-00&amp;context=" TargetMode="External" /><Relationship Id="rId436" Type="http://schemas.openxmlformats.org/officeDocument/2006/relationships/hyperlink" Target="https://advance.lexis.com/api/document?collection=cases-ca&amp;id=urn:contentItem:5W30-JV41-F016-S4TW-00000-00&amp;context=" TargetMode="External" /><Relationship Id="rId437" Type="http://schemas.openxmlformats.org/officeDocument/2006/relationships/hyperlink" Target="https://advance.lexis.com/api/document?collection=cases-ca&amp;id=urn:contentItem:5F7T-S7K1-JSJC-X168-00000-00&amp;context=" TargetMode="External" /><Relationship Id="rId438" Type="http://schemas.openxmlformats.org/officeDocument/2006/relationships/hyperlink" Target="https://advance.lexis.com/api/document?collection=cases-ca&amp;id=urn:contentItem:5F7T-S701-JF75-M4DT-00000-00&amp;context=" TargetMode="External" /><Relationship Id="rId439" Type="http://schemas.openxmlformats.org/officeDocument/2006/relationships/hyperlink" Target="https://advance.lexis.com/api/document?collection=cases-ca&amp;id=urn:contentItem:5F7T-S731-DY33-B0YN-00000-00&amp;context=" TargetMode="External" /><Relationship Id="rId44" Type="http://schemas.openxmlformats.org/officeDocument/2006/relationships/hyperlink" Target="https://advance.lexis.com/api/document?collection=legislation-ca&amp;id=urn:contentItem:5F41-1FP1-JKHB-60SM-00000-00&amp;context=" TargetMode="External" /><Relationship Id="rId440" Type="http://schemas.openxmlformats.org/officeDocument/2006/relationships/hyperlink" Target="https://advance.lexis.com/api/document?collection=cases-ca&amp;id=urn:contentItem:5F8T-N3V1-JF75-M3S6-00000-00&amp;context=" TargetMode="External" /><Relationship Id="rId441" Type="http://schemas.openxmlformats.org/officeDocument/2006/relationships/hyperlink" Target="https://advance.lexis.com/api/document?collection=cases-ca&amp;id=urn:contentItem:5F7T-S6W1-JB7K-21F4-00000-00&amp;context=" TargetMode="External" /><Relationship Id="rId442" Type="http://schemas.openxmlformats.org/officeDocument/2006/relationships/hyperlink" Target="https://advance.lexis.com/api/document?collection=cases-ca&amp;id=urn:contentItem:5F7T-S6X1-JTNR-M3X3-00000-00&amp;context=" TargetMode="External" /><Relationship Id="rId443" Type="http://schemas.openxmlformats.org/officeDocument/2006/relationships/hyperlink" Target="https://advance.lexis.com/api/document?collection=cases-ca&amp;id=urn:contentItem:5F7T-S771-JN14-G2PR-00000-00&amp;context=" TargetMode="External" /><Relationship Id="rId444" Type="http://schemas.openxmlformats.org/officeDocument/2006/relationships/hyperlink" Target="https://advance.lexis.com/api/document?collection=cases-ca&amp;id=urn:contentItem:5F7T-S6W1-JYYX-61TX-00000-00&amp;context=" TargetMode="External" /><Relationship Id="rId445" Type="http://schemas.openxmlformats.org/officeDocument/2006/relationships/hyperlink" Target="https://advance.lexis.com/api/document?collection=cases-ca&amp;id=urn:contentItem:5F7T-S7N1-JW09-M12P-00000-00&amp;context=" TargetMode="External" /><Relationship Id="rId446" Type="http://schemas.openxmlformats.org/officeDocument/2006/relationships/hyperlink" Target="https://advance.lexis.com/api/document?collection=cases-ca&amp;id=urn:contentItem:5F7T-S7K1-DY33-B1K8-00000-00&amp;context=" TargetMode="External" /><Relationship Id="rId447" Type="http://schemas.openxmlformats.org/officeDocument/2006/relationships/hyperlink" Target="https://advance.lexis.com/api/document?collection=cases-ca&amp;id=urn:contentItem:5F7T-S7H1-FCSB-S3RY-00000-00&amp;context=" TargetMode="External" /><Relationship Id="rId448" Type="http://schemas.openxmlformats.org/officeDocument/2006/relationships/header" Target="header58.xml" /><Relationship Id="rId449" Type="http://schemas.openxmlformats.org/officeDocument/2006/relationships/header" Target="header59.xml" /><Relationship Id="rId45" Type="http://schemas.openxmlformats.org/officeDocument/2006/relationships/hyperlink" Target="https://advance.lexis.com/api/document?collection=cases-ca&amp;id=urn:contentItem:5F7T-S771-F81W-22P6-00000-00&amp;context=" TargetMode="External" /><Relationship Id="rId450" Type="http://schemas.openxmlformats.org/officeDocument/2006/relationships/footer" Target="footer58.xml" /><Relationship Id="rId451" Type="http://schemas.openxmlformats.org/officeDocument/2006/relationships/footer" Target="footer59.xml" /><Relationship Id="rId452" Type="http://schemas.openxmlformats.org/officeDocument/2006/relationships/header" Target="header60.xml" /><Relationship Id="rId453" Type="http://schemas.openxmlformats.org/officeDocument/2006/relationships/footer" Target="footer60.xml" /><Relationship Id="rId454" Type="http://schemas.openxmlformats.org/officeDocument/2006/relationships/hyperlink" Target="https://advance.lexis.com/api/document?collection=cases-ca&amp;id=urn:contentItem:5F7T-S7C1-F7VM-S3P8-00000-00&amp;context=" TargetMode="External" /><Relationship Id="rId455" Type="http://schemas.openxmlformats.org/officeDocument/2006/relationships/hyperlink" Target="https://advance.lexis.com/api/document?collection=cases-ca&amp;id=urn:contentItem:5F7T-S7G1-JX3N-B2J7-00000-00&amp;context=" TargetMode="External" /><Relationship Id="rId456" Type="http://schemas.openxmlformats.org/officeDocument/2006/relationships/hyperlink" Target="https://advance.lexis.com/api/document?collection=cases-ca&amp;id=urn:contentItem:5F81-VJV1-F8D9-M0V8-00000-00&amp;context=" TargetMode="External" /><Relationship Id="rId457" Type="http://schemas.openxmlformats.org/officeDocument/2006/relationships/hyperlink" Target="https://advance.lexis.com/api/document?collection=cases-ca&amp;id=urn:contentItem:5F81-VJX1-F5T5-M49D-00000-00&amp;context=" TargetMode="External" /><Relationship Id="rId458" Type="http://schemas.openxmlformats.org/officeDocument/2006/relationships/hyperlink" Target="https://advance.lexis.com/api/document?collection=cases-ca&amp;id=urn:contentItem:5F7T-S781-F06F-240T-00000-00&amp;context=" TargetMode="External" /><Relationship Id="rId459" Type="http://schemas.openxmlformats.org/officeDocument/2006/relationships/hyperlink" Target="https://advance.lexis.com/api/document?collection=cases-ca&amp;id=urn:contentItem:5F7T-S7C1-F7ND-G03P-00000-00&amp;context=" TargetMode="External" /><Relationship Id="rId46" Type="http://schemas.openxmlformats.org/officeDocument/2006/relationships/hyperlink" Target="https://advance.lexis.com/api/document?collection=cases-ca&amp;id=urn:contentItem:5F7T-S731-FG12-6298-00000-00&amp;context=" TargetMode="External" /><Relationship Id="rId460" Type="http://schemas.openxmlformats.org/officeDocument/2006/relationships/hyperlink" Target="https://advance.lexis.com/api/document?collection=cases-ca&amp;id=urn:contentItem:5F7T-S6Y1-JTNR-M4B7-00000-00&amp;context=" TargetMode="External" /><Relationship Id="rId461" Type="http://schemas.openxmlformats.org/officeDocument/2006/relationships/hyperlink" Target="https://advance.lexis.com/api/document?collection=cases-ca&amp;id=urn:contentItem:5F8T-N3T1-JJSF-23NF-00000-00&amp;context=" TargetMode="External" /><Relationship Id="rId462" Type="http://schemas.openxmlformats.org/officeDocument/2006/relationships/header" Target="header61.xml" /><Relationship Id="rId463" Type="http://schemas.openxmlformats.org/officeDocument/2006/relationships/header" Target="header62.xml" /><Relationship Id="rId464" Type="http://schemas.openxmlformats.org/officeDocument/2006/relationships/footer" Target="footer61.xml" /><Relationship Id="rId465" Type="http://schemas.openxmlformats.org/officeDocument/2006/relationships/footer" Target="footer62.xml" /><Relationship Id="rId466" Type="http://schemas.openxmlformats.org/officeDocument/2006/relationships/header" Target="header63.xml" /><Relationship Id="rId467" Type="http://schemas.openxmlformats.org/officeDocument/2006/relationships/footer" Target="footer63.xml" /><Relationship Id="rId468" Type="http://schemas.openxmlformats.org/officeDocument/2006/relationships/hyperlink" Target="https://advance.lexis.com/api/document?collection=cases-ca&amp;id=urn:contentItem:5YNG-HDD1-F528-G325-00000-00&amp;context=" TargetMode="External" /><Relationship Id="rId469" Type="http://schemas.openxmlformats.org/officeDocument/2006/relationships/hyperlink" Target="https://advance.lexis.com/api/document?collection=cases-ca&amp;id=urn:contentItem:5F7T-S7K1-JKHB-6329-00000-00&amp;context=" TargetMode="External" /><Relationship Id="rId47" Type="http://schemas.openxmlformats.org/officeDocument/2006/relationships/hyperlink" Target="https://advance.lexis.com/api/document?collection=cases-ca&amp;id=urn:contentItem:5F7T-S7G1-FCYK-20K9-00000-00&amp;context=" TargetMode="External" /><Relationship Id="rId470" Type="http://schemas.openxmlformats.org/officeDocument/2006/relationships/hyperlink" Target="https://advance.lexis.com/api/document?collection=cases-ca&amp;id=urn:contentItem:5F7T-S7K1-JKHB-6319-00000-00&amp;context=" TargetMode="External" /><Relationship Id="rId471" Type="http://schemas.openxmlformats.org/officeDocument/2006/relationships/hyperlink" Target="https://advance.lexis.com/api/document?collection=cases-ca&amp;id=urn:contentItem:5F7T-S7G1-JBT7-X40C-00000-00&amp;context=" TargetMode="External" /><Relationship Id="rId472" Type="http://schemas.openxmlformats.org/officeDocument/2006/relationships/hyperlink" Target="https://advance.lexis.com/api/document?collection=cases-ca&amp;id=urn:contentItem:5F7T-S7K1-JX3N-B2V4-00000-00&amp;context=" TargetMode="External" /><Relationship Id="rId473" Type="http://schemas.openxmlformats.org/officeDocument/2006/relationships/hyperlink" Target="https://advance.lexis.com/api/document?collection=cases-ca&amp;id=urn:contentItem:5F7T-S7N1-F06F-24KX-00000-00&amp;context=" TargetMode="External" /><Relationship Id="rId474" Type="http://schemas.openxmlformats.org/officeDocument/2006/relationships/hyperlink" Target="https://advance.lexis.com/api/document?collection=cases-ca&amp;id=urn:contentItem:5SV9-5YT1-JJ6S-63YB-00000-00&amp;context=" TargetMode="External" /><Relationship Id="rId475" Type="http://schemas.openxmlformats.org/officeDocument/2006/relationships/hyperlink" Target="https://advance.lexis.com/api/document?collection=cases-ca&amp;id=urn:contentItem:5F7T-S711-JC0G-62R6-00000-00&amp;context=" TargetMode="External" /><Relationship Id="rId476" Type="http://schemas.openxmlformats.org/officeDocument/2006/relationships/hyperlink" Target="https://advance.lexis.com/api/document?collection=cases-ca&amp;id=urn:contentItem:5F7T-S7C1-JSRM-60VC-00000-00&amp;context=" TargetMode="External" /><Relationship Id="rId477" Type="http://schemas.openxmlformats.org/officeDocument/2006/relationships/hyperlink" Target="https://advance.lexis.com/api/document?collection=cases-ca&amp;id=urn:contentItem:5F7T-S7M1-DYMS-62J6-00000-00&amp;context=" TargetMode="External" /><Relationship Id="rId478" Type="http://schemas.openxmlformats.org/officeDocument/2006/relationships/hyperlink" Target="https://advance.lexis.com/api/document?collection=cases-ca&amp;id=urn:contentItem:5F7T-S7K1-JNY7-X4B5-00000-00&amp;context=" TargetMode="External" /><Relationship Id="rId479" Type="http://schemas.openxmlformats.org/officeDocument/2006/relationships/hyperlink" Target="https://advance.lexis.com/api/document?collection=cases-ca&amp;id=urn:contentItem:5V4S-6WS1-FFTT-X2X7-00000-00&amp;context=" TargetMode="External" /><Relationship Id="rId48" Type="http://schemas.openxmlformats.org/officeDocument/2006/relationships/hyperlink" Target="https://advance.lexis.com/api/document?collection=cases-ca&amp;id=urn:contentItem:5F7T-S6T1-DY89-M2PR-00000-00&amp;context=" TargetMode="External" /><Relationship Id="rId480" Type="http://schemas.openxmlformats.org/officeDocument/2006/relationships/hyperlink" Target="https://advance.lexis.com/api/document?collection=cases-ca&amp;id=urn:contentItem:5MW0-J9P1-JPP5-21SC-00000-00&amp;context=" TargetMode="External" /><Relationship Id="rId481" Type="http://schemas.openxmlformats.org/officeDocument/2006/relationships/hyperlink" Target="https://advance.lexis.com/api/document?collection=cases-ca&amp;id=urn:contentItem:5F7T-S7K1-DY33-B1B2-00000-00&amp;context=" TargetMode="External" /><Relationship Id="rId482" Type="http://schemas.openxmlformats.org/officeDocument/2006/relationships/hyperlink" Target="https://advance.lexis.com/api/document?collection=cases-ca&amp;id=urn:contentItem:5F7T-S7K1-JWXF-2193-00000-00&amp;context=" TargetMode="External" /><Relationship Id="rId483" Type="http://schemas.openxmlformats.org/officeDocument/2006/relationships/hyperlink" Target="https://advance.lexis.com/api/document?collection=cases-ca&amp;id=urn:contentItem:5F7T-S711-JNS1-M117-00000-00&amp;context=" TargetMode="External" /><Relationship Id="rId484" Type="http://schemas.openxmlformats.org/officeDocument/2006/relationships/hyperlink" Target="https://advance.lexis.com/api/document?collection=cases-ca&amp;id=urn:contentItem:5F7T-S7F1-F7VM-S4BV-00000-00&amp;context=" TargetMode="External" /><Relationship Id="rId485" Type="http://schemas.openxmlformats.org/officeDocument/2006/relationships/hyperlink" Target="https://advance.lexis.com/api/document?collection=cases-ca&amp;id=urn:contentItem:5F8T-N3V1-JTGH-B18F-00000-00&amp;context=" TargetMode="External" /><Relationship Id="rId486" Type="http://schemas.openxmlformats.org/officeDocument/2006/relationships/hyperlink" Target="https://advance.lexis.com/api/document?collection=cases-ca&amp;id=urn:contentItem:5F8T-N3V1-FH4C-X20M-00000-00&amp;context=" TargetMode="External" /><Relationship Id="rId487" Type="http://schemas.openxmlformats.org/officeDocument/2006/relationships/hyperlink" Target="https://advance.lexis.com/api/document?collection=cases-ca&amp;id=urn:contentItem:5F8T-N3V1-JTGH-B153-00000-00&amp;context=" TargetMode="External" /><Relationship Id="rId488" Type="http://schemas.openxmlformats.org/officeDocument/2006/relationships/hyperlink" Target="https://advance.lexis.com/api/document?collection=cases-ca&amp;id=urn:contentItem:5F7T-S7N1-JC5P-G2D1-00000-00&amp;context=" TargetMode="External" /><Relationship Id="rId489" Type="http://schemas.openxmlformats.org/officeDocument/2006/relationships/hyperlink" Target="https://advance.lexis.com/api/document?collection=cases-ca&amp;id=urn:contentItem:5F7T-S7P1-JP4G-61X7-00000-00&amp;context=" TargetMode="External" /><Relationship Id="rId49" Type="http://schemas.openxmlformats.org/officeDocument/2006/relationships/hyperlink" Target="https://advance.lexis.com/api/document?collection=cases-ca&amp;id=urn:contentItem:5F8T-N3T1-JFKM-651D-00000-00&amp;context=" TargetMode="External" /><Relationship Id="rId490" Type="http://schemas.openxmlformats.org/officeDocument/2006/relationships/hyperlink" Target="https://advance.lexis.com/api/document?collection=cases-ca&amp;id=urn:contentItem:5F8T-N3T1-JJSF-234V-00000-00&amp;context=" TargetMode="External" /><Relationship Id="rId491" Type="http://schemas.openxmlformats.org/officeDocument/2006/relationships/hyperlink" Target="https://advance.lexis.com/api/document?collection=cases-ca&amp;id=urn:contentItem:5F7T-S6V1-JFKM-6133-00000-00&amp;context=" TargetMode="External" /><Relationship Id="rId492" Type="http://schemas.openxmlformats.org/officeDocument/2006/relationships/hyperlink" Target="https://advance.lexis.com/api/document?collection=cases-ca&amp;id=urn:contentItem:5F7T-S7N1-JGHR-M34X-00000-00&amp;context=" TargetMode="External" /><Relationship Id="rId493" Type="http://schemas.openxmlformats.org/officeDocument/2006/relationships/hyperlink" Target="https://advance.lexis.com/api/document?collection=cases-ca&amp;id=urn:contentItem:5GCC-XVC1-F900-G4S3-00000-00&amp;context=" TargetMode="External" /><Relationship Id="rId494" Type="http://schemas.openxmlformats.org/officeDocument/2006/relationships/hyperlink" Target="https://advance.lexis.com/api/document?collection=cases-ca&amp;id=urn:contentItem:5GF9-8HG1-FCYK-20XP-00000-00&amp;context=" TargetMode="External" /><Relationship Id="rId495" Type="http://schemas.openxmlformats.org/officeDocument/2006/relationships/hyperlink" Target="https://advance.lexis.com/api/document?collection=cases-ca&amp;id=urn:contentItem:5S1P-9H61-FGJR-24TS-00000-00&amp;context=" TargetMode="External" /><Relationship Id="rId496" Type="http://schemas.openxmlformats.org/officeDocument/2006/relationships/hyperlink" Target="https://advance.lexis.com/api/document?collection=cases-ca&amp;id=urn:contentItem:5VJP-HPW1-F57G-S309-00000-00&amp;context=" TargetMode="External" /><Relationship Id="rId497" Type="http://schemas.openxmlformats.org/officeDocument/2006/relationships/hyperlink" Target="https://advance.lexis.com/api/document?collection=cases-ca&amp;id=urn:contentItem:5W6N-2JC1-JS0R-246F-00000-00&amp;context=" TargetMode="External" /><Relationship Id="rId498" Type="http://schemas.openxmlformats.org/officeDocument/2006/relationships/hyperlink" Target="https://advance.lexis.com/api/document?collection=cases-ca&amp;id=urn:contentItem:5F7T-S7M1-F4W2-62D0-00000-00&amp;context=" TargetMode="External" /><Relationship Id="rId499" Type="http://schemas.openxmlformats.org/officeDocument/2006/relationships/hyperlink" Target="https://advance.lexis.com/api/document?collection=cases-ca&amp;id=urn:contentItem:5F7T-S7M1-JJK6-S1MH-00000-00&amp;context=" TargetMode="External" /><Relationship Id="rId5" Type="http://schemas.openxmlformats.org/officeDocument/2006/relationships/header" Target="header2.xml" /><Relationship Id="rId50" Type="http://schemas.openxmlformats.org/officeDocument/2006/relationships/header" Target="header13.xml" /><Relationship Id="rId500" Type="http://schemas.openxmlformats.org/officeDocument/2006/relationships/hyperlink" Target="https://advance.lexis.com/api/document?collection=cases-ca&amp;id=urn:contentItem:5VMD-0961-FGRY-B160-00000-00&amp;context=" TargetMode="External" /><Relationship Id="rId501" Type="http://schemas.openxmlformats.org/officeDocument/2006/relationships/hyperlink" Target="https://advance.lexis.com/api/document?collection=cases-ca&amp;id=urn:contentItem:5F7T-S7P1-JBDT-B11F-00000-00&amp;context=" TargetMode="External" /><Relationship Id="rId502" Type="http://schemas.openxmlformats.org/officeDocument/2006/relationships/hyperlink" Target="https://advance.lexis.com/api/document?collection=cases-ca&amp;id=urn:contentItem:5F7T-S7G1-FCYK-20F6-00000-00&amp;context=" TargetMode="External" /><Relationship Id="rId503" Type="http://schemas.openxmlformats.org/officeDocument/2006/relationships/hyperlink" Target="https://advance.lexis.com/api/document?collection=cases-ca&amp;id=urn:contentItem:5TG0-RY01-F81W-22R8-00000-00&amp;context=" TargetMode="External" /><Relationship Id="rId504" Type="http://schemas.openxmlformats.org/officeDocument/2006/relationships/hyperlink" Target="https://advance.lexis.com/api/document?collection=cases-ca&amp;id=urn:contentItem:5NDB-4M41-F956-S0BN-00000-00&amp;context=" TargetMode="External" /><Relationship Id="rId505" Type="http://schemas.openxmlformats.org/officeDocument/2006/relationships/hyperlink" Target="https://advance.lexis.com/api/document?collection=cases-ca&amp;id=urn:contentItem:5F7T-S7D1-F7ND-G0MH-00000-00&amp;context=" TargetMode="External" /><Relationship Id="rId506" Type="http://schemas.openxmlformats.org/officeDocument/2006/relationships/hyperlink" Target="https://advance.lexis.com/api/document?collection=cases-ca&amp;id=urn:contentItem:5KD1-W4V1-JC5P-G3DR-00000-00&amp;context=" TargetMode="External" /><Relationship Id="rId507" Type="http://schemas.openxmlformats.org/officeDocument/2006/relationships/hyperlink" Target="https://advance.lexis.com/api/document?collection=cases-ca&amp;id=urn:contentItem:5GCC-XVB1-JSXV-G039-00000-00&amp;context=" TargetMode="External" /><Relationship Id="rId508" Type="http://schemas.openxmlformats.org/officeDocument/2006/relationships/hyperlink" Target="https://advance.lexis.com/api/document?collection=cases-ca&amp;id=urn:contentItem:5F7T-S7N1-JC5P-G2DS-00000-00&amp;context=" TargetMode="External" /><Relationship Id="rId509" Type="http://schemas.openxmlformats.org/officeDocument/2006/relationships/hyperlink" Target="https://advance.lexis.com/api/document?collection=cases-ca&amp;id=urn:contentItem:5F7T-S7N1-F57G-S2D4-00000-00&amp;context=" TargetMode="External" /><Relationship Id="rId51" Type="http://schemas.openxmlformats.org/officeDocument/2006/relationships/header" Target="header14.xml" /><Relationship Id="rId510" Type="http://schemas.openxmlformats.org/officeDocument/2006/relationships/hyperlink" Target="https://advance.lexis.com/api/document?collection=cases-ca&amp;id=urn:contentItem:5F7T-S7P1-JSJC-X1MP-00000-00&amp;context=" TargetMode="External" /><Relationship Id="rId511" Type="http://schemas.openxmlformats.org/officeDocument/2006/relationships/hyperlink" Target="https://advance.lexis.com/api/document?collection=cases-ca&amp;id=urn:contentItem:5F7T-S7K1-DY33-B1R6-00000-00&amp;context=" TargetMode="External" /><Relationship Id="rId512" Type="http://schemas.openxmlformats.org/officeDocument/2006/relationships/hyperlink" Target="https://advance.lexis.com/api/document?collection=cases-ca&amp;id=urn:contentItem:5F7T-S7K1-F1H1-227X-00000-00&amp;context=" TargetMode="External" /><Relationship Id="rId513" Type="http://schemas.openxmlformats.org/officeDocument/2006/relationships/header" Target="header64.xml" /><Relationship Id="rId514" Type="http://schemas.openxmlformats.org/officeDocument/2006/relationships/header" Target="header65.xml" /><Relationship Id="rId515" Type="http://schemas.openxmlformats.org/officeDocument/2006/relationships/footer" Target="footer64.xml" /><Relationship Id="rId516" Type="http://schemas.openxmlformats.org/officeDocument/2006/relationships/footer" Target="footer65.xml" /><Relationship Id="rId517" Type="http://schemas.openxmlformats.org/officeDocument/2006/relationships/header" Target="header66.xml" /><Relationship Id="rId518" Type="http://schemas.openxmlformats.org/officeDocument/2006/relationships/footer" Target="footer66.xml" /><Relationship Id="rId519" Type="http://schemas.openxmlformats.org/officeDocument/2006/relationships/hyperlink" Target="https://advance.lexis.com/api/document?collection=cases-ca&amp;id=urn:contentItem:5F7T-S7C1-F7VM-S3GW-00000-00&amp;context=" TargetMode="External" /><Relationship Id="rId52" Type="http://schemas.openxmlformats.org/officeDocument/2006/relationships/footer" Target="footer13.xml" /><Relationship Id="rId520" Type="http://schemas.openxmlformats.org/officeDocument/2006/relationships/hyperlink" Target="https://advance.lexis.com/api/document?collection=cases-ca&amp;id=urn:contentItem:5F7T-S761-JS5Y-B1DS-00000-00&amp;context=" TargetMode="External" /><Relationship Id="rId521" Type="http://schemas.openxmlformats.org/officeDocument/2006/relationships/hyperlink" Target="https://advance.lexis.com/api/document?collection=cases-ca&amp;id=urn:contentItem:5F7T-S751-JGHR-M1WP-00000-00&amp;context=" TargetMode="External" /><Relationship Id="rId522" Type="http://schemas.openxmlformats.org/officeDocument/2006/relationships/header" Target="header67.xml" /><Relationship Id="rId523" Type="http://schemas.openxmlformats.org/officeDocument/2006/relationships/header" Target="header68.xml" /><Relationship Id="rId524" Type="http://schemas.openxmlformats.org/officeDocument/2006/relationships/footer" Target="footer67.xml" /><Relationship Id="rId525" Type="http://schemas.openxmlformats.org/officeDocument/2006/relationships/footer" Target="footer68.xml" /><Relationship Id="rId526" Type="http://schemas.openxmlformats.org/officeDocument/2006/relationships/header" Target="header69.xml" /><Relationship Id="rId527" Type="http://schemas.openxmlformats.org/officeDocument/2006/relationships/footer" Target="footer69.xml" /><Relationship Id="rId528" Type="http://schemas.openxmlformats.org/officeDocument/2006/relationships/hyperlink" Target="https://advance.lexis.com/api/document?collection=cases-ca&amp;id=urn:contentItem:5JG1-HSD1-F5T5-M0SS-00000-00&amp;context=" TargetMode="External" /><Relationship Id="rId529" Type="http://schemas.openxmlformats.org/officeDocument/2006/relationships/hyperlink" Target="https://advance.lexis.com/api/document?collection=cases-ca&amp;id=urn:contentItem:5F7T-S7G1-JNY7-X443-00000-00&amp;context=" TargetMode="External" /><Relationship Id="rId53" Type="http://schemas.openxmlformats.org/officeDocument/2006/relationships/footer" Target="footer14.xml" /><Relationship Id="rId530" Type="http://schemas.openxmlformats.org/officeDocument/2006/relationships/hyperlink" Target="https://advance.lexis.com/api/document?collection=cases-ca&amp;id=urn:contentItem:5F82-1SJ1-FGY5-M50Y-00000-00&amp;context=" TargetMode="External" /><Relationship Id="rId531" Type="http://schemas.openxmlformats.org/officeDocument/2006/relationships/hyperlink" Target="https://advance.lexis.com/api/document?collection=cases-ca&amp;id=urn:contentItem:5F7T-S7M1-JNCK-22RP-00000-00&amp;context=" TargetMode="External" /><Relationship Id="rId532" Type="http://schemas.openxmlformats.org/officeDocument/2006/relationships/hyperlink" Target="https://advance.lexis.com/api/document?collection=cases-ca&amp;id=urn:contentItem:5F7T-S7K1-JWXF-20X0-00000-00&amp;context=" TargetMode="External" /><Relationship Id="rId533" Type="http://schemas.openxmlformats.org/officeDocument/2006/relationships/hyperlink" Target="https://advance.lexis.com/api/document?collection=cases-ca&amp;id=urn:contentItem:5F7T-S7J1-JYYX-625F-00000-00&amp;context=" TargetMode="External" /><Relationship Id="rId534" Type="http://schemas.openxmlformats.org/officeDocument/2006/relationships/hyperlink" Target="https://advance.lexis.com/api/document?collection=cases-ca&amp;id=urn:contentItem:5F7T-S7M1-JJK6-S222-00000-00&amp;context=" TargetMode="External" /><Relationship Id="rId535" Type="http://schemas.openxmlformats.org/officeDocument/2006/relationships/hyperlink" Target="https://advance.lexis.com/api/document?collection=cases-ca&amp;id=urn:contentItem:5F7T-S741-F528-G2J5-00000-00&amp;context=" TargetMode="External" /><Relationship Id="rId536" Type="http://schemas.openxmlformats.org/officeDocument/2006/relationships/hyperlink" Target="https://advance.lexis.com/api/document?collection=cases-ca&amp;id=urn:contentItem:5F7T-S7M1-JNCK-22SH-00000-00&amp;context=" TargetMode="External" /><Relationship Id="rId537" Type="http://schemas.openxmlformats.org/officeDocument/2006/relationships/hyperlink" Target="https://advance.lexis.com/api/document?collection=cases-ca&amp;id=urn:contentItem:5F7T-S7M1-DYMS-625V-00000-00&amp;context=" TargetMode="External" /><Relationship Id="rId538" Type="http://schemas.openxmlformats.org/officeDocument/2006/relationships/hyperlink" Target="https://advance.lexis.com/api/document?collection=cases-ca&amp;id=urn:contentItem:5F7T-S7D1-JG02-S2SW-00000-00&amp;context=" TargetMode="External" /><Relationship Id="rId539" Type="http://schemas.openxmlformats.org/officeDocument/2006/relationships/hyperlink" Target="https://advance.lexis.com/api/document?collection=cases-ca&amp;id=urn:contentItem:5F7T-S7J1-FGCG-S05X-00000-00&amp;context=" TargetMode="External" /><Relationship Id="rId54" Type="http://schemas.openxmlformats.org/officeDocument/2006/relationships/header" Target="header15.xml" /><Relationship Id="rId540" Type="http://schemas.openxmlformats.org/officeDocument/2006/relationships/hyperlink" Target="https://advance.lexis.com/api/document?collection=cases-ca&amp;id=urn:contentItem:5F7T-S7H1-F016-S3P3-00000-00&amp;context=" TargetMode="External" /><Relationship Id="rId541" Type="http://schemas.openxmlformats.org/officeDocument/2006/relationships/hyperlink" Target="https://advance.lexis.com/api/document?collection=cases-ca&amp;id=urn:contentItem:5F7T-S7D1-DY89-M463-00000-00&amp;context=" TargetMode="External" /><Relationship Id="rId542" Type="http://schemas.openxmlformats.org/officeDocument/2006/relationships/hyperlink" Target="https://advance.lexis.com/api/document?collection=cases-ca&amp;id=urn:contentItem:5F7T-S7P1-JNJT-B2PW-00000-00&amp;context=" TargetMode="External" /><Relationship Id="rId543" Type="http://schemas.openxmlformats.org/officeDocument/2006/relationships/hyperlink" Target="https://advance.lexis.com/api/document?collection=cases-ca&amp;id=urn:contentItem:5F7T-S7N1-F06F-24BC-00000-00&amp;context=" TargetMode="External" /><Relationship Id="rId544" Type="http://schemas.openxmlformats.org/officeDocument/2006/relationships/header" Target="header70.xml" /><Relationship Id="rId545" Type="http://schemas.openxmlformats.org/officeDocument/2006/relationships/header" Target="header71.xml" /><Relationship Id="rId546" Type="http://schemas.openxmlformats.org/officeDocument/2006/relationships/footer" Target="footer70.xml" /><Relationship Id="rId547" Type="http://schemas.openxmlformats.org/officeDocument/2006/relationships/footer" Target="footer71.xml" /><Relationship Id="rId548" Type="http://schemas.openxmlformats.org/officeDocument/2006/relationships/header" Target="header72.xml" /><Relationship Id="rId549" Type="http://schemas.openxmlformats.org/officeDocument/2006/relationships/footer" Target="footer72.xml" /><Relationship Id="rId55" Type="http://schemas.openxmlformats.org/officeDocument/2006/relationships/footer" Target="footer15.xml" /><Relationship Id="rId550" Type="http://schemas.openxmlformats.org/officeDocument/2006/relationships/hyperlink" Target="https://advance.lexis.com/api/document?collection=cases-ca&amp;id=urn:contentItem:5F7T-S7P1-JG02-S42F-00000-00&amp;context=" TargetMode="External" /><Relationship Id="rId551" Type="http://schemas.openxmlformats.org/officeDocument/2006/relationships/hyperlink" Target="https://advance.lexis.com/api/document?collection=cases-ca&amp;id=urn:contentItem:5F7T-S7N1-DXWW-20G4-00000-00&amp;context=" TargetMode="External" /><Relationship Id="rId552" Type="http://schemas.openxmlformats.org/officeDocument/2006/relationships/header" Target="header73.xml" /><Relationship Id="rId553" Type="http://schemas.openxmlformats.org/officeDocument/2006/relationships/header" Target="header74.xml" /><Relationship Id="rId554" Type="http://schemas.openxmlformats.org/officeDocument/2006/relationships/footer" Target="footer73.xml" /><Relationship Id="rId555" Type="http://schemas.openxmlformats.org/officeDocument/2006/relationships/footer" Target="footer74.xml" /><Relationship Id="rId556" Type="http://schemas.openxmlformats.org/officeDocument/2006/relationships/header" Target="header75.xml" /><Relationship Id="rId557" Type="http://schemas.openxmlformats.org/officeDocument/2006/relationships/footer" Target="footer75.xml" /><Relationship Id="rId558" Type="http://schemas.openxmlformats.org/officeDocument/2006/relationships/hyperlink" Target="https://advance.lexis.com/api/document?collection=cases-ca&amp;id=urn:contentItem:5WCR-7G91-F1WF-M0DS-00000-00&amp;context=" TargetMode="External" /><Relationship Id="rId559" Type="http://schemas.openxmlformats.org/officeDocument/2006/relationships/hyperlink" Target="https://advance.lexis.com/api/document?collection=cases-ca&amp;id=urn:contentItem:5VK4-J891-FGJR-2412-00000-00&amp;context=" TargetMode="External" /><Relationship Id="rId56" Type="http://schemas.openxmlformats.org/officeDocument/2006/relationships/hyperlink" Target="https://advance.lexis.com/api/document?collection=cases-ca&amp;id=urn:contentItem:5F7T-S7C1-F30T-B27W-00000-00&amp;context=" TargetMode="External" /><Relationship Id="rId560" Type="http://schemas.openxmlformats.org/officeDocument/2006/relationships/hyperlink" Target="https://advance.lexis.com/api/document?collection=cases-ca&amp;id=urn:contentItem:5F7T-S7P1-JP4G-61VB-00000-00&amp;context=" TargetMode="External" /><Relationship Id="rId561" Type="http://schemas.openxmlformats.org/officeDocument/2006/relationships/hyperlink" Target="https://advance.lexis.com/api/document?collection=cases-ca&amp;id=urn:contentItem:5N8X-PSB1-JCRC-B3NJ-00000-00&amp;context=" TargetMode="External" /><Relationship Id="rId562" Type="http://schemas.openxmlformats.org/officeDocument/2006/relationships/hyperlink" Target="https://advance.lexis.com/api/document?collection=cases-ca&amp;id=urn:contentItem:5F7T-S7N1-JWR6-S2FS-00000-00&amp;context=" TargetMode="External" /><Relationship Id="rId563" Type="http://schemas.openxmlformats.org/officeDocument/2006/relationships/hyperlink" Target="https://advance.lexis.com/api/document?collection=cases-ca&amp;id=urn:contentItem:5F7T-S7K1-F1H1-22CM-00000-00&amp;context=" TargetMode="External" /><Relationship Id="rId564" Type="http://schemas.openxmlformats.org/officeDocument/2006/relationships/hyperlink" Target="https://advance.lexis.com/api/document?collection=cases-ca&amp;id=urn:contentItem:5F7T-S781-DYMS-61D4-00000-00&amp;context=" TargetMode="External" /><Relationship Id="rId565" Type="http://schemas.openxmlformats.org/officeDocument/2006/relationships/hyperlink" Target="https://advance.lexis.com/api/document?collection=cases-ca&amp;id=urn:contentItem:5F7T-S7P1-JG02-S48M-00000-00&amp;context=" TargetMode="External" /><Relationship Id="rId566" Type="http://schemas.openxmlformats.org/officeDocument/2006/relationships/hyperlink" Target="https://advance.lexis.com/api/document?collection=cases-ca&amp;id=urn:contentItem:5F7T-S7G1-FCYK-208R-00000-00&amp;context=" TargetMode="External" /><Relationship Id="rId567" Type="http://schemas.openxmlformats.org/officeDocument/2006/relationships/hyperlink" Target="https://advance.lexis.com/api/document?collection=cases-ca&amp;id=urn:contentItem:5F7T-S7J1-JGBH-B20D-00000-00&amp;context=" TargetMode="External" /><Relationship Id="rId568" Type="http://schemas.openxmlformats.org/officeDocument/2006/relationships/hyperlink" Target="https://advance.lexis.com/api/document?collection=cases-ca&amp;id=urn:contentItem:5FX0-KKR1-JCBX-S2KC-00000-00&amp;context=" TargetMode="External" /><Relationship Id="rId569" Type="http://schemas.openxmlformats.org/officeDocument/2006/relationships/hyperlink" Target="https://advance.lexis.com/api/document?collection=cases-ca&amp;id=urn:contentItem:5F7T-S6Y1-JNY7-X2NF-00000-00&amp;context=" TargetMode="External" /><Relationship Id="rId57" Type="http://schemas.openxmlformats.org/officeDocument/2006/relationships/hyperlink" Target="https://advance.lexis.com/api/document?collection=cases-ca&amp;id=urn:contentItem:5F7T-S6X1-F7G6-628P-00000-00&amp;context=" TargetMode="External" /><Relationship Id="rId570" Type="http://schemas.openxmlformats.org/officeDocument/2006/relationships/hyperlink" Target="https://advance.lexis.com/api/document?collection=cases-ca&amp;id=urn:contentItem:5FX0-KKR1-JCBX-S2K8-00000-00&amp;context=" TargetMode="External" /><Relationship Id="rId571" Type="http://schemas.openxmlformats.org/officeDocument/2006/relationships/hyperlink" Target="https://advance.lexis.com/api/document?collection=cases-ca&amp;id=urn:contentItem:5F7T-S7N1-JWR6-S2BD-00000-00&amp;context=" TargetMode="External" /><Relationship Id="rId572" Type="http://schemas.openxmlformats.org/officeDocument/2006/relationships/header" Target="header76.xml" /><Relationship Id="rId573" Type="http://schemas.openxmlformats.org/officeDocument/2006/relationships/header" Target="header77.xml" /><Relationship Id="rId574" Type="http://schemas.openxmlformats.org/officeDocument/2006/relationships/footer" Target="footer76.xml" /><Relationship Id="rId575" Type="http://schemas.openxmlformats.org/officeDocument/2006/relationships/footer" Target="footer77.xml" /><Relationship Id="rId576" Type="http://schemas.openxmlformats.org/officeDocument/2006/relationships/header" Target="header78.xml" /><Relationship Id="rId577" Type="http://schemas.openxmlformats.org/officeDocument/2006/relationships/footer" Target="footer78.xml" /><Relationship Id="rId578" Type="http://schemas.openxmlformats.org/officeDocument/2006/relationships/hyperlink" Target="https://advance.lexis.com/api/document?collection=cases-ca&amp;id=urn:contentItem:5RMT-T011-JB2B-S26X-00000-00&amp;context=" TargetMode="External" /><Relationship Id="rId579" Type="http://schemas.openxmlformats.org/officeDocument/2006/relationships/hyperlink" Target="https://advance.lexis.com/api/document?collection=cases-ca&amp;id=urn:contentItem:5P0S-2KF1-FD4T-B0FM-00000-00&amp;context=" TargetMode="External" /><Relationship Id="rId58" Type="http://schemas.openxmlformats.org/officeDocument/2006/relationships/hyperlink" Target="https://advance.lexis.com/api/document?collection=cases-ca&amp;id=urn:contentItem:5F8T-N3P1-F7ND-G1KR-00000-00&amp;context=" TargetMode="External" /><Relationship Id="rId580" Type="http://schemas.openxmlformats.org/officeDocument/2006/relationships/hyperlink" Target="https://advance.lexis.com/api/document?collection=cases-ca&amp;id=urn:contentItem:5K27-9R71-JWBS-63Y8-00000-00&amp;context=" TargetMode="External" /><Relationship Id="rId581" Type="http://schemas.openxmlformats.org/officeDocument/2006/relationships/hyperlink" Target="https://advance.lexis.com/api/document?collection=cases-ca&amp;id=urn:contentItem:5F8T-N3V1-FH4C-X22V-00000-00&amp;context=" TargetMode="External" /><Relationship Id="rId582" Type="http://schemas.openxmlformats.org/officeDocument/2006/relationships/hyperlink" Target="https://advance.lexis.com/api/document?collection=cases-ca&amp;id=urn:contentItem:5F8T-N3T1-JFKM-655K-00000-00&amp;context=" TargetMode="External" /><Relationship Id="rId583" Type="http://schemas.openxmlformats.org/officeDocument/2006/relationships/hyperlink" Target="https://advance.lexis.com/api/document?collection=cases-ca&amp;id=urn:contentItem:5F7T-S7M1-DYMS-6201-00000-00&amp;context=" TargetMode="External" /><Relationship Id="rId584" Type="http://schemas.openxmlformats.org/officeDocument/2006/relationships/hyperlink" Target="https://advance.lexis.com/api/document?collection=cases-ca&amp;id=urn:contentItem:5F7T-S7N1-DXWW-206B-00000-00&amp;context=" TargetMode="External" /><Relationship Id="rId585" Type="http://schemas.openxmlformats.org/officeDocument/2006/relationships/hyperlink" Target="https://advance.lexis.com/api/document?collection=cases-ca&amp;id=urn:contentItem:5F7T-S7P1-JP4G-620F-00000-00&amp;context=" TargetMode="External" /><Relationship Id="rId586" Type="http://schemas.openxmlformats.org/officeDocument/2006/relationships/hyperlink" Target="https://advance.lexis.com/api/document?collection=cases-ca&amp;id=urn:contentItem:5F7T-S7F1-JK4W-M1CF-00000-00&amp;context=" TargetMode="External" /><Relationship Id="rId587" Type="http://schemas.openxmlformats.org/officeDocument/2006/relationships/hyperlink" Target="https://advance.lexis.com/api/document?collection=cases-ca&amp;id=urn:contentItem:5PVF-9W91-JP4G-63P6-00000-00&amp;context=" TargetMode="External" /><Relationship Id="rId588" Type="http://schemas.openxmlformats.org/officeDocument/2006/relationships/hyperlink" Target="https://advance.lexis.com/api/document?collection=cases-ca&amp;id=urn:contentItem:5F7T-S7K1-JSJC-X0XV-00000-00&amp;context=" TargetMode="External" /><Relationship Id="rId589" Type="http://schemas.openxmlformats.org/officeDocument/2006/relationships/hyperlink" Target="https://advance.lexis.com/api/document?collection=cases-ca&amp;id=urn:contentItem:5F7T-S7F1-JFKM-61K6-00000-00&amp;context=" TargetMode="External" /><Relationship Id="rId59" Type="http://schemas.openxmlformats.org/officeDocument/2006/relationships/hyperlink" Target="https://advance.lexis.com/api/document?collection=cases-ca&amp;id=urn:contentItem:5F7T-S731-JNJT-B1YF-00000-00&amp;context=" TargetMode="External" /><Relationship Id="rId590" Type="http://schemas.openxmlformats.org/officeDocument/2006/relationships/hyperlink" Target="https://advance.lexis.com/api/document?collection=cases-ca&amp;id=urn:contentItem:5F7T-S7F1-DXWW-24HS-00000-00&amp;context=" TargetMode="External" /><Relationship Id="rId591" Type="http://schemas.openxmlformats.org/officeDocument/2006/relationships/hyperlink" Target="https://advance.lexis.com/api/document?collection=cases-ca&amp;id=urn:contentItem:5F7T-S7H1-FCSB-S3JG-00000-00&amp;context=" TargetMode="External" /><Relationship Id="rId592" Type="http://schemas.openxmlformats.org/officeDocument/2006/relationships/hyperlink" Target="https://advance.lexis.com/api/document?collection=cases-ca&amp;id=urn:contentItem:5F7T-S7H1-FCSB-S3NS-00000-00&amp;context=" TargetMode="External" /><Relationship Id="rId593" Type="http://schemas.openxmlformats.org/officeDocument/2006/relationships/hyperlink" Target="https://advance.lexis.com/api/document?collection=cases-ca&amp;id=urn:contentItem:5F7T-S7N1-F57G-S2PF-00000-00&amp;context=" TargetMode="External" /><Relationship Id="rId594" Type="http://schemas.openxmlformats.org/officeDocument/2006/relationships/hyperlink" Target="https://advance.lexis.com/api/document?collection=cases-ca&amp;id=urn:contentItem:5F7T-S7F1-FBN1-21NF-00000-00&amp;context=" TargetMode="External" /><Relationship Id="rId595" Type="http://schemas.openxmlformats.org/officeDocument/2006/relationships/hyperlink" Target="https://advance.lexis.com/api/document?collection=cases-ca&amp;id=urn:contentItem:5KDN-X121-F2F4-G08B-00000-00&amp;context=" TargetMode="External" /><Relationship Id="rId596" Type="http://schemas.openxmlformats.org/officeDocument/2006/relationships/hyperlink" Target="https://advance.lexis.com/api/document?collection=cases-ca&amp;id=urn:contentItem:5F7T-S7P1-JSJC-X1VJ-00000-00&amp;context=" TargetMode="External" /><Relationship Id="rId597" Type="http://schemas.openxmlformats.org/officeDocument/2006/relationships/hyperlink" Target="https://advance.lexis.com/api/document?collection=cases-ca&amp;id=urn:contentItem:5HXW-S171-JX8W-M07X-00000-00&amp;context=" TargetMode="External" /><Relationship Id="rId598" Type="http://schemas.openxmlformats.org/officeDocument/2006/relationships/hyperlink" Target="https://advance.lexis.com/api/document?collection=cases-ca&amp;id=urn:contentItem:5J0C-MF51-JSXV-G2N2-00000-00&amp;context=" TargetMode="External" /><Relationship Id="rId599" Type="http://schemas.openxmlformats.org/officeDocument/2006/relationships/header" Target="header79.xml" /><Relationship Id="rId6" Type="http://schemas.openxmlformats.org/officeDocument/2006/relationships/footer" Target="footer1.xml" /><Relationship Id="rId60" Type="http://schemas.openxmlformats.org/officeDocument/2006/relationships/hyperlink" Target="https://advance.lexis.com/api/document?collection=cases-ca&amp;id=urn:contentItem:5F7T-S6Y1-F65M-60D9-00000-00&amp;context=" TargetMode="External" /><Relationship Id="rId600" Type="http://schemas.openxmlformats.org/officeDocument/2006/relationships/header" Target="header80.xml" /><Relationship Id="rId601" Type="http://schemas.openxmlformats.org/officeDocument/2006/relationships/footer" Target="footer79.xml" /><Relationship Id="rId602" Type="http://schemas.openxmlformats.org/officeDocument/2006/relationships/footer" Target="footer80.xml" /><Relationship Id="rId603" Type="http://schemas.openxmlformats.org/officeDocument/2006/relationships/header" Target="header81.xml" /><Relationship Id="rId604" Type="http://schemas.openxmlformats.org/officeDocument/2006/relationships/footer" Target="footer81.xml" /><Relationship Id="rId605" Type="http://schemas.openxmlformats.org/officeDocument/2006/relationships/hyperlink" Target="https://advance.lexis.com/api/document?collection=cases-ca&amp;id=urn:contentItem:5F7T-S7K1-JKHB-62JW-00000-00&amp;context=" TargetMode="External" /><Relationship Id="rId606" Type="http://schemas.openxmlformats.org/officeDocument/2006/relationships/hyperlink" Target="https://advance.lexis.com/api/document?collection=cases-ca&amp;id=urn:contentItem:5F7T-S711-JB2B-S143-00000-00&amp;context=" TargetMode="External" /><Relationship Id="rId607" Type="http://schemas.openxmlformats.org/officeDocument/2006/relationships/header" Target="header82.xml" /><Relationship Id="rId608" Type="http://schemas.openxmlformats.org/officeDocument/2006/relationships/header" Target="header83.xml" /><Relationship Id="rId609" Type="http://schemas.openxmlformats.org/officeDocument/2006/relationships/footer" Target="footer82.xml" /><Relationship Id="rId61" Type="http://schemas.openxmlformats.org/officeDocument/2006/relationships/hyperlink" Target="https://advance.lexis.com/api/document?collection=cases-ca&amp;id=urn:contentItem:5F7T-S7B1-JCJ5-2047-00000-00&amp;context=" TargetMode="External" /><Relationship Id="rId610" Type="http://schemas.openxmlformats.org/officeDocument/2006/relationships/footer" Target="footer83.xml" /><Relationship Id="rId611" Type="http://schemas.openxmlformats.org/officeDocument/2006/relationships/header" Target="header84.xml" /><Relationship Id="rId612" Type="http://schemas.openxmlformats.org/officeDocument/2006/relationships/footer" Target="footer84.xml" /><Relationship Id="rId613" Type="http://schemas.openxmlformats.org/officeDocument/2006/relationships/hyperlink" Target="https://advance.lexis.com/api/document?collection=cases-ca&amp;id=urn:contentItem:5T7T-DB61-F30T-B3DJ-00000-00&amp;context=" TargetMode="External" /><Relationship Id="rId614" Type="http://schemas.openxmlformats.org/officeDocument/2006/relationships/hyperlink" Target="https://advance.lexis.com/api/document?collection=cases-ca&amp;id=urn:contentItem:5F7T-S7C1-F4NT-X44N-00000-00&amp;context=" TargetMode="External" /><Relationship Id="rId615" Type="http://schemas.openxmlformats.org/officeDocument/2006/relationships/hyperlink" Target="https://advance.lexis.com/api/document?collection=cases-ca&amp;id=urn:contentItem:5F7T-S6Y1-JPP5-215W-00000-00&amp;context=" TargetMode="External" /><Relationship Id="rId616" Type="http://schemas.openxmlformats.org/officeDocument/2006/relationships/hyperlink" Target="https://advance.lexis.com/api/document?collection=cases-ca&amp;id=urn:contentItem:5F7T-S7F1-JFKM-61VX-00000-00&amp;context=" TargetMode="External" /><Relationship Id="rId617" Type="http://schemas.openxmlformats.org/officeDocument/2006/relationships/header" Target="header85.xml" /><Relationship Id="rId618" Type="http://schemas.openxmlformats.org/officeDocument/2006/relationships/header" Target="header86.xml" /><Relationship Id="rId619" Type="http://schemas.openxmlformats.org/officeDocument/2006/relationships/footer" Target="footer85.xml" /><Relationship Id="rId62" Type="http://schemas.openxmlformats.org/officeDocument/2006/relationships/hyperlink" Target="https://advance.lexis.com/api/document?collection=cases-ca&amp;id=urn:contentItem:5F7T-S7H1-JFKM-62BX-00000-00&amp;context=" TargetMode="External" /><Relationship Id="rId620" Type="http://schemas.openxmlformats.org/officeDocument/2006/relationships/footer" Target="footer86.xml" /><Relationship Id="rId621" Type="http://schemas.openxmlformats.org/officeDocument/2006/relationships/header" Target="header87.xml" /><Relationship Id="rId622" Type="http://schemas.openxmlformats.org/officeDocument/2006/relationships/footer" Target="footer87.xml" /><Relationship Id="rId623" Type="http://schemas.openxmlformats.org/officeDocument/2006/relationships/hyperlink" Target="https://advance.lexis.com/api/document?collection=cases-ca&amp;id=urn:contentItem:5F7T-S7D1-F7ND-G0GR-00000-00&amp;context=" TargetMode="External" /><Relationship Id="rId624" Type="http://schemas.openxmlformats.org/officeDocument/2006/relationships/hyperlink" Target="https://advance.lexis.com/api/document?collection=cases-ca&amp;id=urn:contentItem:5F7T-S7C1-JXG3-X0HH-00000-00&amp;context=" TargetMode="External" /><Relationship Id="rId625" Type="http://schemas.openxmlformats.org/officeDocument/2006/relationships/hyperlink" Target="https://advance.lexis.com/api/document?collection=cases-ca&amp;id=urn:contentItem:5F8T-N3T1-JJSF-23CG-00000-00&amp;context=" TargetMode="External" /><Relationship Id="rId626" Type="http://schemas.openxmlformats.org/officeDocument/2006/relationships/hyperlink" Target="https://advance.lexis.com/api/document?collection=cases-ca&amp;id=urn:contentItem:5F8T-N3V1-JFKM-6015-00000-00&amp;context=" TargetMode="External" /><Relationship Id="rId627" Type="http://schemas.openxmlformats.org/officeDocument/2006/relationships/hyperlink" Target="https://advance.lexis.com/api/document?collection=cases-ca&amp;id=urn:contentItem:5F8T-N3V1-JF75-M3X0-00000-00&amp;context=" TargetMode="External" /><Relationship Id="rId628" Type="http://schemas.openxmlformats.org/officeDocument/2006/relationships/header" Target="header88.xml" /><Relationship Id="rId629" Type="http://schemas.openxmlformats.org/officeDocument/2006/relationships/header" Target="header89.xml" /><Relationship Id="rId63" Type="http://schemas.openxmlformats.org/officeDocument/2006/relationships/hyperlink" Target="https://advance.lexis.com/api/document?collection=cases-ca&amp;id=urn:contentItem:5F7T-S751-JP4G-619C-00000-00&amp;context=" TargetMode="External" /><Relationship Id="rId630" Type="http://schemas.openxmlformats.org/officeDocument/2006/relationships/footer" Target="footer88.xml" /><Relationship Id="rId631" Type="http://schemas.openxmlformats.org/officeDocument/2006/relationships/footer" Target="footer89.xml" /><Relationship Id="rId632" Type="http://schemas.openxmlformats.org/officeDocument/2006/relationships/header" Target="header90.xml" /><Relationship Id="rId633" Type="http://schemas.openxmlformats.org/officeDocument/2006/relationships/footer" Target="footer90.xml" /><Relationship Id="rId634" Type="http://schemas.openxmlformats.org/officeDocument/2006/relationships/hyperlink" Target="https://advance.lexis.com/api/document?collection=cases-ca&amp;id=urn:contentItem:5F7T-S7K1-DY33-B1RY-00000-00&amp;context=" TargetMode="External" /><Relationship Id="rId635" Type="http://schemas.openxmlformats.org/officeDocument/2006/relationships/hyperlink" Target="https://advance.lexis.com/api/document?collection=legislation-ca&amp;id=urn:contentItem:5VYK-W9V1-JS0R-23WX-00000-00&amp;context=" TargetMode="External" /><Relationship Id="rId636" Type="http://schemas.openxmlformats.org/officeDocument/2006/relationships/hyperlink" Target="https://advance.lexis.com/api/document?collection=cases-ca&amp;id=urn:contentItem:5F7T-S7F1-FFFC-B1SW-00000-00&amp;context=" TargetMode="External" /><Relationship Id="rId637" Type="http://schemas.openxmlformats.org/officeDocument/2006/relationships/hyperlink" Target="https://advance.lexis.com/api/document?collection=cases-ca&amp;id=urn:contentItem:5F16-93B1-JWR6-S53B-00000-00&amp;context=" TargetMode="External" /><Relationship Id="rId638" Type="http://schemas.openxmlformats.org/officeDocument/2006/relationships/hyperlink" Target="https://advance.lexis.com/api/document?collection=cases-ca&amp;id=urn:contentItem:5F8T-N3V1-JF75-M3R4-00000-00&amp;context=" TargetMode="External" /><Relationship Id="rId639" Type="http://schemas.openxmlformats.org/officeDocument/2006/relationships/hyperlink" Target="https://advance.lexis.com/api/document?collection=cases-ca&amp;id=urn:contentItem:5F8T-N3S1-JT99-254W-00000-00&amp;context=" TargetMode="External" /><Relationship Id="rId64" Type="http://schemas.openxmlformats.org/officeDocument/2006/relationships/hyperlink" Target="https://advance.lexis.com/api/document?collection=cases-ca&amp;id=urn:contentItem:5F7T-S711-JNS1-M11J-00000-00&amp;context=" TargetMode="External" /><Relationship Id="rId640" Type="http://schemas.openxmlformats.org/officeDocument/2006/relationships/hyperlink" Target="https://advance.lexis.com/api/document?collection=cases-ca&amp;id=urn:contentItem:5F7T-S7C1-F4NT-X429-00000-00&amp;context=" TargetMode="External" /><Relationship Id="rId641" Type="http://schemas.openxmlformats.org/officeDocument/2006/relationships/hyperlink" Target="https://advance.lexis.com/api/document?collection=cases-ca&amp;id=urn:contentItem:5F7T-XPW1-JG59-2276-00000-00&amp;context=" TargetMode="External" /><Relationship Id="rId642" Type="http://schemas.openxmlformats.org/officeDocument/2006/relationships/hyperlink" Target="https://advance.lexis.com/api/document?collection=cases-ca&amp;id=urn:contentItem:5F7T-S761-FFMK-M14V-00000-00&amp;context=" TargetMode="External" /><Relationship Id="rId643" Type="http://schemas.openxmlformats.org/officeDocument/2006/relationships/hyperlink" Target="https://advance.lexis.com/api/document?collection=cases-ca&amp;id=urn:contentItem:5F7T-S771-JJD0-G1KT-00000-00&amp;context=" TargetMode="External" /><Relationship Id="rId644" Type="http://schemas.openxmlformats.org/officeDocument/2006/relationships/hyperlink" Target="https://advance.lexis.com/api/document?collection=cases-ca&amp;id=urn:contentItem:5F7T-S761-JGHR-M2HD-00000-00&amp;context=" TargetMode="External" /><Relationship Id="rId645" Type="http://schemas.openxmlformats.org/officeDocument/2006/relationships/hyperlink" Target="https://advance.lexis.com/api/document?collection=cases-ca&amp;id=urn:contentItem:5F81-VJX1-FGY5-M3D0-00000-00&amp;context=" TargetMode="External" /><Relationship Id="rId646" Type="http://schemas.openxmlformats.org/officeDocument/2006/relationships/hyperlink" Target="https://advance.lexis.com/api/document?collection=cases-ca&amp;id=urn:contentItem:5F82-1SF1-JKPJ-G29C-00000-00&amp;context=" TargetMode="External" /><Relationship Id="rId647" Type="http://schemas.openxmlformats.org/officeDocument/2006/relationships/hyperlink" Target="https://advance.lexis.com/api/document?collection=cases-ca&amp;id=urn:contentItem:5F8P-T8V1-F4NT-X2NW-00000-00&amp;context=" TargetMode="External" /><Relationship Id="rId648" Type="http://schemas.openxmlformats.org/officeDocument/2006/relationships/hyperlink" Target="https://advance.lexis.com/api/document?collection=analytical-materials-ca&amp;id=urn:contentItem:5HSF-1V11-FK0M-S2F9-00000-00&amp;context=" TargetMode="External" /><Relationship Id="rId649" Type="http://schemas.openxmlformats.org/officeDocument/2006/relationships/header" Target="header91.xml" /><Relationship Id="rId65" Type="http://schemas.openxmlformats.org/officeDocument/2006/relationships/hyperlink" Target="https://advance.lexis.com/api/document?collection=cases-ca&amp;id=urn:contentItem:5F7T-XR01-JCBX-S2D3-00000-00&amp;context=" TargetMode="External" /><Relationship Id="rId650" Type="http://schemas.openxmlformats.org/officeDocument/2006/relationships/header" Target="header92.xml" /><Relationship Id="rId651" Type="http://schemas.openxmlformats.org/officeDocument/2006/relationships/footer" Target="footer91.xml" /><Relationship Id="rId652" Type="http://schemas.openxmlformats.org/officeDocument/2006/relationships/footer" Target="footer92.xml" /><Relationship Id="rId653" Type="http://schemas.openxmlformats.org/officeDocument/2006/relationships/header" Target="header93.xml" /><Relationship Id="rId654" Type="http://schemas.openxmlformats.org/officeDocument/2006/relationships/footer" Target="footer93.xml" /><Relationship Id="rId655" Type="http://schemas.openxmlformats.org/officeDocument/2006/relationships/hyperlink" Target="https://advance.lexis.com/api/document?collection=cases-ca&amp;id=urn:contentItem:5K6Y-81T1-F361-M3T3-00000-00&amp;context=" TargetMode="External" /><Relationship Id="rId656" Type="http://schemas.openxmlformats.org/officeDocument/2006/relationships/header" Target="header94.xml" /><Relationship Id="rId657" Type="http://schemas.openxmlformats.org/officeDocument/2006/relationships/header" Target="header95.xml" /><Relationship Id="rId658" Type="http://schemas.openxmlformats.org/officeDocument/2006/relationships/footer" Target="footer94.xml" /><Relationship Id="rId659" Type="http://schemas.openxmlformats.org/officeDocument/2006/relationships/footer" Target="footer95.xml" /><Relationship Id="rId66" Type="http://schemas.openxmlformats.org/officeDocument/2006/relationships/hyperlink" Target="https://advance.lexis.com/api/document?collection=cases-ca&amp;id=urn:contentItem:5F7T-S751-JNS1-M1DM-00000-00&amp;context=" TargetMode="External" /><Relationship Id="rId660" Type="http://schemas.openxmlformats.org/officeDocument/2006/relationships/header" Target="header96.xml" /><Relationship Id="rId661" Type="http://schemas.openxmlformats.org/officeDocument/2006/relationships/footer" Target="footer96.xml" /><Relationship Id="rId662" Type="http://schemas.openxmlformats.org/officeDocument/2006/relationships/hyperlink" Target="https://advance.lexis.com/api/document?collection=cases-ca&amp;id=urn:contentItem:5F7T-S7C1-F7VM-S3B1-00000-00&amp;context=" TargetMode="External" /><Relationship Id="rId663" Type="http://schemas.openxmlformats.org/officeDocument/2006/relationships/hyperlink" Target="https://advance.lexis.com/api/document?collection=cases-ca&amp;id=urn:contentItem:5F7T-S7C1-F30T-B20D-00000-00&amp;context=" TargetMode="External" /><Relationship Id="rId664" Type="http://schemas.openxmlformats.org/officeDocument/2006/relationships/hyperlink" Target="https://advance.lexis.com/api/document?collection=cases-ca&amp;id=urn:contentItem:5F7T-S781-F06F-23NC-00000-00&amp;context=" TargetMode="External" /><Relationship Id="rId665" Type="http://schemas.openxmlformats.org/officeDocument/2006/relationships/hyperlink" Target="https://advance.lexis.com/api/document?collection=cases-ca&amp;id=urn:contentItem:5F7T-S7B1-FH4C-X3H0-00000-00&amp;context=" TargetMode="External" /><Relationship Id="rId666" Type="http://schemas.openxmlformats.org/officeDocument/2006/relationships/hyperlink" Target="https://advance.lexis.com/api/document?collection=cases-ca&amp;id=urn:contentItem:5F7T-S6Y1-F81W-21GM-00000-00&amp;context=" TargetMode="External" /><Relationship Id="rId667" Type="http://schemas.openxmlformats.org/officeDocument/2006/relationships/hyperlink" Target="https://advance.lexis.com/api/document?collection=cases-ca&amp;id=urn:contentItem:5F7T-S7C1-F7ND-G02F-00000-00&amp;context=" TargetMode="External" /><Relationship Id="rId668" Type="http://schemas.openxmlformats.org/officeDocument/2006/relationships/hyperlink" Target="https://advance.lexis.com/api/document?collection=cases-ca&amp;id=urn:contentItem:5F7T-S761-JS5Y-B1DW-00000-00&amp;context=" TargetMode="External" /><Relationship Id="rId669" Type="http://schemas.openxmlformats.org/officeDocument/2006/relationships/hyperlink" Target="https://advance.lexis.com/api/document?collection=cases-ca&amp;id=urn:contentItem:5F8T-N3V1-JF75-M3V2-00000-00&amp;context=" TargetMode="External" /><Relationship Id="rId67" Type="http://schemas.openxmlformats.org/officeDocument/2006/relationships/hyperlink" Target="https://advance.lexis.com/api/document?collection=cases-ca&amp;id=urn:contentItem:5F7T-S7G1-JBT7-X4FN-00000-00&amp;context=" TargetMode="External" /><Relationship Id="rId670" Type="http://schemas.openxmlformats.org/officeDocument/2006/relationships/header" Target="header97.xml" /><Relationship Id="rId671" Type="http://schemas.openxmlformats.org/officeDocument/2006/relationships/header" Target="header98.xml" /><Relationship Id="rId672" Type="http://schemas.openxmlformats.org/officeDocument/2006/relationships/footer" Target="footer97.xml" /><Relationship Id="rId673" Type="http://schemas.openxmlformats.org/officeDocument/2006/relationships/footer" Target="footer98.xml" /><Relationship Id="rId674" Type="http://schemas.openxmlformats.org/officeDocument/2006/relationships/header" Target="header99.xml" /><Relationship Id="rId675" Type="http://schemas.openxmlformats.org/officeDocument/2006/relationships/footer" Target="footer99.xml" /><Relationship Id="rId676" Type="http://schemas.openxmlformats.org/officeDocument/2006/relationships/hyperlink" Target="https://advance.lexis.com/api/document?collection=cases-ca&amp;id=urn:contentItem:5F7T-S7P1-JG02-S444-00000-00&amp;context=" TargetMode="External" /><Relationship Id="rId677" Type="http://schemas.openxmlformats.org/officeDocument/2006/relationships/hyperlink" Target="https://advance.lexis.com/api/document?collection=cases-ca&amp;id=urn:contentItem:5F8T-N3V1-JTGH-B1DM-00000-00&amp;context=" TargetMode="External" /><Relationship Id="rId678" Type="http://schemas.openxmlformats.org/officeDocument/2006/relationships/hyperlink" Target="https://advance.lexis.com/api/document?collection=cases-ca&amp;id=urn:contentItem:5F7T-S771-JSJC-X03D-00000-00&amp;context=" TargetMode="External" /><Relationship Id="rId679" Type="http://schemas.openxmlformats.org/officeDocument/2006/relationships/hyperlink" Target="https://advance.lexis.com/api/document?collection=legislation-ca&amp;id=urn:contentItem:5W2C-X5G1-JJYN-B448-00000-00&amp;context=" TargetMode="External" /><Relationship Id="rId68" Type="http://schemas.openxmlformats.org/officeDocument/2006/relationships/header" Target="header16.xml" /><Relationship Id="rId680" Type="http://schemas.openxmlformats.org/officeDocument/2006/relationships/hyperlink" Target="https://advance.lexis.com/api/document?collection=cases-ca&amp;id=urn:contentItem:5F7T-S701-FJDY-X2V2-00000-00&amp;context=" TargetMode="External" /><Relationship Id="rId681" Type="http://schemas.openxmlformats.org/officeDocument/2006/relationships/hyperlink" Target="https://advance.lexis.com/api/document?collection=cases-ca&amp;id=urn:contentItem:5F7T-S761-JGHR-M2F7-00000-00&amp;context=" TargetMode="External" /><Relationship Id="rId682" Type="http://schemas.openxmlformats.org/officeDocument/2006/relationships/header" Target="header100.xml" /><Relationship Id="rId683" Type="http://schemas.openxmlformats.org/officeDocument/2006/relationships/header" Target="header101.xml" /><Relationship Id="rId684" Type="http://schemas.openxmlformats.org/officeDocument/2006/relationships/footer" Target="footer100.xml" /><Relationship Id="rId685" Type="http://schemas.openxmlformats.org/officeDocument/2006/relationships/footer" Target="footer101.xml" /><Relationship Id="rId686" Type="http://schemas.openxmlformats.org/officeDocument/2006/relationships/header" Target="header102.xml" /><Relationship Id="rId687" Type="http://schemas.openxmlformats.org/officeDocument/2006/relationships/footer" Target="footer102.xml" /><Relationship Id="rId688" Type="http://schemas.openxmlformats.org/officeDocument/2006/relationships/hyperlink" Target="https://advance.lexis.com/api/document?collection=cases-ca&amp;id=urn:contentItem:5F7T-S7H1-F016-S41P-00000-00&amp;context=" TargetMode="External" /><Relationship Id="rId689" Type="http://schemas.openxmlformats.org/officeDocument/2006/relationships/hyperlink" Target="https://advance.lexis.com/api/document?collection=cases-ca&amp;id=urn:contentItem:5F8T-N3V1-JTGH-B19S-00000-00&amp;context=" TargetMode="External" /><Relationship Id="rId69" Type="http://schemas.openxmlformats.org/officeDocument/2006/relationships/header" Target="header17.xml" /><Relationship Id="rId690" Type="http://schemas.openxmlformats.org/officeDocument/2006/relationships/hyperlink" Target="https://advance.lexis.com/api/document?collection=cases-ca&amp;id=urn:contentItem:5F8T-N3V1-JFKM-609G-00000-00&amp;context=" TargetMode="External" /><Relationship Id="rId691" Type="http://schemas.openxmlformats.org/officeDocument/2006/relationships/hyperlink" Target="https://advance.lexis.com/api/document?collection=cases-ca&amp;id=urn:contentItem:5F8T-N3V1-FC1F-M41J-00000-00&amp;context=" TargetMode="External" /><Relationship Id="rId692" Type="http://schemas.openxmlformats.org/officeDocument/2006/relationships/hyperlink" Target="https://advance.lexis.com/api/document?collection=cases-ca&amp;id=urn:contentItem:5F8T-N3T1-JJSF-2339-00000-00&amp;context=" TargetMode="External" /><Relationship Id="rId693" Type="http://schemas.openxmlformats.org/officeDocument/2006/relationships/hyperlink" Target="https://advance.lexis.com/api/document?collection=cases-ca&amp;id=urn:contentItem:5F8T-N3V1-JF75-M3VR-00000-00&amp;context=" TargetMode="External" /><Relationship Id="rId694" Type="http://schemas.openxmlformats.org/officeDocument/2006/relationships/hyperlink" Target="https://advance.lexis.com/api/document?collection=cases-ca&amp;id=urn:contentItem:5F7T-S771-JSJC-X013-00000-00&amp;context=" TargetMode="External" /><Relationship Id="rId695" Type="http://schemas.openxmlformats.org/officeDocument/2006/relationships/hyperlink" Target="https://advance.lexis.com/api/document?collection=cases-ca&amp;id=urn:contentItem:5F82-1SD1-F8D9-M2YR-00000-00&amp;context=" TargetMode="External" /><Relationship Id="rId696" Type="http://schemas.openxmlformats.org/officeDocument/2006/relationships/header" Target="header103.xml" /><Relationship Id="rId697" Type="http://schemas.openxmlformats.org/officeDocument/2006/relationships/header" Target="header104.xml" /><Relationship Id="rId698" Type="http://schemas.openxmlformats.org/officeDocument/2006/relationships/footer" Target="footer103.xml" /><Relationship Id="rId699" Type="http://schemas.openxmlformats.org/officeDocument/2006/relationships/footer" Target="footer104.xml" /><Relationship Id="rId7" Type="http://schemas.openxmlformats.org/officeDocument/2006/relationships/footer" Target="footer2.xml" /><Relationship Id="rId70" Type="http://schemas.openxmlformats.org/officeDocument/2006/relationships/footer" Target="footer16.xml" /><Relationship Id="rId700" Type="http://schemas.openxmlformats.org/officeDocument/2006/relationships/header" Target="header105.xml" /><Relationship Id="rId701" Type="http://schemas.openxmlformats.org/officeDocument/2006/relationships/footer" Target="footer105.xml" /><Relationship Id="rId702" Type="http://schemas.openxmlformats.org/officeDocument/2006/relationships/hyperlink" Target="https://advance.lexis.com/api/document?collection=cases-ca&amp;id=urn:contentItem:5J7V-J841-JBDT-B3DK-00000-00&amp;context=" TargetMode="External" /><Relationship Id="rId703" Type="http://schemas.openxmlformats.org/officeDocument/2006/relationships/hyperlink" Target="https://advance.lexis.com/api/document?collection=cases-ca&amp;id=urn:contentItem:5F7T-S7N1-DXWW-20F8-00000-00&amp;context=" TargetMode="External" /><Relationship Id="rId704" Type="http://schemas.openxmlformats.org/officeDocument/2006/relationships/hyperlink" Target="https://advance.lexis.com/api/document?collection=cases-ca&amp;id=urn:contentItem:5F7T-S7P1-JG02-S4DK-00000-00&amp;context=" TargetMode="External" /><Relationship Id="rId705" Type="http://schemas.openxmlformats.org/officeDocument/2006/relationships/header" Target="header106.xml" /><Relationship Id="rId706" Type="http://schemas.openxmlformats.org/officeDocument/2006/relationships/header" Target="header107.xml" /><Relationship Id="rId707" Type="http://schemas.openxmlformats.org/officeDocument/2006/relationships/footer" Target="footer106.xml" /><Relationship Id="rId708" Type="http://schemas.openxmlformats.org/officeDocument/2006/relationships/footer" Target="footer107.xml" /><Relationship Id="rId709" Type="http://schemas.openxmlformats.org/officeDocument/2006/relationships/header" Target="header108.xml" /><Relationship Id="rId71" Type="http://schemas.openxmlformats.org/officeDocument/2006/relationships/footer" Target="footer17.xml" /><Relationship Id="rId710" Type="http://schemas.openxmlformats.org/officeDocument/2006/relationships/footer" Target="footer108.xml" /><Relationship Id="rId711" Type="http://schemas.openxmlformats.org/officeDocument/2006/relationships/hyperlink" Target="https://advance.lexis.com/api/document?collection=cases-ca&amp;id=urn:contentItem:5GXH-CVG1-F2F4-G0NK-00000-00&amp;context=" TargetMode="External" /><Relationship Id="rId712" Type="http://schemas.openxmlformats.org/officeDocument/2006/relationships/hyperlink" Target="https://advance.lexis.com/api/document?collection=cases-ca&amp;id=urn:contentItem:5GBY-KWR1-FG12-60CG-00000-00&amp;context=" TargetMode="External" /><Relationship Id="rId713" Type="http://schemas.openxmlformats.org/officeDocument/2006/relationships/header" Target="header109.xml" /><Relationship Id="rId714" Type="http://schemas.openxmlformats.org/officeDocument/2006/relationships/header" Target="header110.xml" /><Relationship Id="rId715" Type="http://schemas.openxmlformats.org/officeDocument/2006/relationships/footer" Target="footer109.xml" /><Relationship Id="rId716" Type="http://schemas.openxmlformats.org/officeDocument/2006/relationships/footer" Target="footer110.xml" /><Relationship Id="rId717" Type="http://schemas.openxmlformats.org/officeDocument/2006/relationships/header" Target="header111.xml" /><Relationship Id="rId718" Type="http://schemas.openxmlformats.org/officeDocument/2006/relationships/footer" Target="footer111.xml" /><Relationship Id="rId719" Type="http://schemas.openxmlformats.org/officeDocument/2006/relationships/hyperlink" Target="https://advance.lexis.com/api/document?collection=cases-ca&amp;id=urn:contentItem:5X8P-1591-JT99-231S-00000-00&amp;context=" TargetMode="External" /><Relationship Id="rId72" Type="http://schemas.openxmlformats.org/officeDocument/2006/relationships/header" Target="header18.xml" /><Relationship Id="rId720" Type="http://schemas.openxmlformats.org/officeDocument/2006/relationships/hyperlink" Target="https://advance.lexis.com/api/document?collection=cases-ca&amp;id=urn:contentItem:5JVG-2XS1-JN14-G1JY-00000-00&amp;context=" TargetMode="External" /><Relationship Id="rId721" Type="http://schemas.openxmlformats.org/officeDocument/2006/relationships/hyperlink" Target="https://advance.lexis.com/api/document?collection=cases-ca&amp;id=urn:contentItem:5F8T-N3T1-JJSF-2361-00000-00&amp;context=" TargetMode="External" /><Relationship Id="rId722" Type="http://schemas.openxmlformats.org/officeDocument/2006/relationships/hyperlink" Target="https://advance.lexis.com/api/document?collection=cases-ca&amp;id=urn:contentItem:5F7T-S7C1-F7VM-S3T7-00000-00&amp;context=" TargetMode="External" /><Relationship Id="rId723" Type="http://schemas.openxmlformats.org/officeDocument/2006/relationships/hyperlink" Target="https://advance.lexis.com/api/document?collection=cases-ca&amp;id=urn:contentItem:5F7T-S7D1-JN6B-S131-00000-00&amp;context=" TargetMode="External" /><Relationship Id="rId724" Type="http://schemas.openxmlformats.org/officeDocument/2006/relationships/hyperlink" Target="https://advance.lexis.com/api/document?collection=cases-ca&amp;id=urn:contentItem:5NG8-K2H1-DY89-M2G3-00000-00&amp;context=" TargetMode="External" /><Relationship Id="rId725" Type="http://schemas.openxmlformats.org/officeDocument/2006/relationships/hyperlink" Target="https://advance.lexis.com/api/document?collection=cases-ca&amp;id=urn:contentItem:5F7T-S7M1-JFSV-G3BR-00000-00&amp;context=" TargetMode="External" /><Relationship Id="rId726" Type="http://schemas.openxmlformats.org/officeDocument/2006/relationships/hyperlink" Target="https://advance.lexis.com/api/document?collection=cases-ca&amp;id=urn:contentItem:5F7T-S7N1-JGHR-M3CS-00000-00&amp;context=" TargetMode="External" /><Relationship Id="rId727" Type="http://schemas.openxmlformats.org/officeDocument/2006/relationships/hyperlink" Target="https://advance.lexis.com/api/document?collection=cases-ca&amp;id=urn:contentItem:5F7T-S7M1-JJK6-S25C-00000-00&amp;context=" TargetMode="External" /><Relationship Id="rId728" Type="http://schemas.openxmlformats.org/officeDocument/2006/relationships/hyperlink" Target="https://advance.lexis.com/api/document?collection=cases-ca&amp;id=urn:contentItem:5F7T-S7K1-DXWW-2018-00000-00&amp;context=" TargetMode="External" /><Relationship Id="rId729" Type="http://schemas.openxmlformats.org/officeDocument/2006/relationships/hyperlink" Target="https://advance.lexis.com/api/document?collection=cases-ca&amp;id=urn:contentItem:5F7T-S771-JSJC-X05N-00000-00&amp;context=" TargetMode="External" /><Relationship Id="rId73" Type="http://schemas.openxmlformats.org/officeDocument/2006/relationships/footer" Target="footer18.xml" /><Relationship Id="rId730" Type="http://schemas.openxmlformats.org/officeDocument/2006/relationships/header" Target="header112.xml" /><Relationship Id="rId731" Type="http://schemas.openxmlformats.org/officeDocument/2006/relationships/header" Target="header113.xml" /><Relationship Id="rId732" Type="http://schemas.openxmlformats.org/officeDocument/2006/relationships/footer" Target="footer112.xml" /><Relationship Id="rId733" Type="http://schemas.openxmlformats.org/officeDocument/2006/relationships/footer" Target="footer113.xml" /><Relationship Id="rId734" Type="http://schemas.openxmlformats.org/officeDocument/2006/relationships/header" Target="header114.xml" /><Relationship Id="rId735" Type="http://schemas.openxmlformats.org/officeDocument/2006/relationships/footer" Target="footer114.xml" /><Relationship Id="rId736" Type="http://schemas.openxmlformats.org/officeDocument/2006/relationships/hyperlink" Target="https://advance.lexis.com/api/document?collection=cases-ca&amp;id=urn:contentItem:5XRX-TYC1-FBFS-S1PD-00000-00&amp;context=" TargetMode="External" /><Relationship Id="rId737" Type="http://schemas.openxmlformats.org/officeDocument/2006/relationships/hyperlink" Target="https://advance.lexis.com/api/document?collection=cases-ca&amp;id=urn:contentItem:5F7T-S7K1-JKHB-62YV-00000-00&amp;context=" TargetMode="External" /><Relationship Id="rId738" Type="http://schemas.openxmlformats.org/officeDocument/2006/relationships/hyperlink" Target="https://advance.lexis.com/api/document?collection=cases-ca&amp;id=urn:contentItem:5F81-YH41-JX8W-M05P-00000-00&amp;context=" TargetMode="External" /><Relationship Id="rId739" Type="http://schemas.openxmlformats.org/officeDocument/2006/relationships/hyperlink" Target="https://advance.lexis.com/api/document?collection=cases-ca&amp;id=urn:contentItem:5GCC-XVB1-JSXV-G06X-00000-00&amp;context=" TargetMode="External" /><Relationship Id="rId74" Type="http://schemas.openxmlformats.org/officeDocument/2006/relationships/hyperlink" Target="https://advance.lexis.com/api/document?collection=cases-ca&amp;id=urn:contentItem:5F7T-S7C1-JS0R-2253-00000-00&amp;context=" TargetMode="External" /><Relationship Id="rId740" Type="http://schemas.openxmlformats.org/officeDocument/2006/relationships/hyperlink" Target="https://advance.lexis.com/api/document?collection=cases-ca&amp;id=urn:contentItem:5GCC-XVB1-FK0M-S4VS-00000-00&amp;context=" TargetMode="External" /><Relationship Id="rId741" Type="http://schemas.openxmlformats.org/officeDocument/2006/relationships/hyperlink" Target="https://advance.lexis.com/api/document?collection=cases-ca&amp;id=urn:contentItem:5GW7-N221-JW5H-X0MH-00000-00&amp;context=" TargetMode="External" /><Relationship Id="rId742" Type="http://schemas.openxmlformats.org/officeDocument/2006/relationships/hyperlink" Target="https://advance.lexis.com/api/document?collection=cases-ca&amp;id=urn:contentItem:5TMP-1H21-JSC5-M4T5-00000-00&amp;context=" TargetMode="External" /><Relationship Id="rId743" Type="http://schemas.openxmlformats.org/officeDocument/2006/relationships/hyperlink" Target="https://advance.lexis.com/api/document?collection=cases-ca&amp;id=urn:contentItem:5R79-CD61-FG12-637C-00000-00&amp;context=" TargetMode="External" /><Relationship Id="rId744" Type="http://schemas.openxmlformats.org/officeDocument/2006/relationships/header" Target="header115.xml" /><Relationship Id="rId745" Type="http://schemas.openxmlformats.org/officeDocument/2006/relationships/header" Target="header116.xml" /><Relationship Id="rId746" Type="http://schemas.openxmlformats.org/officeDocument/2006/relationships/footer" Target="footer115.xml" /><Relationship Id="rId747" Type="http://schemas.openxmlformats.org/officeDocument/2006/relationships/footer" Target="footer116.xml" /><Relationship Id="rId748" Type="http://schemas.openxmlformats.org/officeDocument/2006/relationships/header" Target="header117.xml" /><Relationship Id="rId749" Type="http://schemas.openxmlformats.org/officeDocument/2006/relationships/footer" Target="footer117.xml" /><Relationship Id="rId75" Type="http://schemas.openxmlformats.org/officeDocument/2006/relationships/hyperlink" Target="https://advance.lexis.com/api/document?collection=cases-ca&amp;id=urn:contentItem:5F8T-N3T1-JJSF-236N-00000-00&amp;context=" TargetMode="External" /><Relationship Id="rId750" Type="http://schemas.openxmlformats.org/officeDocument/2006/relationships/hyperlink" Target="https://advance.lexis.com/api/document?collection=cases-ca&amp;id=urn:contentItem:5V3P-XDV1-K054-G05W-00000-00&amp;context=" TargetMode="External" /><Relationship Id="rId751" Type="http://schemas.openxmlformats.org/officeDocument/2006/relationships/hyperlink" Target="https://advance.lexis.com/api/document?collection=legislation-ca&amp;id=urn:contentItem:5VYK-WB51-K054-G4Y8-00000-00&amp;context=" TargetMode="External" /><Relationship Id="rId752" Type="http://schemas.openxmlformats.org/officeDocument/2006/relationships/hyperlink" Target="https://advance.lexis.com/api/document?collection=cases-ca&amp;id=urn:contentItem:5F8T-N3V1-JTGH-B17B-00000-00&amp;context=" TargetMode="External" /><Relationship Id="rId753" Type="http://schemas.openxmlformats.org/officeDocument/2006/relationships/hyperlink" Target="https://advance.lexis.com/api/document?collection=cases-ca&amp;id=urn:contentItem:5F7T-S7G1-F5KY-B1WH-00000-00&amp;context=" TargetMode="External" /><Relationship Id="rId754" Type="http://schemas.openxmlformats.org/officeDocument/2006/relationships/hyperlink" Target="https://advance.lexis.com/api/document?collection=cases-ca&amp;id=urn:contentItem:5F8P-SCS1-F8SS-630D-00000-00&amp;context=" TargetMode="External" /><Relationship Id="rId755" Type="http://schemas.openxmlformats.org/officeDocument/2006/relationships/hyperlink" Target="https://advance.lexis.com/api/document?collection=legislation-ca&amp;id=urn:contentItem:5VYK-WB21-F57G-S21X-00000-00&amp;context=" TargetMode="External" /><Relationship Id="rId756" Type="http://schemas.openxmlformats.org/officeDocument/2006/relationships/hyperlink" Target="https://advance.lexis.com/api/document?collection=cases-ca&amp;id=urn:contentItem:5NX0-DV61-FBV7-B100-00000-00&amp;context=" TargetMode="External" /><Relationship Id="rId757" Type="http://schemas.openxmlformats.org/officeDocument/2006/relationships/hyperlink" Target="https://advance.lexis.com/api/document?collection=cases-ca&amp;id=urn:contentItem:5F7T-S7B1-FH4C-X3SM-00000-00&amp;context=" TargetMode="External" /><Relationship Id="rId758" Type="http://schemas.openxmlformats.org/officeDocument/2006/relationships/hyperlink" Target="https://advance.lexis.com/api/document?collection=cases-ca&amp;id=urn:contentItem:5F8P-SCX1-JB7K-22MG-00000-00&amp;context=" TargetMode="External" /><Relationship Id="rId759" Type="http://schemas.openxmlformats.org/officeDocument/2006/relationships/hyperlink" Target="https://advance.lexis.com/api/document?collection=cases-ca&amp;id=urn:contentItem:5JH9-BW81-F22N-X47X-00000-00&amp;context=" TargetMode="External" /><Relationship Id="rId76" Type="http://schemas.openxmlformats.org/officeDocument/2006/relationships/hyperlink" Target="https://advance.lexis.com/api/document?collection=cases-ca&amp;id=urn:contentItem:5F16-9361-K0HK-21S4-00000-00&amp;context=" TargetMode="External" /><Relationship Id="rId760" Type="http://schemas.openxmlformats.org/officeDocument/2006/relationships/hyperlink" Target="https://advance.lexis.com/api/document?collection=cases-ca&amp;id=urn:contentItem:5F7T-S7C1-JCJ5-20JT-00000-00&amp;context=" TargetMode="External" /><Relationship Id="rId761" Type="http://schemas.openxmlformats.org/officeDocument/2006/relationships/header" Target="header118.xml" /><Relationship Id="rId762" Type="http://schemas.openxmlformats.org/officeDocument/2006/relationships/header" Target="header119.xml" /><Relationship Id="rId763" Type="http://schemas.openxmlformats.org/officeDocument/2006/relationships/footer" Target="footer118.xml" /><Relationship Id="rId764" Type="http://schemas.openxmlformats.org/officeDocument/2006/relationships/footer" Target="footer119.xml" /><Relationship Id="rId765" Type="http://schemas.openxmlformats.org/officeDocument/2006/relationships/header" Target="header120.xml" /><Relationship Id="rId766" Type="http://schemas.openxmlformats.org/officeDocument/2006/relationships/footer" Target="footer120.xml" /><Relationship Id="rId767" Type="http://schemas.openxmlformats.org/officeDocument/2006/relationships/hyperlink" Target="https://advance.lexis.com/api/document?collection=cases-ca&amp;id=urn:contentItem:5F7T-S7H1-F016-S3WM-00000-00&amp;context=" TargetMode="External" /><Relationship Id="rId768" Type="http://schemas.openxmlformats.org/officeDocument/2006/relationships/hyperlink" Target="https://advance.lexis.com/api/document?collection=cases-ca&amp;id=urn:contentItem:5F7T-S7H1-JS5Y-B33G-00000-00&amp;context=" TargetMode="External" /><Relationship Id="rId769" Type="http://schemas.openxmlformats.org/officeDocument/2006/relationships/hyperlink" Target="https://advance.lexis.com/api/document?collection=cases-ca&amp;id=urn:contentItem:5F7T-S7G1-JBT7-X3X7-00000-00&amp;context=" TargetMode="External" /><Relationship Id="rId77" Type="http://schemas.openxmlformats.org/officeDocument/2006/relationships/hyperlink" Target="https://advance.lexis.com/api/document?collection=cases-ca&amp;id=urn:contentItem:5F8P-SCY1-F528-G19Y-00000-00&amp;context=" TargetMode="External" /><Relationship Id="rId770" Type="http://schemas.openxmlformats.org/officeDocument/2006/relationships/header" Target="header121.xml" /><Relationship Id="rId771" Type="http://schemas.openxmlformats.org/officeDocument/2006/relationships/header" Target="header122.xml" /><Relationship Id="rId772" Type="http://schemas.openxmlformats.org/officeDocument/2006/relationships/footer" Target="footer121.xml" /><Relationship Id="rId773" Type="http://schemas.openxmlformats.org/officeDocument/2006/relationships/footer" Target="footer122.xml" /><Relationship Id="rId774" Type="http://schemas.openxmlformats.org/officeDocument/2006/relationships/header" Target="header123.xml" /><Relationship Id="rId775" Type="http://schemas.openxmlformats.org/officeDocument/2006/relationships/footer" Target="footer123.xml" /><Relationship Id="rId776" Type="http://schemas.openxmlformats.org/officeDocument/2006/relationships/hyperlink" Target="https://advance.lexis.com/api/document?collection=cases-ca&amp;id=urn:contentItem:5F7T-S7P1-JNJT-B2CD-00000-00&amp;context=" TargetMode="External" /><Relationship Id="rId777" Type="http://schemas.openxmlformats.org/officeDocument/2006/relationships/hyperlink" Target="https://advance.lexis.com/api/document?collection=cases-ca&amp;id=urn:contentItem:5F7T-S781-F7G6-63J7-00000-00&amp;context=" TargetMode="External" /><Relationship Id="rId778" Type="http://schemas.openxmlformats.org/officeDocument/2006/relationships/hyperlink" Target="https://advance.lexis.com/api/document?collection=cases-ca&amp;id=urn:contentItem:5F7T-S7C1-F30T-B26H-00000-00&amp;context=" TargetMode="External" /><Relationship Id="rId779" Type="http://schemas.openxmlformats.org/officeDocument/2006/relationships/hyperlink" Target="https://advance.lexis.com/api/document?collection=cases-ca&amp;id=urn:contentItem:5F7T-S7J1-JNS1-M21S-00000-00&amp;context=" TargetMode="External" /><Relationship Id="rId78" Type="http://schemas.openxmlformats.org/officeDocument/2006/relationships/hyperlink" Target="https://advance.lexis.com/api/document?collection=cases-ca&amp;id=urn:contentItem:5F8P-SD61-FG12-606K-00000-00&amp;context=" TargetMode="External" /><Relationship Id="rId780" Type="http://schemas.openxmlformats.org/officeDocument/2006/relationships/hyperlink" Target="https://advance.lexis.com/api/document?collection=cases-ca&amp;id=urn:contentItem:5F7T-S7C1-F30T-B290-00000-00&amp;context=" TargetMode="External" /><Relationship Id="rId781" Type="http://schemas.openxmlformats.org/officeDocument/2006/relationships/hyperlink" Target="https://advance.lexis.com/api/document?collection=cases-ca&amp;id=urn:contentItem:5F7T-S7K1-JNY7-X470-00000-00&amp;context=" TargetMode="External" /><Relationship Id="rId782" Type="http://schemas.openxmlformats.org/officeDocument/2006/relationships/hyperlink" Target="https://advance.lexis.com/api/document?collection=cases-ca&amp;id=urn:contentItem:5F7T-S7K1-JNY7-X49B-00000-00&amp;context=" TargetMode="External" /><Relationship Id="rId783" Type="http://schemas.openxmlformats.org/officeDocument/2006/relationships/hyperlink" Target="https://advance.lexis.com/api/document?collection=cases-ca&amp;id=urn:contentItem:5F7T-S6S1-F60C-X0SM-00000-00&amp;context=" TargetMode="External" /><Relationship Id="rId784" Type="http://schemas.openxmlformats.org/officeDocument/2006/relationships/hyperlink" Target="https://advance.lexis.com/api/document?collection=cases-ca&amp;id=urn:contentItem:5F7T-S7C1-FCSB-S2C5-00000-00&amp;context=" TargetMode="External" /><Relationship Id="rId785" Type="http://schemas.openxmlformats.org/officeDocument/2006/relationships/hyperlink" Target="https://advance.lexis.com/api/document?collection=cases-ca&amp;id=urn:contentItem:5F7T-S7J1-JYYX-6211-00000-00&amp;context=" TargetMode="External" /><Relationship Id="rId786" Type="http://schemas.openxmlformats.org/officeDocument/2006/relationships/hyperlink" Target="https://advance.lexis.com/api/document?collection=cases-ca&amp;id=urn:contentItem:5F7T-S751-JCJ5-245X-00000-00&amp;context=" TargetMode="External" /><Relationship Id="rId787" Type="http://schemas.openxmlformats.org/officeDocument/2006/relationships/hyperlink" Target="https://advance.lexis.com/api/document?collection=cases-ca&amp;id=urn:contentItem:5F7T-S7H1-F4GK-M3BG-00000-00&amp;context=" TargetMode="External" /><Relationship Id="rId788" Type="http://schemas.openxmlformats.org/officeDocument/2006/relationships/hyperlink" Target="https://advance.lexis.com/api/document?collection=cases-ca&amp;id=urn:contentItem:5F7T-S6V1-F956-S05H-00000-00&amp;context=" TargetMode="External" /><Relationship Id="rId789" Type="http://schemas.openxmlformats.org/officeDocument/2006/relationships/hyperlink" Target="https://advance.lexis.com/api/document?collection=cases-ca&amp;id=urn:contentItem:5F7T-S771-F81W-22B3-00000-00&amp;context=" TargetMode="External" /><Relationship Id="rId79" Type="http://schemas.openxmlformats.org/officeDocument/2006/relationships/header" Target="header19.xml" /><Relationship Id="rId790" Type="http://schemas.openxmlformats.org/officeDocument/2006/relationships/hyperlink" Target="https://advance.lexis.com/api/document?collection=cases-ca&amp;id=urn:contentItem:5F7T-S731-FFFC-B0FH-00000-00&amp;context=" TargetMode="External" /><Relationship Id="rId791" Type="http://schemas.openxmlformats.org/officeDocument/2006/relationships/hyperlink" Target="https://advance.lexis.com/api/document?collection=cases-ca&amp;id=urn:contentItem:5F7T-S741-F57G-S1JY-00000-00&amp;context=" TargetMode="External" /><Relationship Id="rId792" Type="http://schemas.openxmlformats.org/officeDocument/2006/relationships/hyperlink" Target="https://advance.lexis.com/api/document?collection=cases-ca&amp;id=urn:contentItem:5F7T-S781-JC5P-G1V7-00000-00&amp;context=" TargetMode="External" /><Relationship Id="rId793" Type="http://schemas.openxmlformats.org/officeDocument/2006/relationships/hyperlink" Target="https://advance.lexis.com/api/document?collection=cases-ca&amp;id=urn:contentItem:5F7T-S791-JCJ5-252X-00000-00&amp;context=" TargetMode="External" /><Relationship Id="rId794" Type="http://schemas.openxmlformats.org/officeDocument/2006/relationships/hyperlink" Target="https://advance.lexis.com/api/document?collection=cases-ca&amp;id=urn:contentItem:5F7T-S7F1-JX3N-B1PD-00000-00&amp;context=" TargetMode="External" /><Relationship Id="rId795" Type="http://schemas.openxmlformats.org/officeDocument/2006/relationships/hyperlink" Target="https://advance.lexis.com/api/document?collection=cases-ca&amp;id=urn:contentItem:5F7T-S7H1-FCSB-S3MD-00000-00&amp;context=" TargetMode="External" /><Relationship Id="rId796" Type="http://schemas.openxmlformats.org/officeDocument/2006/relationships/hyperlink" Target="https://advance.lexis.com/api/document?collection=cases-ca&amp;id=urn:contentItem:5F7T-S771-JSJC-X0KS-00000-00&amp;context=" TargetMode="External" /><Relationship Id="rId797" Type="http://schemas.openxmlformats.org/officeDocument/2006/relationships/header" Target="header124.xml" /><Relationship Id="rId798" Type="http://schemas.openxmlformats.org/officeDocument/2006/relationships/header" Target="header125.xml" /><Relationship Id="rId799" Type="http://schemas.openxmlformats.org/officeDocument/2006/relationships/footer" Target="footer124.xml" /><Relationship Id="rId8" Type="http://schemas.openxmlformats.org/officeDocument/2006/relationships/header" Target="header3.xml" /><Relationship Id="rId80" Type="http://schemas.openxmlformats.org/officeDocument/2006/relationships/header" Target="header20.xml" /><Relationship Id="rId800" Type="http://schemas.openxmlformats.org/officeDocument/2006/relationships/footer" Target="footer125.xml" /><Relationship Id="rId801" Type="http://schemas.openxmlformats.org/officeDocument/2006/relationships/header" Target="header126.xml" /><Relationship Id="rId802" Type="http://schemas.openxmlformats.org/officeDocument/2006/relationships/footer" Target="footer126.xml" /><Relationship Id="rId803" Type="http://schemas.openxmlformats.org/officeDocument/2006/relationships/hyperlink" Target="https://advance.lexis.com/api/document?collection=cases-ca&amp;id=urn:contentItem:5XCF-HB91-JC5P-G2B7-00000-00&amp;context=" TargetMode="External" /><Relationship Id="rId804" Type="http://schemas.openxmlformats.org/officeDocument/2006/relationships/hyperlink" Target="https://advance.lexis.com/api/document?collection=cases-ca&amp;id=urn:contentItem:5F7T-S771-F361-M1H3-00000-00&amp;context=" TargetMode="External" /><Relationship Id="rId805" Type="http://schemas.openxmlformats.org/officeDocument/2006/relationships/hyperlink" Target="https://advance.lexis.com/api/document?collection=cases-ca&amp;id=urn:contentItem:5F7T-S7B1-JSRM-6021-00000-00&amp;context=" TargetMode="External" /><Relationship Id="rId806" Type="http://schemas.openxmlformats.org/officeDocument/2006/relationships/hyperlink" Target="https://advance.lexis.com/api/document?collection=cases-ca&amp;id=urn:contentItem:5F8T-N3V1-FH4C-X253-00000-00&amp;context=" TargetMode="External" /><Relationship Id="rId807" Type="http://schemas.openxmlformats.org/officeDocument/2006/relationships/hyperlink" Target="https://advance.lexis.com/api/document?collection=cases-ca&amp;id=urn:contentItem:5F81-VJV1-JG59-22BW-00000-00&amp;context=" TargetMode="External" /><Relationship Id="rId808" Type="http://schemas.openxmlformats.org/officeDocument/2006/relationships/hyperlink" Target="https://advance.lexis.com/api/document?collection=cases-ca&amp;id=urn:contentItem:5F16-92X1-F7ND-G0MP-00000-00&amp;context=" TargetMode="External" /><Relationship Id="rId809" Type="http://schemas.openxmlformats.org/officeDocument/2006/relationships/hyperlink" Target="https://advance.lexis.com/api/document?collection=cases-ca&amp;id=urn:contentItem:5F81-VJY1-JPGX-S4KN-00000-00&amp;context=" TargetMode="External" /><Relationship Id="rId81" Type="http://schemas.openxmlformats.org/officeDocument/2006/relationships/footer" Target="footer19.xml" /><Relationship Id="rId810" Type="http://schemas.openxmlformats.org/officeDocument/2006/relationships/hyperlink" Target="https://advance.lexis.com/api/document?collection=cases-ca&amp;id=urn:contentItem:5F7T-S7D1-DY89-M3VG-00000-00&amp;context=" TargetMode="External" /><Relationship Id="rId811" Type="http://schemas.openxmlformats.org/officeDocument/2006/relationships/hyperlink" Target="https://advance.lexis.com/api/document?collection=cases-ca&amp;id=urn:contentItem:5F7T-S7H1-JS5Y-B2NN-00000-00&amp;context=" TargetMode="External" /><Relationship Id="rId812" Type="http://schemas.openxmlformats.org/officeDocument/2006/relationships/header" Target="header127.xml" /><Relationship Id="rId813" Type="http://schemas.openxmlformats.org/officeDocument/2006/relationships/header" Target="header128.xml" /><Relationship Id="rId814" Type="http://schemas.openxmlformats.org/officeDocument/2006/relationships/footer" Target="footer127.xml" /><Relationship Id="rId815" Type="http://schemas.openxmlformats.org/officeDocument/2006/relationships/footer" Target="footer128.xml" /><Relationship Id="rId816" Type="http://schemas.openxmlformats.org/officeDocument/2006/relationships/header" Target="header129.xml" /><Relationship Id="rId817" Type="http://schemas.openxmlformats.org/officeDocument/2006/relationships/footer" Target="footer129.xml" /><Relationship Id="rId818" Type="http://schemas.openxmlformats.org/officeDocument/2006/relationships/hyperlink" Target="https://advance.lexis.com/api/document?collection=cases-ca&amp;id=urn:contentItem:5YC6-7N41-F22N-X00B-00000-00&amp;context=" TargetMode="External" /><Relationship Id="rId819" Type="http://schemas.openxmlformats.org/officeDocument/2006/relationships/hyperlink" Target="https://advance.lexis.com/api/document?collection=cases-ca&amp;id=urn:contentItem:5WMJ-98H1-DY89-M0PJ-00000-00&amp;context=" TargetMode="External" /><Relationship Id="rId82" Type="http://schemas.openxmlformats.org/officeDocument/2006/relationships/footer" Target="footer20.xml" /><Relationship Id="rId820" Type="http://schemas.openxmlformats.org/officeDocument/2006/relationships/hyperlink" Target="https://advance.lexis.com/api/document?collection=cases-ca&amp;id=urn:contentItem:5VHV-R691-FK0M-S1H1-00000-00&amp;context=" TargetMode="External" /><Relationship Id="rId821" Type="http://schemas.openxmlformats.org/officeDocument/2006/relationships/hyperlink" Target="https://advance.lexis.com/api/document?collection=cases-ca&amp;id=urn:contentItem:5H7G-7T31-F016-S1GP-00000-00&amp;context=" TargetMode="External" /><Relationship Id="rId822" Type="http://schemas.openxmlformats.org/officeDocument/2006/relationships/hyperlink" Target="https://advance.lexis.com/api/document?collection=cases-ca&amp;id=urn:contentItem:5MM5-X7R1-F4W2-60SX-00000-00&amp;context=" TargetMode="External" /><Relationship Id="rId823" Type="http://schemas.openxmlformats.org/officeDocument/2006/relationships/hyperlink" Target="https://advance.lexis.com/api/document?collection=cases-ca&amp;id=urn:contentItem:5V6F-TFX1-JW09-M4BB-00000-00&amp;context=" TargetMode="External" /><Relationship Id="rId824" Type="http://schemas.openxmlformats.org/officeDocument/2006/relationships/hyperlink" Target="https://advance.lexis.com/api/document?collection=cases-ca&amp;id=urn:contentItem:5W60-23Y1-JSXV-G50M-00000-00&amp;context=" TargetMode="External" /><Relationship Id="rId825" Type="http://schemas.openxmlformats.org/officeDocument/2006/relationships/hyperlink" Target="https://advance.lexis.com/api/document?collection=cases-ca&amp;id=urn:contentItem:5JDH-TJC1-F30T-B0DY-00000-00&amp;context=" TargetMode="External" /><Relationship Id="rId826" Type="http://schemas.openxmlformats.org/officeDocument/2006/relationships/hyperlink" Target="https://advance.lexis.com/api/document?collection=cases-ca&amp;id=urn:contentItem:5F7T-S7M1-JCRC-B1V3-00000-00&amp;context=" TargetMode="External" /><Relationship Id="rId827" Type="http://schemas.openxmlformats.org/officeDocument/2006/relationships/hyperlink" Target="https://advance.lexis.com/api/document?collection=cases-ca&amp;id=urn:contentItem:5XDY-G0T1-JN6B-S2ND-00000-00&amp;context=" TargetMode="External" /><Relationship Id="rId828" Type="http://schemas.openxmlformats.org/officeDocument/2006/relationships/hyperlink" Target="https://advance.lexis.com/api/document?collection=cases-ca&amp;id=urn:contentItem:5RTY-1871-JCBX-S0TB-00000-00&amp;context=" TargetMode="External" /><Relationship Id="rId829" Type="http://schemas.openxmlformats.org/officeDocument/2006/relationships/hyperlink" Target="https://advance.lexis.com/api/document?collection=cases-ca&amp;id=urn:contentItem:5HNF-8S81-JB7K-21HR-00000-00&amp;context=" TargetMode="External" /><Relationship Id="rId83" Type="http://schemas.openxmlformats.org/officeDocument/2006/relationships/header" Target="header21.xml" /><Relationship Id="rId830" Type="http://schemas.openxmlformats.org/officeDocument/2006/relationships/hyperlink" Target="https://advance.lexis.com/api/document?collection=cases-ca&amp;id=urn:contentItem:5F7T-S7P1-JSJC-X1MC-00000-00&amp;context=" TargetMode="External" /><Relationship Id="rId831" Type="http://schemas.openxmlformats.org/officeDocument/2006/relationships/hyperlink" Target="https://advance.lexis.com/api/document?collection=cases-ca&amp;id=urn:contentItem:5F7T-S731-FFFC-B0K2-00000-00&amp;context=" TargetMode="External" /><Relationship Id="rId832" Type="http://schemas.openxmlformats.org/officeDocument/2006/relationships/hyperlink" Target="https://advance.lexis.com/api/document?collection=cases-ca&amp;id=urn:contentItem:5F7T-S7M1-DYMS-62FG-00000-00&amp;context=" TargetMode="External" /><Relationship Id="rId833" Type="http://schemas.openxmlformats.org/officeDocument/2006/relationships/hyperlink" Target="https://advance.lexis.com/api/document?collection=cases-ca&amp;id=urn:contentItem:5HJF-6CT1-JJK6-S1V8-00000-00&amp;context=" TargetMode="External" /><Relationship Id="rId834" Type="http://schemas.openxmlformats.org/officeDocument/2006/relationships/hyperlink" Target="https://advance.lexis.com/api/document?collection=cases-ca&amp;id=urn:contentItem:5F7T-S741-DY89-M3P5-00000-00&amp;context=" TargetMode="External" /><Relationship Id="rId835" Type="http://schemas.openxmlformats.org/officeDocument/2006/relationships/image" Target="media/image4.jpeg" /><Relationship Id="rId836" Type="http://schemas.openxmlformats.org/officeDocument/2006/relationships/header" Target="header130.xml" /><Relationship Id="rId837" Type="http://schemas.openxmlformats.org/officeDocument/2006/relationships/header" Target="header131.xml" /><Relationship Id="rId838" Type="http://schemas.openxmlformats.org/officeDocument/2006/relationships/footer" Target="footer130.xml" /><Relationship Id="rId839" Type="http://schemas.openxmlformats.org/officeDocument/2006/relationships/footer" Target="footer131.xml" /><Relationship Id="rId84" Type="http://schemas.openxmlformats.org/officeDocument/2006/relationships/footer" Target="footer21.xml" /><Relationship Id="rId840" Type="http://schemas.openxmlformats.org/officeDocument/2006/relationships/header" Target="header132.xml" /><Relationship Id="rId841" Type="http://schemas.openxmlformats.org/officeDocument/2006/relationships/footer" Target="footer132.xml" /><Relationship Id="rId842" Type="http://schemas.openxmlformats.org/officeDocument/2006/relationships/hyperlink" Target="https://advance.lexis.com/api/document?collection=cases-ca&amp;id=urn:contentItem:5S1P-9H61-FGJR-24TK-00000-00&amp;context=" TargetMode="External" /><Relationship Id="rId843" Type="http://schemas.openxmlformats.org/officeDocument/2006/relationships/hyperlink" Target="https://advance.lexis.com/api/document?collection=cases-ca&amp;id=urn:contentItem:5F7T-S7G1-JWR6-S21H-00000-00&amp;context=" TargetMode="External" /><Relationship Id="rId844" Type="http://schemas.openxmlformats.org/officeDocument/2006/relationships/hyperlink" Target="https://advance.lexis.com/api/document?collection=cases-ca&amp;id=urn:contentItem:5F7T-S7M1-DYMS-62JN-00000-00&amp;context=" TargetMode="External" /><Relationship Id="rId845" Type="http://schemas.openxmlformats.org/officeDocument/2006/relationships/hyperlink" Target="https://advance.lexis.com/api/document?collection=cases-ca&amp;id=urn:contentItem:5F8T-N3R1-JNS1-M12F-00000-00&amp;context=" TargetMode="External" /><Relationship Id="rId846" Type="http://schemas.openxmlformats.org/officeDocument/2006/relationships/hyperlink" Target="https://advance.lexis.com/api/document?collection=cases-ca&amp;id=urn:contentItem:5F7T-S761-JGHR-M2PP-00000-00&amp;context=" TargetMode="External" /><Relationship Id="rId847" Type="http://schemas.openxmlformats.org/officeDocument/2006/relationships/header" Target="header133.xml" /><Relationship Id="rId848" Type="http://schemas.openxmlformats.org/officeDocument/2006/relationships/header" Target="header134.xml" /><Relationship Id="rId849" Type="http://schemas.openxmlformats.org/officeDocument/2006/relationships/footer" Target="footer133.xml" /><Relationship Id="rId85" Type="http://schemas.openxmlformats.org/officeDocument/2006/relationships/hyperlink" Target="https://advance.lexis.com/api/document?collection=cases-ca&amp;id=urn:contentItem:5F7T-S7P1-JP4G-61XK-00000-00&amp;context=" TargetMode="External" /><Relationship Id="rId850" Type="http://schemas.openxmlformats.org/officeDocument/2006/relationships/footer" Target="footer134.xml" /><Relationship Id="rId851" Type="http://schemas.openxmlformats.org/officeDocument/2006/relationships/header" Target="header135.xml" /><Relationship Id="rId852" Type="http://schemas.openxmlformats.org/officeDocument/2006/relationships/footer" Target="footer135.xml" /><Relationship Id="rId853" Type="http://schemas.openxmlformats.org/officeDocument/2006/relationships/hyperlink" Target="https://advance.lexis.com/api/document?collection=cases-ca&amp;id=urn:contentItem:5F7T-S7B1-JCJ5-2068-00000-00&amp;context=" TargetMode="External" /><Relationship Id="rId854" Type="http://schemas.openxmlformats.org/officeDocument/2006/relationships/hyperlink" Target="https://advance.lexis.com/api/document?collection=cases-ca&amp;id=urn:contentItem:5F7T-S731-JC0G-63FP-00000-00&amp;context=" TargetMode="External" /><Relationship Id="rId855" Type="http://schemas.openxmlformats.org/officeDocument/2006/relationships/hyperlink" Target="https://advance.lexis.com/api/document?collection=cases-ca&amp;id=urn:contentItem:5F8T-N3V1-FC1F-M428-00000-00&amp;context=" TargetMode="External" /><Relationship Id="rId856" Type="http://schemas.openxmlformats.org/officeDocument/2006/relationships/header" Target="header136.xml" /><Relationship Id="rId857" Type="http://schemas.openxmlformats.org/officeDocument/2006/relationships/header" Target="header137.xml" /><Relationship Id="rId858" Type="http://schemas.openxmlformats.org/officeDocument/2006/relationships/footer" Target="footer136.xml" /><Relationship Id="rId859" Type="http://schemas.openxmlformats.org/officeDocument/2006/relationships/footer" Target="footer137.xml" /><Relationship Id="rId86" Type="http://schemas.openxmlformats.org/officeDocument/2006/relationships/hyperlink" Target="https://advance.lexis.com/api/document?collection=legislation-ca&amp;id=urn:contentItem:5VYK-WB61-JXG3-X3FD-00000-00&amp;context=" TargetMode="External" /><Relationship Id="rId860" Type="http://schemas.openxmlformats.org/officeDocument/2006/relationships/header" Target="header138.xml" /><Relationship Id="rId861" Type="http://schemas.openxmlformats.org/officeDocument/2006/relationships/footer" Target="footer138.xml" /><Relationship Id="rId862" Type="http://schemas.openxmlformats.org/officeDocument/2006/relationships/hyperlink" Target="https://advance.lexis.com/api/document?collection=cases-ca&amp;id=urn:contentItem:5F7T-S7F1-FJTD-G3J8-00000-00&amp;context=" TargetMode="External" /><Relationship Id="rId863" Type="http://schemas.openxmlformats.org/officeDocument/2006/relationships/hyperlink" Target="https://advance.lexis.com/api/document?collection=cases-ca&amp;id=urn:contentItem:5F7T-S7B1-F7ND-G52M-00000-00&amp;context=" TargetMode="External" /><Relationship Id="rId864" Type="http://schemas.openxmlformats.org/officeDocument/2006/relationships/hyperlink" Target="https://advance.lexis.com/api/document?collection=cases-ca&amp;id=urn:contentItem:5F7T-S7C1-F30T-B2D6-00000-00&amp;context=" TargetMode="External" /><Relationship Id="rId865" Type="http://schemas.openxmlformats.org/officeDocument/2006/relationships/hyperlink" Target="https://advance.lexis.com/api/document?collection=cases-ca&amp;id=urn:contentItem:5F7T-S6Y1-JP9P-G1F0-00000-00&amp;context=" TargetMode="External" /><Relationship Id="rId866" Type="http://schemas.openxmlformats.org/officeDocument/2006/relationships/hyperlink" Target="https://advance.lexis.com/api/document?collection=cases-ca&amp;id=urn:contentItem:5F7T-S761-JX8W-M31J-00000-00&amp;context=" TargetMode="External" /><Relationship Id="rId867" Type="http://schemas.openxmlformats.org/officeDocument/2006/relationships/header" Target="header139.xml" /><Relationship Id="rId868" Type="http://schemas.openxmlformats.org/officeDocument/2006/relationships/header" Target="header140.xml" /><Relationship Id="rId869" Type="http://schemas.openxmlformats.org/officeDocument/2006/relationships/footer" Target="footer139.xml" /><Relationship Id="rId87" Type="http://schemas.openxmlformats.org/officeDocument/2006/relationships/hyperlink" Target="https://advance.lexis.com/api/document?collection=cases-ca&amp;id=urn:contentItem:5F8W-XF81-JWBS-61PP-00000-00&amp;context=" TargetMode="External" /><Relationship Id="rId870" Type="http://schemas.openxmlformats.org/officeDocument/2006/relationships/footer" Target="footer140.xml" /><Relationship Id="rId871" Type="http://schemas.openxmlformats.org/officeDocument/2006/relationships/header" Target="header141.xml" /><Relationship Id="rId872" Type="http://schemas.openxmlformats.org/officeDocument/2006/relationships/footer" Target="footer141.xml" /><Relationship Id="rId873" Type="http://schemas.openxmlformats.org/officeDocument/2006/relationships/hyperlink" Target="https://advance.lexis.com/api/document?collection=cases-ca&amp;id=urn:contentItem:5F7T-S7P1-F2TK-23KR-00000-00&amp;context=" TargetMode="External" /><Relationship Id="rId874" Type="http://schemas.openxmlformats.org/officeDocument/2006/relationships/hyperlink" Target="https://advance.lexis.com/api/document?collection=cases-ca&amp;id=urn:contentItem:5F8T-N3V1-FH4C-X20D-00000-00&amp;context=" TargetMode="External" /><Relationship Id="rId875" Type="http://schemas.openxmlformats.org/officeDocument/2006/relationships/hyperlink" Target="https://advance.lexis.com/api/document?collection=cases-ca&amp;id=urn:contentItem:5F8T-N3V1-JTGH-B1BB-00000-00&amp;context=" TargetMode="External" /><Relationship Id="rId876" Type="http://schemas.openxmlformats.org/officeDocument/2006/relationships/hyperlink" Target="https://advance.lexis.com/api/document?collection=cases-ca&amp;id=urn:contentItem:5F8T-N3V1-JF75-M3WN-00000-00&amp;context=" TargetMode="External" /><Relationship Id="rId877" Type="http://schemas.openxmlformats.org/officeDocument/2006/relationships/hyperlink" Target="https://advance.lexis.com/api/document?collection=cases-ca&amp;id=urn:contentItem:5F7T-S711-FJDY-X33C-00000-00&amp;context=" TargetMode="External" /><Relationship Id="rId878" Type="http://schemas.openxmlformats.org/officeDocument/2006/relationships/header" Target="header142.xml" /><Relationship Id="rId879" Type="http://schemas.openxmlformats.org/officeDocument/2006/relationships/header" Target="header143.xml" /><Relationship Id="rId88" Type="http://schemas.openxmlformats.org/officeDocument/2006/relationships/hyperlink" Target="https://advance.lexis.com/api/document?collection=cases-ca&amp;id=urn:contentItem:5F8T-N3V1-FH4C-X247-00000-00&amp;context=" TargetMode="External" /><Relationship Id="rId880" Type="http://schemas.openxmlformats.org/officeDocument/2006/relationships/footer" Target="footer142.xml" /><Relationship Id="rId881" Type="http://schemas.openxmlformats.org/officeDocument/2006/relationships/footer" Target="footer143.xml" /><Relationship Id="rId882" Type="http://schemas.openxmlformats.org/officeDocument/2006/relationships/header" Target="header144.xml" /><Relationship Id="rId883" Type="http://schemas.openxmlformats.org/officeDocument/2006/relationships/footer" Target="footer144.xml" /><Relationship Id="rId884" Type="http://schemas.openxmlformats.org/officeDocument/2006/relationships/hyperlink" Target="https://advance.lexis.com/api/document?collection=cases-ca&amp;id=urn:contentItem:5S9C-3741-F7VM-S1HP-00000-00&amp;context=" TargetMode="External" /><Relationship Id="rId885" Type="http://schemas.openxmlformats.org/officeDocument/2006/relationships/hyperlink" Target="https://advance.lexis.com/api/document?collection=cases-ca&amp;id=urn:contentItem:5F8P-SDT1-JCJ5-24JD-00000-00&amp;context=" TargetMode="External" /><Relationship Id="rId886" Type="http://schemas.openxmlformats.org/officeDocument/2006/relationships/header" Target="header145.xml" /><Relationship Id="rId887" Type="http://schemas.openxmlformats.org/officeDocument/2006/relationships/header" Target="header146.xml" /><Relationship Id="rId888" Type="http://schemas.openxmlformats.org/officeDocument/2006/relationships/footer" Target="footer145.xml" /><Relationship Id="rId889" Type="http://schemas.openxmlformats.org/officeDocument/2006/relationships/footer" Target="footer146.xml" /><Relationship Id="rId89" Type="http://schemas.openxmlformats.org/officeDocument/2006/relationships/hyperlink" Target="https://advance.lexis.com/api/document?collection=cases-ca&amp;id=urn:contentItem:5F7T-S7P1-JSJC-X1CY-00000-00&amp;context=" TargetMode="External" /><Relationship Id="rId890" Type="http://schemas.openxmlformats.org/officeDocument/2006/relationships/header" Target="header147.xml" /><Relationship Id="rId891" Type="http://schemas.openxmlformats.org/officeDocument/2006/relationships/footer" Target="footer147.xml" /><Relationship Id="rId892" Type="http://schemas.openxmlformats.org/officeDocument/2006/relationships/hyperlink" Target="https://advance.lexis.com/api/document?collection=cases-ca&amp;id=urn:contentItem:5GCC-XVB1-FK0M-S556-00000-00&amp;context=" TargetMode="External" /><Relationship Id="rId893" Type="http://schemas.openxmlformats.org/officeDocument/2006/relationships/header" Target="header148.xml" /><Relationship Id="rId894" Type="http://schemas.openxmlformats.org/officeDocument/2006/relationships/header" Target="header149.xml" /><Relationship Id="rId895" Type="http://schemas.openxmlformats.org/officeDocument/2006/relationships/footer" Target="footer148.xml" /><Relationship Id="rId896" Type="http://schemas.openxmlformats.org/officeDocument/2006/relationships/footer" Target="footer149.xml" /><Relationship Id="rId897" Type="http://schemas.openxmlformats.org/officeDocument/2006/relationships/header" Target="header150.xml" /><Relationship Id="rId898" Type="http://schemas.openxmlformats.org/officeDocument/2006/relationships/footer" Target="footer150.xml" /><Relationship Id="rId899" Type="http://schemas.openxmlformats.org/officeDocument/2006/relationships/hyperlink" Target="https://advance.lexis.com/api/document?collection=cases-ca&amp;id=urn:contentItem:5K6Y-81T1-F361-M3J4-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F8T-N3V1-FH4C-X257-00000-00&amp;context=" TargetMode="External" /><Relationship Id="rId900" Type="http://schemas.openxmlformats.org/officeDocument/2006/relationships/numbering" Target="numbering.xml" /><Relationship Id="rId901" Type="http://schemas.openxmlformats.org/officeDocument/2006/relationships/styles" Target="styles.xml" /><Relationship Id="rId91" Type="http://schemas.openxmlformats.org/officeDocument/2006/relationships/image" Target="media/image1.jpeg" /><Relationship Id="rId92" Type="http://schemas.openxmlformats.org/officeDocument/2006/relationships/hyperlink" Target="https://advance.lexis.com/api/document?collection=cases-ca&amp;id=urn:contentItem:5F8T-N3T1-JGHR-M27Y-00000-00&amp;context=" TargetMode="External" /><Relationship Id="rId93" Type="http://schemas.openxmlformats.org/officeDocument/2006/relationships/hyperlink" Target="https://advance.lexis.com/api/document?collection=cases-ca&amp;id=urn:contentItem:5F8T-N3V1-FC1F-M497-00000-00&amp;context=" TargetMode="External" /><Relationship Id="rId94" Type="http://schemas.openxmlformats.org/officeDocument/2006/relationships/hyperlink" Target="https://advance.lexis.com/api/document?collection=cases-ca&amp;id=urn:contentItem:5F8T-N3V1-FC1F-M46D-00000-00&amp;context=" TargetMode="External" /><Relationship Id="rId95" Type="http://schemas.openxmlformats.org/officeDocument/2006/relationships/hyperlink" Target="https://advance.lexis.com/api/document?collection=cases-ca&amp;id=urn:contentItem:5F8T-N3V1-FH4C-X248-00000-00&amp;context=" TargetMode="External" /><Relationship Id="rId96" Type="http://schemas.openxmlformats.org/officeDocument/2006/relationships/hyperlink" Target="https://advance.lexis.com/api/document?collection=cases-ca&amp;id=urn:contentItem:5F8T-N3V1-FH4C-X24V-00000-00&amp;context=" TargetMode="External" /><Relationship Id="rId97" Type="http://schemas.openxmlformats.org/officeDocument/2006/relationships/hyperlink" Target="https://advance.lexis.com/api/document?collection=cases-ca&amp;id=urn:contentItem:5F8T-N3V1-FH4C-X24N-00000-00&amp;context=" TargetMode="External" /><Relationship Id="rId98" Type="http://schemas.openxmlformats.org/officeDocument/2006/relationships/hyperlink" Target="https://advance.lexis.com/api/document?collection=cases-ca&amp;id=urn:contentItem:5F7T-S751-FJDY-X419-00000-00&amp;context=" TargetMode="External" /><Relationship Id="rId99" Type="http://schemas.openxmlformats.org/officeDocument/2006/relationships/hyperlink" Target="https://advance.lexis.com/api/document?collection=cases-ca&amp;id=urn:contentItem:5F7T-S751-JP4G-614D-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Saccone v. Fandrakis, [2002] I.L.R. para. M-1484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115053178</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